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13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SEC Form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FORM 4</w:t>
            </w:r>
          </w:p>
        </w:tc>
        <w:tc>
          <w:tcPr>
            <w:tcW w:w="6220" w:type="dxa"/>
            <w:vAlign w:val="bottom"/>
            <w:gridSpan w:val="21"/>
          </w:tcPr>
          <w:p>
            <w:pPr>
              <w:jc w:val="center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Check this box if no longer subject to</w:t>
            </w:r>
          </w:p>
        </w:tc>
        <w:tc>
          <w:tcPr>
            <w:tcW w:w="6220" w:type="dxa"/>
            <w:vAlign w:val="bottom"/>
            <w:gridSpan w:val="21"/>
            <w:vMerge w:val="restart"/>
          </w:tcPr>
          <w:p>
            <w:pPr>
              <w:jc w:val="center"/>
              <w:ind w:right="7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20" w:type="dxa"/>
            <w:vAlign w:val="bottom"/>
            <w:gridSpan w:val="21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Section 16. Form 4 or Form 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1"/>
                <w:szCs w:val="11"/>
                <w:i w:val="1"/>
                <w:iCs w:val="1"/>
                <w:color w:val="auto"/>
              </w:rPr>
              <w:t>See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80" w:type="dxa"/>
            <w:vAlign w:val="bottom"/>
            <w:gridSpan w:val="17"/>
            <w:vMerge w:val="restart"/>
          </w:tcPr>
          <w:p>
            <w:pPr>
              <w:jc w:val="center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4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Instruction 1(b).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8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80" w:type="dxa"/>
            <w:vAlign w:val="bottom"/>
            <w:gridSpan w:val="1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</w:tcPr>
          <w:p>
            <w:pPr>
              <w:jc w:val="center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or Section 30(h) of the Investment Company Act of 1940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2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Ho William Tai-Wei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ind w:left="60"/>
              <w:spacing w:after="0" w:line="102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IN8BIO,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INAB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7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04/14/2023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C/O IN8BIO, INC.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and CEO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350 5TH AVE. SUITE 5330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04/18/2023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8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Rule 10b5-1(c) Transaction Indication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0" w:type="dxa"/>
            <w:vAlign w:val="bottom"/>
            <w:gridSpan w:val="2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Check this box to indicate that a transaction was made pursuant to a contract, instruction or written plan that is intended to satisfy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0" w:type="dxa"/>
            <w:vAlign w:val="bottom"/>
            <w:gridSpan w:val="2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0" w:type="dxa"/>
            <w:vAlign w:val="bottom"/>
            <w:gridSpan w:val="1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the affirmative defense conditions of Rule 10b5-1(c). See Instruction 10.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8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8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1.21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04/14/2033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393,950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77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04/14/2023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5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393,950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393,950</w:t>
            </w: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-10795</wp:posOffset>
            </wp:positionH>
            <wp:positionV relativeFrom="paragraph">
              <wp:posOffset>-5428615</wp:posOffset>
            </wp:positionV>
            <wp:extent cx="7047230" cy="55784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57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initial Form 4 inadvertently listed the wrong exercise price and expiration date. This amendment reflects the revised exercise price and expiration date for this option.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/>
        <w:spacing w:after="0" w:line="244" w:lineRule="auto"/>
        <w:tabs>
          <w:tab w:leader="none" w:pos="16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Twenty-five percent (25%) of the shares subject to the option shall vest on April 14, 2024 and the remaining shares subject to the option shall vest in thirty-six (36) equal monthly installments thereafter, subject to the Reporting Person continuing to provide service through each such date.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Jason Minio, Attorney-in-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06/23/2023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78"/>
              </w:rPr>
              <w:t>Fact</w:t>
            </w:r>
          </w:p>
        </w:tc>
        <w:tc>
          <w:tcPr>
            <w:tcW w:w="16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/>
        <w:spacing w:after="0" w:line="32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830914" TargetMode="External"/><Relationship Id="rId9" Type="http://schemas.openxmlformats.org/officeDocument/2006/relationships/hyperlink" Target="http://www.sec.gov/cgi-bin/browse-edgar?action=getcompany&amp;CIK=0001740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2023-06-23T17:33:33Z</dcterms:created>
  <dcterms:modified xsi:type="dcterms:W3CDTF">2023-06-23T17:33:33Z</dcterms:modified>
</cp:coreProperties>
</file>