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lineRule="auto" w:line="273"/>
        <w:jc w:val="left"/>
        <w:rPr/>
      </w:pPr>
      <w:bookmarkStart w:id="0" w:name="inab-20260806.htm"/>
      <w:bookmarkStart w:id="1" w:name="ksinab20260806"/>
      <w:bookmarkEnd w:id="0"/>
      <w:bookmarkEnd w:id="1"/>
      <w:r>
        <w:rPr/>
        <w:t> </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spacing w:lineRule="auto" w:line="273"/>
        <w:ind w:left="4320" w:right="4320" w:hanging="0"/>
        <w:jc w:val="left"/>
        <w:rPr/>
      </w:pPr>
      <w:r>
        <w:rPr/>
        <w:t> </w:t>
      </w:r>
    </w:p>
    <w:p>
      <w:pPr>
        <w:pStyle w:val="Heading2"/>
        <w:bidi w:val="0"/>
        <w:spacing w:lineRule="auto" w:line="273"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spacing w:lineRule="auto" w:line="273"/>
        <w:ind w:left="4320" w:right="4320" w:hanging="0"/>
        <w:jc w:val="left"/>
        <w:rPr/>
      </w:pPr>
      <w:r>
        <w:rPr/>
        <w:t> </w:t>
      </w:r>
    </w:p>
    <w:p>
      <w:pPr>
        <w:pStyle w:val="TextBody"/>
        <w:bidi w:val="0"/>
        <w:spacing w:lineRule="auto" w:line="273"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lineRule="auto" w:line="273"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lineRule="auto" w:line="252"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lineRule="auto" w:line="273"/>
        <w:ind w:left="4320" w:right="4320" w:hanging="0"/>
        <w:jc w:val="left"/>
        <w:rPr/>
      </w:pPr>
      <w:r>
        <w:rPr/>
        <w:t> </w:t>
      </w:r>
    </w:p>
    <w:p>
      <w:pPr>
        <w:pStyle w:val="TextBody"/>
        <w:bidi w:val="0"/>
        <w:spacing w:lineRule="atLeast" w:line="142"/>
        <w:jc w:val="left"/>
        <w:rPr/>
      </w:pPr>
      <w:r>
        <w:rPr/>
        <w:t> </w:t>
      </w:r>
    </w:p>
    <w:p>
      <w:pPr>
        <w:pStyle w:val="TextBody"/>
        <w:bidi w:val="0"/>
        <w:spacing w:lineRule="auto" w:line="273" w:before="100" w:after="283"/>
        <w:jc w:val="center"/>
        <w:rPr>
          <w:rFonts w:ascii="Times New Roman" w:hAnsi="Times New Roman"/>
          <w:b/>
          <w:color w:val="000000"/>
          <w:sz w:val="48"/>
        </w:rPr>
      </w:pPr>
      <w:r>
        <w:rPr>
          <w:rFonts w:ascii="Times New Roman" w:hAnsi="Times New Roman"/>
          <w:b/>
          <w:color w:val="000000"/>
          <w:sz w:val="48"/>
        </w:rPr>
        <w:t>IN8bio, Inc.</w:t>
      </w:r>
    </w:p>
    <w:p>
      <w:pPr>
        <w:pStyle w:val="TextBody"/>
        <w:bidi w:val="0"/>
        <w:spacing w:lineRule="auto" w:line="273"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lineRule="auto" w:line="273"/>
        <w:ind w:left="4320" w:right="4320" w:hanging="0"/>
        <w:jc w:val="left"/>
        <w:rPr/>
      </w:pPr>
      <w:r>
        <w:rPr/>
        <w:t> </w:t>
      </w:r>
    </w:p>
    <w:p>
      <w:pPr>
        <w:pStyle w:val="TextBody"/>
        <w:bidi w:val="0"/>
        <w:spacing w:lineRule="auto" w:line="273"/>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001-39692</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82-5462585</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350 5th Avenue, Suite 5330</w:t>
            </w:r>
          </w:p>
        </w:tc>
        <w:tc>
          <w:tcPr>
            <w:tcW w:w="3182" w:type="dxa"/>
            <w:gridSpan w:val="2"/>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10118</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lineRule="auto" w:line="273"/>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lineRule="auto" w:line="252"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646</w:t>
            </w:r>
            <w:r>
              <w:rPr>
                <w:rFonts w:ascii="Times New Roman" w:hAnsi="Times New Roman"/>
                <w:color w:val="000000"/>
                <w:sz w:val="20"/>
              </w:rPr>
              <w:t xml:space="preserve"> </w:t>
            </w:r>
            <w:r>
              <w:rPr>
                <w:rFonts w:ascii="Times New Roman" w:hAnsi="Times New Roman"/>
                <w:b/>
                <w:color w:val="000000"/>
                <w:sz w:val="20"/>
              </w:rPr>
              <w:t>600-6438</w:t>
            </w:r>
          </w:p>
        </w:tc>
      </w:tr>
    </w:tbl>
    <w:p>
      <w:pPr>
        <w:pStyle w:val="TextBody"/>
        <w:bidi w:val="0"/>
        <w:spacing w:lineRule="auto" w:line="273"/>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spacing w:lineRule="auto" w:line="27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lineRule="auto" w:line="273"/>
        <w:ind w:left="4320" w:right="4320" w:hanging="0"/>
        <w:jc w:val="left"/>
        <w:rPr/>
      </w:pPr>
      <w:r>
        <w:rPr/>
        <w:t> </w:t>
      </w:r>
    </w:p>
    <w:p>
      <w:pPr>
        <w:pStyle w:val="TextBody"/>
        <w:bidi w:val="0"/>
        <w:spacing w:lineRule="auto" w:line="273"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3"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lineRule="auto" w:line="273"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lineRule="auto" w:line="273"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lineRule="auto" w:line="273"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lineRule="auto" w:line="273"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INAB</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73"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lineRule="auto" w:line="273"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lineRule="auto" w:line="273"/>
        <w:jc w:val="left"/>
        <w:rPr/>
      </w:pPr>
      <w:r>
        <w:rPr/>
        <w:t> </w:t>
      </w:r>
    </w:p>
    <w:p>
      <w:pPr>
        <w:pStyle w:val="HorizontalLine"/>
        <w:pBdr>
          <w:bottom w:val="double" w:sz="2" w:space="0" w:color="808080"/>
        </w:pBdr>
        <w:bidi w:val="0"/>
        <w:spacing w:before="0" w:after="283"/>
        <w:jc w:val="left"/>
        <w:rPr/>
      </w:pPr>
      <w:r>
        <w:rPr/>
      </w:r>
    </w:p>
    <w:p>
      <w:pPr>
        <w:pStyle w:val="Heading2"/>
        <w:bidi w:val="0"/>
        <w:spacing w:lineRule="auto" w:line="273"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August 6, 2026, IN8bio, Inc. (the "Company") issued a press release announcing its financial results for the second quarter ended June 30, 2026. A copy of the press release is furnished as Exhibit 99.1 to this Current Report on Form 8-K and is incorporated herein by reference.</w:t>
      </w:r>
    </w:p>
    <w:p>
      <w:pPr>
        <w:pStyle w:val="TextBody"/>
        <w:bidi w:val="0"/>
        <w:spacing w:lineRule="auto" w:line="273"/>
        <w:jc w:val="left"/>
        <w:rPr/>
      </w:pPr>
      <w:r>
        <w:rP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The information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Heading2"/>
        <w:bidi w:val="0"/>
        <w:spacing w:lineRule="auto" w:line="273" w:before="360" w:after="120"/>
        <w:jc w:val="both"/>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d) Exhibits.</w:t>
      </w:r>
    </w:p>
    <w:p>
      <w:pPr>
        <w:pStyle w:val="TextBody"/>
        <w:bidi w:val="0"/>
        <w:spacing w:lineRule="auto" w:line="273"/>
        <w:jc w:val="left"/>
        <w:rPr/>
      </w:pPr>
      <w:r>
        <w:rPr/>
        <w:t> </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66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lineRule="auto" w:line="252" w:before="0" w:after="283"/>
              <w:jc w:val="left"/>
              <w:rPr/>
            </w:pPr>
            <w:hyperlink w:anchor="inab-ex99_1.htm">
              <w:r>
                <w:rPr>
                  <w:rStyle w:val="InternetLink"/>
                  <w:rFonts w:ascii="Times New Roman" w:hAnsi="Times New Roman"/>
                  <w:color w:val="0000FF"/>
                  <w:sz w:val="20"/>
                  <w:u w:val="single"/>
                </w:rPr>
                <w:t>Press Release, dated August 6, 2026.</w:t>
              </w:r>
            </w:hyperlink>
          </w:p>
        </w:tc>
      </w:tr>
      <w:tr>
        <w:trPr/>
        <w:tc>
          <w:tcPr>
            <w:tcW w:w="10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0" w:after="12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73"/>
        <w:jc w:val="left"/>
        <w:rPr/>
      </w:pPr>
      <w:r>
        <w:rPr/>
        <w:t> </w:t>
      </w:r>
    </w:p>
    <w:tbl>
      <w:tblPr>
        <w:tblW w:w="6184" w:type="dxa"/>
        <w:jc w:val="left"/>
        <w:tblInd w:w="0" w:type="dxa"/>
        <w:tblLayout w:type="fixed"/>
        <w:tblCellMar>
          <w:top w:w="28" w:type="dxa"/>
          <w:left w:w="28" w:type="dxa"/>
          <w:bottom w:w="28" w:type="dxa"/>
          <w:right w:w="28" w:type="dxa"/>
        </w:tblCellMar>
      </w:tblPr>
      <w:tblGrid>
        <w:gridCol w:w="556"/>
        <w:gridCol w:w="1351"/>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August 6, 2026</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lineRule="auto" w:line="252"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4"/>
        </w:rPr>
      </w:pPr>
      <w:bookmarkStart w:id="2" w:name="inab-ex99_1.htm"/>
      <w:bookmarkStart w:id="3" w:name="ksinabex99_1"/>
      <w:bookmarkEnd w:id="2"/>
      <w:bookmarkEnd w:id="3"/>
      <w:r>
        <w:rPr>
          <w:rFonts w:ascii="Arial" w:hAnsi="Arial"/>
          <w:b/>
          <w:color w:val="000000"/>
          <w:sz w:val="24"/>
        </w:rPr>
        <w:t>Exhibit 99.1</w:t>
      </w:r>
      <w:r>
        <w:br w:type="page"/>
      </w:r>
    </w:p>
    <w:p>
      <w:pPr>
        <w:pStyle w:val="TextBody"/>
        <w:bidi w:val="0"/>
        <w:spacing w:lineRule="auto" w:line="273"/>
        <w:jc w:val="right"/>
        <w:rPr/>
      </w:pPr>
      <w:r>
        <w:rPr/>
        <w:t> </w:t>
      </w:r>
    </w:p>
    <w:p>
      <w:pPr>
        <w:pStyle w:val="TextBody"/>
        <w:bidi w:val="0"/>
        <w:spacing w:lineRule="auto" w:line="273"/>
        <w:jc w:val="center"/>
        <w:rPr>
          <w:rFonts w:ascii="Arial" w:hAnsi="Arial"/>
          <w:b/>
          <w:color w:val="000000"/>
          <w:sz w:val="24"/>
        </w:rPr>
      </w:pPr>
      <w:r>
        <w:rPr>
          <w:rFonts w:ascii="Arial" w:hAnsi="Arial"/>
          <w:b/>
          <w:color w:val="000000"/>
          <w:sz w:val="24"/>
        </w:rPr>
        <w:t>IN8bio Reports Second Quarter 2026 Financial Results and Recent Business Highlights</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pPr>
      <w:r>
        <w:rPr>
          <w:rFonts w:ascii="Arial" w:hAnsi="Arial"/>
          <w:color w:val="000000"/>
          <w:sz w:val="24"/>
        </w:rPr>
        <w:t xml:space="preserve">Advanced next-generation gamma delta (γδ) T cell engager (TCE) platform demonstrating a novel mechanism for γδ T cell expansion, deep target cell depletion, and favorable cytokine profile; Initial </w:t>
      </w:r>
      <w:r>
        <w:rPr>
          <w:rFonts w:ascii="Arial" w:hAnsi="Arial"/>
          <w:i/>
          <w:color w:val="000000"/>
          <w:sz w:val="24"/>
        </w:rPr>
        <w:t>in vivo</w:t>
      </w:r>
      <w:r>
        <w:rPr>
          <w:color w:val="000000"/>
        </w:rPr>
        <w:t xml:space="preserve"> </w:t>
      </w:r>
      <w:r>
        <w:rPr>
          <w:rFonts w:ascii="Arial" w:hAnsi="Arial"/>
          <w:color w:val="000000"/>
          <w:sz w:val="24"/>
        </w:rPr>
        <w:t>data expected in the second half of 2026</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Presented updated data at ASCO 2026 demonstrating median overall survival (mOS) exceeding 19.5 months and still climbing, across all patients with newly diagnosed glioblastoma (GBM) treated with repeat-dosing of DeltEx Drug Resistant Immunotherapy (DRI)</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pPr>
      <w:r>
        <w:rPr>
          <w:rFonts w:ascii="Arial" w:hAnsi="Arial"/>
          <w:color w:val="000000"/>
          <w:sz w:val="24"/>
        </w:rPr>
        <w:t xml:space="preserve">Published peer-reviewed clinical data from Phase 1 INB-200 trial in </w:t>
      </w:r>
      <w:r>
        <w:rPr>
          <w:rFonts w:ascii="Arial" w:hAnsi="Arial"/>
          <w:i/>
          <w:color w:val="000000"/>
          <w:sz w:val="24"/>
        </w:rPr>
        <w:t>The Journal of Clinical Oncology</w:t>
      </w:r>
      <w:r>
        <w:rPr>
          <w:color w:val="000000"/>
        </w:rPr>
        <w:t xml:space="preserve"> </w:t>
      </w:r>
      <w:r>
        <w:rPr>
          <w:rFonts w:ascii="Arial" w:hAnsi="Arial"/>
          <w:color w:val="000000"/>
          <w:sz w:val="24"/>
        </w:rPr>
        <w:t xml:space="preserve">(JCO) demonstrating DeltEx DRI more than doubled expected median progression-free survival (mPFS) in newly diagnosed GBM </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Reported new translational AI proteomic and immunogenomic analyses demonstrating DeltEx DRI preserves immune function and positively remodels the GBM tumor microenvironment, providing additional evidence supporting its therapeutic efficacy potential</w:t>
      </w:r>
    </w:p>
    <w:p>
      <w:pPr>
        <w:pStyle w:val="TextBody"/>
        <w:bidi w:val="0"/>
        <w:spacing w:lineRule="auto" w:line="273" w:before="160" w:after="283"/>
        <w:jc w:val="left"/>
        <w:rPr>
          <w:rFonts w:ascii="Times New Roman" w:hAnsi="Times New Roman"/>
          <w:sz w:val="20"/>
        </w:rPr>
      </w:pPr>
      <w:r>
        <w:rPr>
          <w:rFonts w:ascii="Arial" w:hAnsi="Arial"/>
          <w:color w:val="000000"/>
          <w:sz w:val="24"/>
        </w:rPr>
        <w:t xml:space="preserve">NEW YORK, August 6, 2026 - </w:t>
      </w:r>
      <w:r>
        <w:rPr>
          <w:rFonts w:ascii="Arial" w:hAnsi="Arial"/>
          <w:color w:val="467886"/>
          <w:sz w:val="24"/>
          <w:u w:val="single"/>
        </w:rPr>
        <w:t>IN8bio, Inc.</w:t>
      </w:r>
      <w:r>
        <w:rPr>
          <w:rFonts w:ascii="Times New Roman" w:hAnsi="Times New Roman"/>
          <w:color w:val="000000"/>
          <w:sz w:val="20"/>
        </w:rPr>
        <w:t xml:space="preserve"> </w:t>
      </w:r>
      <w:r>
        <w:rPr>
          <w:rFonts w:ascii="Arial" w:hAnsi="Arial"/>
          <w:color w:val="000000"/>
          <w:sz w:val="24"/>
        </w:rPr>
        <w:t>(Nasdaq: INAB), a clinical-stage biopharmaceutical company developing innovative gamma-delta (γδ) T cell therapies and γδ T cell engagers (TCEs) for cancer and autoimmune diseases, today reported financial results and business highlights for the second quarter ended June 30, 2026.</w:t>
      </w:r>
    </w:p>
    <w:p>
      <w:pPr>
        <w:pStyle w:val="TextBody"/>
        <w:bidi w:val="0"/>
        <w:spacing w:lineRule="auto" w:line="273" w:before="160" w:after="283"/>
        <w:jc w:val="left"/>
        <w:rPr/>
      </w:pPr>
      <w:r>
        <w:rPr>
          <w:color w:val="000000"/>
        </w:rPr>
        <w:t>“</w:t>
      </w:r>
      <w:r>
        <w:rPr>
          <w:rFonts w:ascii="Arial" w:hAnsi="Arial"/>
          <w:color w:val="000000"/>
          <w:sz w:val="24"/>
        </w:rPr>
        <w:t xml:space="preserve">The second quarter marked an important period of scientific and clinical validation for γδ T cell therapeutics and IN8bio. Our γδ TCE platform is progressing, with INB-619 advancing into initial animal models. We are pleased to remain on track for reporting initial </w:t>
      </w:r>
      <w:r>
        <w:rPr>
          <w:rFonts w:ascii="Arial" w:hAnsi="Arial"/>
          <w:i/>
          <w:color w:val="000000"/>
          <w:sz w:val="24"/>
        </w:rPr>
        <w:t>in vivo</w:t>
      </w:r>
      <w:r>
        <w:rPr>
          <w:rFonts w:ascii="Times New Roman" w:hAnsi="Times New Roman"/>
          <w:color w:val="000000"/>
          <w:sz w:val="20"/>
        </w:rPr>
        <w:t xml:space="preserve"> </w:t>
      </w:r>
      <w:r>
        <w:rPr>
          <w:rFonts w:ascii="Arial" w:hAnsi="Arial"/>
          <w:color w:val="000000"/>
          <w:sz w:val="24"/>
        </w:rPr>
        <w:t>data this year,” said William Ho, Chief Executive Officer and co-founder of IN8bio. “In addition, peer-reviewed and updated clinical data from our glioblastoma program continue to demonstrate a favorable safety profile and provide strong evidence that γδ T cells are clinically active and can be delivered safely to potentially improve patient outcomes. We remain focused on disciplined execution, as we continue to seek a regulatory pathway for our glioblastoma program, with the ultimate goal of bringing much needed treatment to patients.”</w:t>
      </w:r>
    </w:p>
    <w:p>
      <w:pPr>
        <w:pStyle w:val="TextBody"/>
        <w:bidi w:val="0"/>
        <w:spacing w:lineRule="auto" w:line="273" w:before="160" w:after="283"/>
        <w:jc w:val="left"/>
        <w:rPr>
          <w:rFonts w:ascii="Arial" w:hAnsi="Arial"/>
          <w:b/>
          <w:color w:val="000000"/>
          <w:sz w:val="24"/>
        </w:rPr>
      </w:pPr>
      <w:r>
        <w:rPr>
          <w:rFonts w:ascii="Arial" w:hAnsi="Arial"/>
          <w:b/>
          <w:color w:val="000000"/>
          <w:sz w:val="24"/>
        </w:rPr>
        <w:t>Advancing Next-Generation γδ TCE Platform (INB-619)</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 xml:space="preserve">Continued advancement of proprietary INB-600 platform of novel γδ T cell engagers, designed to selectively eliminate targets such as CD19, potentially reducing toxicities including cytokine release syndrome (CRS) and infections, while expanding the therapeutic window compared with conventional CD3-targeting T cell engagers.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 xml:space="preserve">Advancing INB-619, a CD19-targeting γδ T cell engager for oncology and autoimmune diseases, into IND-enabling studies following encouraging early preclinical data demonstrating complete B cell depletion, robust γδ T cell expansion, and minimal CRS-associated cytokine release, including IL-6 and TNF-α. </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pPr>
      <w:r>
        <w:rPr>
          <w:rFonts w:ascii="Arial" w:hAnsi="Arial"/>
          <w:color w:val="000000"/>
          <w:sz w:val="24"/>
        </w:rPr>
        <w:t xml:space="preserve">Remain on track to report initial </w:t>
      </w:r>
      <w:r>
        <w:rPr>
          <w:rFonts w:ascii="Arial" w:hAnsi="Arial"/>
          <w:i/>
          <w:color w:val="000000"/>
          <w:sz w:val="24"/>
        </w:rPr>
        <w:t>in vivo</w:t>
      </w:r>
      <w:r>
        <w:rPr>
          <w:color w:val="000000"/>
        </w:rPr>
        <w:t xml:space="preserve"> </w:t>
      </w:r>
      <w:r>
        <w:rPr>
          <w:rFonts w:ascii="Arial" w:hAnsi="Arial"/>
          <w:color w:val="000000"/>
          <w:sz w:val="24"/>
        </w:rPr>
        <w:t xml:space="preserve">preclinical data in the second half of 2026. </w:t>
      </w:r>
    </w:p>
    <w:p>
      <w:pPr>
        <w:pStyle w:val="TextBody"/>
        <w:bidi w:val="0"/>
        <w:spacing w:lineRule="auto" w:line="273" w:before="160" w:after="283"/>
        <w:jc w:val="left"/>
        <w:rPr>
          <w:rFonts w:ascii="Arial" w:hAnsi="Arial"/>
          <w:b/>
          <w:color w:val="000000"/>
          <w:sz w:val="24"/>
        </w:rPr>
      </w:pPr>
      <w:r>
        <w:rPr>
          <w:rFonts w:ascii="Arial" w:hAnsi="Arial"/>
          <w:b/>
          <w:color w:val="000000"/>
          <w:sz w:val="24"/>
        </w:rPr>
        <w:t>Reported Clinical and Translational Advances for DeltEx DRI in Newly Diagnosed Glioblastoma</w:t>
      </w:r>
    </w:p>
    <w:p>
      <w:pPr>
        <w:pStyle w:val="TextBody"/>
        <w:bidi w:val="0"/>
        <w:spacing w:lineRule="auto" w:line="273" w:before="160" w:after="283"/>
        <w:jc w:val="left"/>
        <w:rPr>
          <w:rFonts w:ascii="Arial" w:hAnsi="Arial"/>
          <w:color w:val="000000"/>
          <w:sz w:val="24"/>
        </w:rPr>
      </w:pPr>
      <w:r>
        <w:rPr>
          <w:rFonts w:ascii="Arial" w:hAnsi="Arial"/>
          <w:color w:val="000000"/>
          <w:sz w:val="24"/>
        </w:rPr>
        <w:t>During the second quarter, IN8bio reported multiple clinical and scientific milestones supporting the clinical activity of γδ T cells and IN8bio’s DeltEx DRI platform:</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pPr>
      <w:r>
        <w:rPr>
          <w:rFonts w:ascii="Arial" w:hAnsi="Arial"/>
          <w:color w:val="000000"/>
          <w:sz w:val="24"/>
        </w:rPr>
        <w:t xml:space="preserve">Published the first peer-reviewed clinical results of DeltEx DRI in newly diagnosed GBM in </w:t>
      </w:r>
      <w:r>
        <w:rPr>
          <w:rFonts w:ascii="Arial" w:hAnsi="Arial"/>
          <w:i/>
          <w:color w:val="467886"/>
          <w:sz w:val="24"/>
          <w:u w:val="single"/>
        </w:rPr>
        <w:t>The Journal of Clinical Oncology</w:t>
      </w:r>
      <w:r>
        <w:rPr>
          <w:rFonts w:ascii="Arial" w:hAnsi="Arial"/>
          <w:color w:val="000000"/>
          <w:sz w:val="24"/>
        </w:rPr>
        <w:t xml:space="preserve">. Among all patients treated, no dose-limiting toxicities (DLTs), CRS or immune effector cell-associated neurotoxicity syndrome (ICANS) were observed. </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 xml:space="preserve">Presented updated clinical data at the 2026 American Society of Clinical Oncology (ASCO) Annual Meeting demonstrating encouraging survival benefit in repeat-dose treated patients, with mPFS of 13.0 months versus 6.6 months for contemporaneously enrolled patients receiving only standard-of-care (SOC) and mOS exceeding 19.5+ months versus 13.2 months for SOC. </w:t>
      </w:r>
    </w:p>
    <w:p>
      <w:pPr>
        <w:pStyle w:val="TextBody"/>
        <w:bidi w:val="0"/>
        <w:spacing w:lineRule="auto" w:line="273" w:before="160" w:after="283"/>
        <w:ind w:left="97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 xml:space="preserve">Approximately 43% of repeat-dose patients remained alive at 24 months compared with 20% of SOC patients. </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 xml:space="preserve">Presented new translational data at the International Society for Cell &amp; Gene Therapy (ISCT) and International Society for Cell &amp; Gene Therapy (ISCT) and American Society of Gene &amp; Cell Therapy (ASGCT) Annual Meetings integrating artificial intelligence (AI), immunogenomics, histopathology, transcriptomics and spatial proteomics. Repeated DeltEx DRI dosing demonstrated preserved immune function during chemotherapy and positively remodeled the glioblastoma tumor microenvironment. </w:t>
      </w:r>
    </w:p>
    <w:p>
      <w:pPr>
        <w:pStyle w:val="TextBody"/>
        <w:bidi w:val="0"/>
        <w:spacing w:lineRule="auto" w:line="273" w:before="160" w:after="283"/>
        <w:ind w:left="97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 xml:space="preserve">Spatial proteomics analyses demonstrated an 18-fold increase in intratumoral CD8+ T cell density and a 90% reduction in immunosuppressive granulocytes, providing mechanistic support for the clinical activity observed with DeltEx DRI.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pPr>
      <w:r>
        <w:rPr>
          <w:rFonts w:ascii="Arial" w:hAnsi="Arial"/>
          <w:color w:val="000000"/>
          <w:sz w:val="24"/>
        </w:rPr>
        <w:t xml:space="preserve">IN8bio Chief Scientific Officer Lawrence Lamb co-authored a review in </w:t>
      </w:r>
      <w:r>
        <w:rPr>
          <w:rFonts w:ascii="Arial" w:hAnsi="Arial"/>
          <w:i/>
          <w:color w:val="467886"/>
          <w:sz w:val="24"/>
          <w:u w:val="single"/>
        </w:rPr>
        <w:t>Nature Communications</w:t>
      </w:r>
      <w:r>
        <w:rPr>
          <w:color w:val="000000"/>
        </w:rPr>
        <w:t xml:space="preserve"> </w:t>
      </w:r>
      <w:r>
        <w:rPr>
          <w:rFonts w:ascii="Arial" w:hAnsi="Arial"/>
          <w:color w:val="000000"/>
          <w:sz w:val="24"/>
        </w:rPr>
        <w:t xml:space="preserve">highlighting advances in γδ T cell engineering, γδ T cell engagers, CAR γδ T cells and combination immunotherapy strategies, reinforcing IN8bio's scientific leadership in the rapidly expanding γδ T cell field. </w:t>
      </w:r>
    </w:p>
    <w:p>
      <w:pPr>
        <w:pStyle w:val="TextBody"/>
        <w:bidi w:val="0"/>
        <w:spacing w:lineRule="auto" w:line="273" w:before="160" w:after="283"/>
        <w:ind w:left="97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The publication highlights the potential of “off-the-shelf” γδ T cell therapies, driven by the cells’ lack of graft-versus-host disease (GvHD), and the growing clinical evidence supporting their application across hematologic malignancies and solid tumors, including GBM.</w:t>
      </w:r>
    </w:p>
    <w:p>
      <w:pPr>
        <w:pStyle w:val="TextBody"/>
        <w:bidi w:val="0"/>
        <w:spacing w:lineRule="auto" w:line="273" w:before="160" w:after="283"/>
        <w:jc w:val="left"/>
        <w:rPr>
          <w:rFonts w:ascii="Arial" w:hAnsi="Arial"/>
          <w:b/>
          <w:color w:val="000000"/>
          <w:sz w:val="24"/>
        </w:rPr>
      </w:pPr>
      <w:r>
        <w:rPr>
          <w:rFonts w:ascii="Arial" w:hAnsi="Arial"/>
          <w:b/>
          <w:color w:val="000000"/>
          <w:sz w:val="24"/>
        </w:rPr>
        <w:t>Upcoming Anticipated Milestones</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 xml:space="preserve">Report initial preclinical animal data for INB-619 in the second half of 2026. </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 xml:space="preserve">Report on FDA discussions regarding the potential regulatory pathways for the DeltEx DRI GBM program. </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 xml:space="preserve">INB-100 program clinical update at a scientific meeting in late 2026. </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rFonts w:ascii="Arial" w:hAnsi="Arial"/>
          <w:color w:val="000000"/>
          <w:sz w:val="24"/>
        </w:rPr>
      </w:pPr>
      <w:r>
        <w:rPr>
          <w:rFonts w:ascii="Arial" w:hAnsi="Arial"/>
          <w:color w:val="000000"/>
          <w:sz w:val="24"/>
        </w:rPr>
        <w:t>Provide additional clinical and translational updates from the DeltEx DRI GBM program.</w:t>
      </w:r>
    </w:p>
    <w:p>
      <w:pPr>
        <w:pStyle w:val="TextBody"/>
        <w:bidi w:val="0"/>
        <w:spacing w:lineRule="auto" w:line="273" w:before="160" w:after="283"/>
        <w:jc w:val="left"/>
        <w:rPr>
          <w:rFonts w:ascii="Arial" w:hAnsi="Arial"/>
          <w:b/>
          <w:color w:val="000000"/>
          <w:sz w:val="24"/>
        </w:rPr>
      </w:pPr>
      <w:r>
        <w:rPr>
          <w:rFonts w:ascii="Arial" w:hAnsi="Arial"/>
          <w:b/>
          <w:color w:val="000000"/>
          <w:sz w:val="24"/>
        </w:rPr>
        <w:t>Second Quarter 2026 Financial Highlights</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pPr>
      <w:r>
        <w:rPr>
          <w:rFonts w:ascii="Arial" w:hAnsi="Arial"/>
          <w:b/>
          <w:color w:val="000000"/>
          <w:sz w:val="24"/>
        </w:rPr>
        <w:t xml:space="preserve">Cash position: </w:t>
      </w:r>
      <w:r>
        <w:rPr>
          <w:rFonts w:ascii="Arial" w:hAnsi="Arial"/>
          <w:color w:val="000000"/>
          <w:sz w:val="24"/>
        </w:rPr>
        <w:t>As of June 30, 2026, the Company had cash of $18.0 million, compared with $13.2 million, for the comparable prior year period.</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pPr>
      <w:r>
        <w:rPr>
          <w:rFonts w:ascii="Arial" w:hAnsi="Arial"/>
          <w:b/>
          <w:color w:val="000000"/>
          <w:sz w:val="24"/>
        </w:rPr>
        <w:t xml:space="preserve">Research and Development (R&amp;D) expenses: </w:t>
      </w:r>
      <w:r>
        <w:rPr>
          <w:rFonts w:ascii="Arial" w:hAnsi="Arial"/>
          <w:color w:val="000000"/>
          <w:sz w:val="24"/>
        </w:rPr>
        <w:t xml:space="preserve">R&amp;D expenses were $2.5 million for the three months ended June 30, 2026, compared with $2.5 million for the comparable prior year period. These amounts include non-cash items such as stock-based compensation (SBC) and depreciation. </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pPr>
      <w:r>
        <w:rPr>
          <w:rFonts w:ascii="Arial" w:hAnsi="Arial"/>
          <w:b/>
          <w:color w:val="000000"/>
          <w:sz w:val="24"/>
        </w:rPr>
        <w:t>General and administrative (G&amp;A) expenses:</w:t>
      </w:r>
      <w:r>
        <w:rPr>
          <w:color w:val="000000"/>
        </w:rPr>
        <w:t xml:space="preserve"> </w:t>
      </w:r>
      <w:r>
        <w:rPr>
          <w:rFonts w:ascii="Arial" w:hAnsi="Arial"/>
          <w:color w:val="000000"/>
          <w:sz w:val="24"/>
        </w:rPr>
        <w:t>G&amp;A expenses were $2.4 million for the three months ended June 30, 2026, compared with $2.7 million for the comparable prior year period. These amounts include non-cash items such as SBC and depreciation.</w:t>
      </w:r>
    </w:p>
    <w:p>
      <w:pPr>
        <w:pStyle w:val="TextBody"/>
        <w:bidi w:val="0"/>
        <w:spacing w:lineRule="auto" w:line="273" w:before="160" w:after="283"/>
        <w:ind w:left="489" w:right="0" w:hanging="0"/>
        <w:jc w:val="left"/>
        <w:rPr>
          <w:color w:val="000000"/>
        </w:rPr>
      </w:pPr>
      <w:r>
        <w:rPr>
          <w:color w:val="000000"/>
        </w:rPr>
        <w:t>•</w:t>
      </w:r>
    </w:p>
    <w:p>
      <w:pPr>
        <w:pStyle w:val="TextBody"/>
        <w:bidi w:val="0"/>
        <w:spacing w:lineRule="auto" w:line="273" w:before="160" w:after="283"/>
        <w:jc w:val="left"/>
        <w:rPr/>
      </w:pPr>
      <w:r>
        <w:rPr>
          <w:rFonts w:ascii="Arial" w:hAnsi="Arial"/>
          <w:b/>
          <w:color w:val="000000"/>
          <w:sz w:val="24"/>
        </w:rPr>
        <w:t>Net loss:</w:t>
      </w:r>
      <w:r>
        <w:rPr>
          <w:color w:val="000000"/>
        </w:rPr>
        <w:t xml:space="preserve"> </w:t>
      </w:r>
      <w:r>
        <w:rPr>
          <w:rFonts w:ascii="Arial" w:hAnsi="Arial"/>
          <w:color w:val="000000"/>
          <w:sz w:val="24"/>
        </w:rPr>
        <w:t xml:space="preserve">The Company reported a net loss of $4.8 million, or $0.25 per basic and diluted common share, for the three months ended June 30, 2026, compared with a net loss of $5.1 million, or $1.24 per basic and diluted common share, for the comparable prior year period. </w:t>
      </w:r>
    </w:p>
    <w:p>
      <w:pPr>
        <w:pStyle w:val="TextBody"/>
        <w:bidi w:val="0"/>
        <w:spacing w:lineRule="auto" w:line="273" w:before="160" w:after="283"/>
        <w:jc w:val="left"/>
        <w:rPr>
          <w:rFonts w:ascii="Arial" w:hAnsi="Arial"/>
          <w:b/>
          <w:color w:val="000000"/>
          <w:sz w:val="24"/>
        </w:rPr>
      </w:pPr>
      <w:r>
        <w:rPr>
          <w:rFonts w:ascii="Arial" w:hAnsi="Arial"/>
          <w:b/>
          <w:color w:val="000000"/>
          <w:sz w:val="24"/>
        </w:rPr>
        <w:t>About IN8bio</w:t>
      </w:r>
    </w:p>
    <w:p>
      <w:pPr>
        <w:pStyle w:val="TextBody"/>
        <w:bidi w:val="0"/>
        <w:spacing w:lineRule="auto" w:line="273" w:before="160" w:after="283"/>
        <w:jc w:val="left"/>
        <w:rPr>
          <w:rFonts w:ascii="Times New Roman" w:hAnsi="Times New Roman"/>
          <w:sz w:val="20"/>
        </w:rPr>
      </w:pPr>
      <w:r>
        <w:rPr>
          <w:rFonts w:ascii="Arial" w:hAnsi="Arial"/>
          <w:color w:val="000000"/>
          <w:sz w:val="24"/>
        </w:rPr>
        <w:t>IN8bio is a clinical-stage biopharmaceutical company developing γδ T cell and γδ T cell engager (TCE) product candidates to address unmet medical needs. γδ T cells are a specialized population of T cells that possess unique properties, including the ability to differentiate between healthy and diseased tissue. The Company’s pipeline is anchored by INB-600, a novel γδ T cell engager platform with potential applications across oncology and autoimmune indications. IN8bio is also advancing INB-100, an allogeneic γδ T cell candidate for adult patients with high-risk leukemias undergoing haploidentical</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160" w:after="283"/>
        <w:jc w:val="left"/>
        <w:rPr>
          <w:rFonts w:ascii="Times New Roman" w:hAnsi="Times New Roman"/>
          <w:sz w:val="20"/>
        </w:rPr>
      </w:pPr>
      <w:r>
        <w:rPr>
          <w:rFonts w:ascii="Arial" w:hAnsi="Arial"/>
          <w:color w:val="000000"/>
          <w:sz w:val="24"/>
        </w:rPr>
        <w:t xml:space="preserve">stem cell transplantation, and INB-200/400, an autologous genetically modified γδ T cell candidate for newly diagnosed glioblastoma (GBM). For more information about IN8bio, visit </w:t>
      </w:r>
      <w:r>
        <w:rPr>
          <w:rFonts w:ascii="Arial" w:hAnsi="Arial"/>
          <w:color w:val="467886"/>
          <w:sz w:val="24"/>
          <w:u w:val="single"/>
        </w:rPr>
        <w:t>www.IN8bio.com</w:t>
      </w:r>
      <w:r>
        <w:rPr>
          <w:rFonts w:ascii="Arial" w:hAnsi="Arial"/>
          <w:color w:val="000000"/>
          <w:sz w:val="24"/>
        </w:rPr>
        <w:t>.</w:t>
      </w:r>
      <w:r>
        <w:rPr>
          <w:rFonts w:ascii="Times New Roman" w:hAnsi="Times New Roman"/>
          <w:color w:val="000000"/>
          <w:sz w:val="20"/>
        </w:rPr>
        <w:t xml:space="preserve"> </w:t>
      </w:r>
    </w:p>
    <w:p>
      <w:pPr>
        <w:pStyle w:val="TextBody"/>
        <w:bidi w:val="0"/>
        <w:spacing w:lineRule="auto" w:line="264" w:before="160" w:after="283"/>
        <w:jc w:val="left"/>
        <w:rPr>
          <w:rFonts w:ascii="Arial" w:hAnsi="Arial"/>
          <w:b/>
          <w:color w:val="000000"/>
          <w:sz w:val="24"/>
        </w:rPr>
      </w:pPr>
      <w:r>
        <w:rPr>
          <w:rFonts w:ascii="Arial" w:hAnsi="Arial"/>
          <w:b/>
          <w:color w:val="000000"/>
          <w:sz w:val="24"/>
        </w:rPr>
        <w:t>Forward Looking Statements</w:t>
      </w:r>
    </w:p>
    <w:p>
      <w:pPr>
        <w:pStyle w:val="TextBody"/>
        <w:bidi w:val="0"/>
        <w:spacing w:lineRule="auto" w:line="264" w:before="160" w:after="283"/>
        <w:jc w:val="left"/>
        <w:rPr>
          <w:rFonts w:ascii="Times New Roman" w:hAnsi="Times New Roman"/>
          <w:sz w:val="20"/>
        </w:rPr>
      </w:pPr>
      <w:r>
        <w:rPr>
          <w:rFonts w:ascii="Arial" w:hAnsi="Arial"/>
          <w:color w:val="000000"/>
          <w:sz w:val="24"/>
        </w:rPr>
        <w:t xml:space="preserve">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therapeutic potential of IN8bio’s product candidates; the potential of IN8bio’s INB-600 platform to improve durability and safety compared with traditional CD3-targeting engagers; IN8bio’s ability to achieve anticipated milestones, including receipt of guidance from the FDA on regulatory pathways for the DeltEx DRI GBM program, expected presentations and data readouts from its preclinical studies and clinical trials including preclinical </w:t>
      </w:r>
      <w:r>
        <w:rPr>
          <w:rFonts w:ascii="Arial" w:hAnsi="Arial"/>
          <w:i/>
          <w:color w:val="000000"/>
          <w:sz w:val="24"/>
        </w:rPr>
        <w:t>in vivo</w:t>
      </w:r>
      <w:r>
        <w:rPr>
          <w:rFonts w:ascii="Times New Roman" w:hAnsi="Times New Roman"/>
          <w:color w:val="000000"/>
          <w:sz w:val="20"/>
        </w:rPr>
        <w:t xml:space="preserve"> </w:t>
      </w:r>
      <w:r>
        <w:rPr>
          <w:rFonts w:ascii="Arial" w:hAnsi="Arial"/>
          <w:color w:val="000000"/>
          <w:sz w:val="24"/>
        </w:rPr>
        <w:t>data for INB-619, patient dosing timelines and advancement of clinical development plans;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its development programs, or even terminate its operations; IN8bio’s ability to continue to operate as a going concern; the risk that IN8bio may not realize the intended benefits of its DeltEx platform and TCE program;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IN8bio’s actual results to differ from those contained in the forward-looking statements, which are described in greater detail in the section entitled “Risk Factors” in IN8bio’s Quarterly Report on Form 10-Q filed with the Securities and Exchange Commission (SEC) on May 7, 2026,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jc w:val="left"/>
        <w:rPr>
          <w:rFonts w:ascii="Arial" w:hAnsi="Arial"/>
          <w:b/>
          <w:color w:val="000000"/>
          <w:sz w:val="24"/>
        </w:rPr>
      </w:pPr>
      <w:r>
        <w:rPr>
          <w:rFonts w:ascii="Arial" w:hAnsi="Arial"/>
          <w:b/>
          <w:color w:val="000000"/>
          <w:sz w:val="24"/>
        </w:rPr>
        <w:t>Investors and Corporate Contact:</w:t>
      </w:r>
    </w:p>
    <w:p>
      <w:pPr>
        <w:pStyle w:val="TextBody"/>
        <w:bidi w:val="0"/>
        <w:spacing w:lineRule="auto" w:line="273"/>
        <w:jc w:val="left"/>
        <w:rPr>
          <w:rFonts w:ascii="Arial" w:hAnsi="Arial"/>
          <w:b/>
          <w:color w:val="000000"/>
          <w:sz w:val="24"/>
        </w:rPr>
      </w:pPr>
      <w:r>
        <w:rPr>
          <w:rFonts w:ascii="Arial" w:hAnsi="Arial"/>
          <w:b/>
          <w:color w:val="000000"/>
          <w:sz w:val="24"/>
        </w:rPr>
        <w:t>IN8bio, Inc.</w:t>
      </w:r>
    </w:p>
    <w:p>
      <w:pPr>
        <w:pStyle w:val="TextBody"/>
        <w:bidi w:val="0"/>
        <w:spacing w:lineRule="auto" w:line="273" w:before="160" w:after="283"/>
        <w:jc w:val="left"/>
        <w:rPr>
          <w:rFonts w:ascii="Arial" w:hAnsi="Arial"/>
          <w:color w:val="000000"/>
          <w:sz w:val="24"/>
        </w:rPr>
      </w:pPr>
      <w:r>
        <w:rPr>
          <w:rFonts w:ascii="Arial" w:hAnsi="Arial"/>
          <w:color w:val="000000"/>
          <w:sz w:val="24"/>
        </w:rPr>
        <w:t>Patrick McCall</w:t>
      </w:r>
    </w:p>
    <w:p>
      <w:pPr>
        <w:pStyle w:val="TextBody"/>
        <w:bidi w:val="0"/>
        <w:spacing w:lineRule="auto" w:line="273"/>
        <w:jc w:val="left"/>
        <w:rPr>
          <w:rFonts w:ascii="Arial" w:hAnsi="Arial"/>
          <w:color w:val="000000"/>
          <w:sz w:val="24"/>
        </w:rPr>
      </w:pPr>
      <w:r>
        <w:rPr>
          <w:rFonts w:ascii="Arial" w:hAnsi="Arial"/>
          <w:color w:val="000000"/>
          <w:sz w:val="24"/>
        </w:rPr>
        <w:t>646.933.5603</w:t>
      </w:r>
    </w:p>
    <w:p>
      <w:pPr>
        <w:pStyle w:val="TextBody"/>
        <w:bidi w:val="0"/>
        <w:spacing w:lineRule="auto" w:line="273"/>
        <w:jc w:val="left"/>
        <w:rPr>
          <w:rFonts w:ascii="Times New Roman" w:hAnsi="Times New Roman"/>
          <w:sz w:val="20"/>
        </w:rPr>
      </w:pPr>
      <w:r>
        <w:rPr>
          <w:rFonts w:ascii="Arial" w:hAnsi="Arial"/>
          <w:color w:val="467886"/>
          <w:sz w:val="24"/>
          <w:u w:val="single"/>
        </w:rPr>
        <w:t>pfmccall@IN8bio.com</w:t>
      </w:r>
      <w:r>
        <w:rPr>
          <w:rFonts w:ascii="Times New Roman" w:hAnsi="Times New Roman"/>
          <w:color w:val="000000"/>
          <w:sz w:val="20"/>
        </w:rPr>
        <w:t xml:space="preserve"> </w:t>
      </w:r>
    </w:p>
    <w:p>
      <w:pPr>
        <w:pStyle w:val="TextBody"/>
        <w:bidi w:val="0"/>
        <w:spacing w:lineRule="auto" w:line="273" w:before="160" w:after="283"/>
        <w:jc w:val="left"/>
        <w:rPr>
          <w:rFonts w:ascii="Arial" w:hAnsi="Arial"/>
          <w:b/>
          <w:color w:val="000000"/>
          <w:sz w:val="24"/>
        </w:rPr>
      </w:pPr>
      <w:r>
        <w:rPr>
          <w:rFonts w:ascii="Arial" w:hAnsi="Arial"/>
          <w:b/>
          <w:color w:val="000000"/>
          <w:sz w:val="24"/>
        </w:rPr>
        <w:t>Media Contact</w:t>
      </w:r>
    </w:p>
    <w:p>
      <w:pPr>
        <w:pStyle w:val="TextBody"/>
        <w:bidi w:val="0"/>
        <w:spacing w:lineRule="auto" w:line="273"/>
        <w:jc w:val="left"/>
        <w:rPr>
          <w:rFonts w:ascii="Arial" w:hAnsi="Arial"/>
          <w:color w:val="000000"/>
          <w:sz w:val="24"/>
        </w:rPr>
      </w:pPr>
      <w:r>
        <w:rPr>
          <w:rFonts w:ascii="Arial" w:hAnsi="Arial"/>
          <w:color w:val="000000"/>
          <w:sz w:val="24"/>
        </w:rPr>
        <w:t>Kimberly Ha</w:t>
      </w:r>
    </w:p>
    <w:p>
      <w:pPr>
        <w:pStyle w:val="TextBody"/>
        <w:bidi w:val="0"/>
        <w:spacing w:lineRule="auto" w:line="273"/>
        <w:jc w:val="left"/>
        <w:rPr>
          <w:rFonts w:ascii="Arial" w:hAnsi="Arial"/>
          <w:color w:val="000000"/>
          <w:sz w:val="24"/>
        </w:rPr>
      </w:pPr>
      <w:r>
        <w:rPr>
          <w:rFonts w:ascii="Arial" w:hAnsi="Arial"/>
          <w:color w:val="000000"/>
          <w:sz w:val="24"/>
        </w:rPr>
        <w:t>KKH Advisors</w:t>
      </w:r>
    </w:p>
    <w:p>
      <w:pPr>
        <w:pStyle w:val="TextBody"/>
        <w:bidi w:val="0"/>
        <w:spacing w:lineRule="auto" w:line="273"/>
        <w:jc w:val="left"/>
        <w:rPr>
          <w:rFonts w:ascii="Arial" w:hAnsi="Arial"/>
          <w:color w:val="000000"/>
          <w:sz w:val="24"/>
        </w:rPr>
      </w:pPr>
      <w:r>
        <w:rPr>
          <w:rFonts w:ascii="Arial" w:hAnsi="Arial"/>
          <w:color w:val="000000"/>
          <w:sz w:val="24"/>
        </w:rPr>
        <w:t>917.291.5744</w:t>
      </w:r>
    </w:p>
    <w:p>
      <w:pPr>
        <w:pStyle w:val="TextBody"/>
        <w:bidi w:val="0"/>
        <w:spacing w:lineRule="auto" w:line="273"/>
        <w:jc w:val="left"/>
        <w:rPr>
          <w:rFonts w:ascii="Times New Roman" w:hAnsi="Times New Roman"/>
          <w:sz w:val="20"/>
        </w:rPr>
      </w:pPr>
      <w:r>
        <w:rPr>
          <w:rFonts w:ascii="Arial" w:hAnsi="Arial"/>
          <w:color w:val="467886"/>
          <w:sz w:val="24"/>
          <w:u w:val="single"/>
        </w:rPr>
        <w:t>kimberly.ha@kkhadvisors.com</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jc w:val="center"/>
        <w:rPr>
          <w:rFonts w:ascii="Arial" w:hAnsi="Arial"/>
          <w:b/>
          <w:color w:val="000000"/>
          <w:sz w:val="24"/>
        </w:rPr>
      </w:pPr>
      <w:r>
        <w:rPr>
          <w:rFonts w:ascii="Arial" w:hAnsi="Arial"/>
          <w:b/>
          <w:color w:val="000000"/>
          <w:sz w:val="24"/>
        </w:rPr>
        <w:t>IN8BIO, INC.</w:t>
      </w:r>
    </w:p>
    <w:p>
      <w:pPr>
        <w:pStyle w:val="TextBody"/>
        <w:bidi w:val="0"/>
        <w:spacing w:lineRule="auto" w:line="273"/>
        <w:jc w:val="center"/>
        <w:rPr>
          <w:rFonts w:ascii="Arial" w:hAnsi="Arial"/>
          <w:b/>
          <w:color w:val="000000"/>
          <w:sz w:val="24"/>
        </w:rPr>
      </w:pPr>
      <w:r>
        <w:rPr>
          <w:rFonts w:ascii="Arial" w:hAnsi="Arial"/>
          <w:b/>
          <w:color w:val="000000"/>
          <w:sz w:val="24"/>
        </w:rPr>
        <w:t>BALANCE SHEETS</w:t>
      </w:r>
    </w:p>
    <w:p>
      <w:pPr>
        <w:pStyle w:val="TextBody"/>
        <w:bidi w:val="0"/>
        <w:spacing w:lineRule="auto" w:line="273"/>
        <w:jc w:val="center"/>
        <w:rPr>
          <w:rFonts w:ascii="Arial" w:hAnsi="Arial"/>
          <w:b/>
          <w:color w:val="000000"/>
          <w:sz w:val="24"/>
        </w:rPr>
      </w:pPr>
      <w:r>
        <w:rPr>
          <w:rFonts w:ascii="Arial" w:hAnsi="Arial"/>
          <w:b/>
          <w:color w:val="000000"/>
          <w:sz w:val="24"/>
        </w:rPr>
        <w:t>(In thousands, except share and per share data)</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7217"/>
        <w:gridCol w:w="146"/>
        <w:gridCol w:w="211"/>
        <w:gridCol w:w="841"/>
        <w:gridCol w:w="166"/>
        <w:gridCol w:w="146"/>
        <w:gridCol w:w="213"/>
        <w:gridCol w:w="852"/>
        <w:gridCol w:w="413"/>
      </w:tblGrid>
      <w:tr>
        <w:trPr/>
        <w:tc>
          <w:tcPr>
            <w:tcW w:w="7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6"/>
              </w:rPr>
            </w:pPr>
            <w:r>
              <w:rPr>
                <w:rFonts w:ascii="Times New Roman" w:hAnsi="Times New Roman"/>
                <w:color w:val="000000"/>
                <w:sz w:val="16"/>
              </w:rPr>
              <w:t>(Note 2)</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27,092</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27,880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1,858</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1,882</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32,282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1,633</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3,161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June 30, 2026 and December 31, 2025, respectively;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$0.0001 per share; 490,000,000 shares authorized at June 30, 2026 and December 31, 2025; 9,853,121 and 9,766,132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169,320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168,644</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(141,096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27,558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32,282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jc w:val="center"/>
        <w:rPr>
          <w:rFonts w:ascii="Times New Roman" w:hAnsi="Times New Roman"/>
          <w:sz w:val="20"/>
        </w:rPr>
      </w:pPr>
      <w:r>
        <w:rPr>
          <w:rFonts w:ascii="Arial" w:hAnsi="Arial"/>
          <w:b/>
          <w:color w:val="000000"/>
          <w:sz w:val="24"/>
        </w:rPr>
        <w:t>IN8BIO, INC.</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4" w:name="condensed_consolidated_statements_operat"/>
      <w:bookmarkEnd w:id="4"/>
      <w:r>
        <w:rPr>
          <w:rFonts w:ascii="Arial" w:hAnsi="Arial"/>
          <w:b/>
          <w:color w:val="000000"/>
          <w:sz w:val="24"/>
        </w:rPr>
        <w:t>STATEMENTS OF OPERATIONS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Arial" w:hAnsi="Arial"/>
          <w:b/>
          <w:color w:val="000000"/>
          <w:sz w:val="24"/>
        </w:rPr>
        <w:t>(In thousands, except share and per share data)</w:t>
      </w:r>
      <w:r>
        <w:rPr>
          <w:rFonts w:ascii="Times New Roman" w:hAnsi="Times New Roman"/>
          <w:color w:val="000000"/>
          <w:sz w:val="20"/>
        </w:rPr>
        <w:t xml:space="preserve"> </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2448"/>
        <w:gridCol w:w="346"/>
        <w:gridCol w:w="211"/>
        <w:gridCol w:w="1036"/>
        <w:gridCol w:w="346"/>
        <w:gridCol w:w="346"/>
        <w:gridCol w:w="211"/>
        <w:gridCol w:w="931"/>
        <w:gridCol w:w="346"/>
        <w:gridCol w:w="346"/>
        <w:gridCol w:w="211"/>
        <w:gridCol w:w="1036"/>
        <w:gridCol w:w="346"/>
        <w:gridCol w:w="346"/>
        <w:gridCol w:w="211"/>
        <w:gridCol w:w="931"/>
        <w:gridCol w:w="166"/>
        <w:gridCol w:w="391"/>
      </w:tblGrid>
      <w:tr>
        <w:trPr/>
        <w:tc>
          <w:tcPr>
            <w:tcW w:w="24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0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0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2,493</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2,487</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5,106</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4,935</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5,201</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10,201</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(4,781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(9,871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(4,781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(9,871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common share, basic and diluted</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19,467,091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4,119,153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19,468,087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2,920,157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Arial" w:hAnsi="Arial"/>
          <w:color w:val="293849"/>
          <w:sz w:val="24"/>
        </w:rPr>
      </w:pPr>
      <w:r>
        <w:rPr>
          <w:rFonts w:ascii="Arial" w:hAnsi="Arial"/>
          <w:color w:val="293849"/>
          <w:sz w:val="24"/>
        </w:rPr>
        <w:t># #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2509</Words>
  <Characters>14462</Characters>
  <CharactersWithSpaces>17061</CharactersWithSpaces>
  <Paragraphs>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