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19, 2024</w:t>
      </w:r>
    </w:p>
    <w:p>
      <w:pPr>
        <w:spacing w:after="0" w:line="31"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6080" w:type="dxa"/>
            <w:vAlign w:val="bottom"/>
          </w:tcPr>
          <w:p>
            <w:pPr>
              <w:jc w:val="center"/>
              <w:ind w:right="35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82-5462585</w:t>
            </w:r>
          </w:p>
        </w:tc>
      </w:tr>
      <w:tr>
        <w:trPr>
          <w:trHeight w:val="148"/>
        </w:trPr>
        <w:tc>
          <w:tcPr>
            <w:tcW w:w="6080" w:type="dxa"/>
            <w:vAlign w:val="bottom"/>
          </w:tcPr>
          <w:p>
            <w:pPr>
              <w:jc w:val="center"/>
              <w:ind w:right="351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80" w:type="dxa"/>
            <w:vAlign w:val="bottom"/>
          </w:tcPr>
          <w:p>
            <w:pPr>
              <w:jc w:val="center"/>
              <w:ind w:right="351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080" w:type="dxa"/>
            <w:vAlign w:val="bottom"/>
          </w:tcPr>
          <w:p>
            <w:pPr>
              <w:jc w:val="center"/>
              <w:ind w:right="3538"/>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1280" w:type="dxa"/>
            <w:vAlign w:val="bottom"/>
          </w:tcPr>
          <w:p>
            <w:pPr>
              <w:spacing w:after="0"/>
              <w:rPr>
                <w:sz w:val="24"/>
                <w:szCs w:val="24"/>
                <w:color w:val="auto"/>
              </w:rPr>
            </w:pPr>
          </w:p>
        </w:tc>
      </w:tr>
      <w:tr>
        <w:trPr>
          <w:trHeight w:val="227"/>
        </w:trPr>
        <w:tc>
          <w:tcPr>
            <w:tcW w:w="6080" w:type="dxa"/>
            <w:vAlign w:val="bottom"/>
          </w:tcPr>
          <w:p>
            <w:pPr>
              <w:jc w:val="center"/>
              <w:ind w:right="3538"/>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6080" w:type="dxa"/>
            <w:vAlign w:val="bottom"/>
          </w:tcPr>
          <w:p>
            <w:pPr>
              <w:jc w:val="center"/>
              <w:ind w:right="35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12"/>
        </w:trPr>
        <w:tc>
          <w:tcPr>
            <w:tcW w:w="6080" w:type="dxa"/>
            <w:vAlign w:val="bottom"/>
          </w:tcPr>
          <w:p>
            <w:pPr>
              <w:jc w:val="center"/>
              <w:ind w:left="1778"/>
              <w:spacing w:after="0"/>
              <w:rPr>
                <w:sz w:val="20"/>
                <w:szCs w:val="20"/>
                <w:color w:val="auto"/>
              </w:rPr>
            </w:pPr>
            <w:r>
              <w:rPr>
                <w:rFonts w:ascii="Times New Roman" w:cs="Times New Roman" w:eastAsia="Times New Roman" w:hAnsi="Times New Roman"/>
                <w:sz w:val="18"/>
                <w:szCs w:val="18"/>
                <w:b w:val="1"/>
                <w:bCs w:val="1"/>
                <w:color w:val="auto"/>
                <w:w w:val="99"/>
              </w:rPr>
              <w:t>2020 Employee Stock Purchase Plan</w:t>
            </w:r>
          </w:p>
        </w:tc>
        <w:tc>
          <w:tcPr>
            <w:tcW w:w="1280" w:type="dxa"/>
            <w:vAlign w:val="bottom"/>
          </w:tcPr>
          <w:p>
            <w:pPr>
              <w:spacing w:after="0"/>
              <w:rPr>
                <w:sz w:val="24"/>
                <w:szCs w:val="24"/>
                <w:color w:val="auto"/>
              </w:rPr>
            </w:pPr>
          </w:p>
        </w:tc>
      </w:tr>
      <w:tr>
        <w:trPr>
          <w:trHeight w:val="214"/>
        </w:trPr>
        <w:tc>
          <w:tcPr>
            <w:tcW w:w="6080" w:type="dxa"/>
            <w:vAlign w:val="bottom"/>
          </w:tcPr>
          <w:p>
            <w:pPr>
              <w:jc w:val="center"/>
              <w:ind w:left="1758"/>
              <w:spacing w:after="0"/>
              <w:rPr>
                <w:sz w:val="20"/>
                <w:szCs w:val="20"/>
                <w:color w:val="auto"/>
              </w:rPr>
            </w:pPr>
            <w:r>
              <w:rPr>
                <w:rFonts w:ascii="Times New Roman" w:cs="Times New Roman" w:eastAsia="Times New Roman" w:hAnsi="Times New Roman"/>
                <w:sz w:val="18"/>
                <w:szCs w:val="18"/>
                <w:b w:val="1"/>
                <w:bCs w:val="1"/>
                <w:color w:val="auto"/>
              </w:rPr>
              <w:t>Amended and Restated 2023 Equity Incentive Plan</w:t>
            </w:r>
          </w:p>
        </w:tc>
        <w:tc>
          <w:tcPr>
            <w:tcW w:w="1280" w:type="dxa"/>
            <w:vAlign w:val="bottom"/>
          </w:tcPr>
          <w:p>
            <w:pPr>
              <w:spacing w:after="0"/>
              <w:rPr>
                <w:sz w:val="18"/>
                <w:szCs w:val="18"/>
                <w:color w:val="auto"/>
              </w:rPr>
            </w:pPr>
          </w:p>
        </w:tc>
      </w:tr>
      <w:tr>
        <w:trPr>
          <w:trHeight w:val="190"/>
        </w:trPr>
        <w:tc>
          <w:tcPr>
            <w:tcW w:w="6080" w:type="dxa"/>
            <w:vAlign w:val="bottom"/>
          </w:tcPr>
          <w:p>
            <w:pPr>
              <w:jc w:val="center"/>
              <w:ind w:left="1778"/>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c>
          <w:tcPr>
            <w:tcW w:w="1280" w:type="dxa"/>
            <w:vAlign w:val="bottom"/>
          </w:tcPr>
          <w:p>
            <w:pPr>
              <w:spacing w:after="0"/>
              <w:rPr>
                <w:sz w:val="16"/>
                <w:szCs w:val="16"/>
                <w:color w:val="auto"/>
              </w:rPr>
            </w:pPr>
          </w:p>
        </w:tc>
      </w:tr>
    </w:tbl>
    <w:p>
      <w:pPr>
        <w:spacing w:after="0" w:line="1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William Ho</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350 5th Avenue, Suite 5330, New York, New York 10118</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(646) 600-6438</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Joshua A. Kaufman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Jaime L. Chase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55 Hudson Yards</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168910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9"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117"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Pursuant to General Instruction E of Form S-8, IN8bio, Inc. (the “Registrant”) is filing this Registration Statement with the Securities and Exchange Commission (the “Commission”) to register an additional 400,000 shares of common stock under the Registrant’s 2020 Employee Stock Purchase Plan and an additional 2,164,366 shares of common stock under the Registrant’s 2023 Amended and Restated Equity Incentive Plan, pursuant to the provisions of each plan which provide for annual automatic increases in the number of shares of common stock reserved for issuance under each respective plan.</w:t>
      </w:r>
    </w:p>
    <w:p>
      <w:pPr>
        <w:spacing w:after="0" w:line="183" w:lineRule="exact"/>
        <w:rPr>
          <w:sz w:val="20"/>
          <w:szCs w:val="20"/>
          <w:color w:val="auto"/>
        </w:rPr>
      </w:pPr>
    </w:p>
    <w:p>
      <w:pPr>
        <w:ind w:left="4" w:right="800"/>
        <w:spacing w:after="0" w:line="282" w:lineRule="auto"/>
        <w:rPr>
          <w:sz w:val="20"/>
          <w:szCs w:val="20"/>
          <w:color w:val="auto"/>
        </w:rPr>
      </w:pPr>
      <w:r>
        <w:rPr>
          <w:rFonts w:ascii="Times New Roman" w:cs="Times New Roman" w:eastAsia="Times New Roman" w:hAnsi="Times New Roman"/>
          <w:sz w:val="18"/>
          <w:szCs w:val="18"/>
          <w:color w:val="auto"/>
        </w:rPr>
        <w:t>In accordance with the instructional note to Part I of Form S-8 as promulgated by the Commission, the information specified by Part I of the Form S-8 has been omitted from this Registration Statement.</w:t>
      </w:r>
    </w:p>
    <w:p>
      <w:pPr>
        <w:spacing w:after="0" w:line="37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filed by it with the Commission:</w:t>
      </w:r>
    </w:p>
    <w:p>
      <w:pPr>
        <w:spacing w:after="0" w:line="131" w:lineRule="exact"/>
        <w:rPr>
          <w:sz w:val="20"/>
          <w:szCs w:val="20"/>
          <w:color w:val="auto"/>
        </w:rPr>
      </w:pPr>
    </w:p>
    <w:p>
      <w:pPr>
        <w:ind w:left="424" w:right="20"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the Registrant’s Registration Statements on Form S-8, previously filed with the Commission on </w:t>
      </w:r>
      <w:hyperlink r:id="rId18">
        <w:r>
          <w:rPr>
            <w:rFonts w:ascii="Times New Roman" w:cs="Times New Roman" w:eastAsia="Times New Roman" w:hAnsi="Times New Roman"/>
            <w:sz w:val="18"/>
            <w:szCs w:val="18"/>
            <w:u w:val="single" w:color="auto"/>
            <w:color w:val="0000EE"/>
          </w:rPr>
          <w:t>September 10, 2021</w:t>
        </w:r>
      </w:hyperlink>
      <w:r>
        <w:rPr>
          <w:rFonts w:ascii="Times New Roman" w:cs="Times New Roman" w:eastAsia="Times New Roman" w:hAnsi="Times New Roman"/>
          <w:sz w:val="18"/>
          <w:szCs w:val="18"/>
          <w:color w:val="auto"/>
        </w:rPr>
        <w:t xml:space="preserve">, as amended on </w:t>
      </w:r>
      <w:hyperlink r:id="rId19">
        <w:r>
          <w:rPr>
            <w:rFonts w:ascii="Times New Roman" w:cs="Times New Roman" w:eastAsia="Times New Roman" w:hAnsi="Times New Roman"/>
            <w:sz w:val="18"/>
            <w:szCs w:val="18"/>
            <w:u w:val="single" w:color="auto"/>
            <w:color w:val="0000EE"/>
          </w:rPr>
          <w:t>August 18,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333-259458), </w:t>
      </w:r>
      <w:hyperlink r:id="rId20">
        <w:r>
          <w:rPr>
            <w:rFonts w:ascii="Times New Roman" w:cs="Times New Roman" w:eastAsia="Times New Roman" w:hAnsi="Times New Roman"/>
            <w:sz w:val="18"/>
            <w:szCs w:val="18"/>
            <w:u w:val="single" w:color="auto"/>
            <w:color w:val="0000EE"/>
          </w:rPr>
          <w:t>May 12,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(333-264893), as amended on </w:t>
      </w:r>
      <w:hyperlink r:id="rId21">
        <w:r>
          <w:rPr>
            <w:rFonts w:ascii="Times New Roman" w:cs="Times New Roman" w:eastAsia="Times New Roman" w:hAnsi="Times New Roman"/>
            <w:sz w:val="18"/>
            <w:szCs w:val="18"/>
            <w:u w:val="single" w:color="auto"/>
            <w:color w:val="0000EE"/>
          </w:rPr>
          <w:t>August 18, 2023</w:t>
        </w:r>
      </w:hyperlink>
      <w:r>
        <w:rPr>
          <w:rFonts w:ascii="Times New Roman" w:cs="Times New Roman" w:eastAsia="Times New Roman" w:hAnsi="Times New Roman"/>
          <w:sz w:val="18"/>
          <w:szCs w:val="18"/>
          <w:color w:val="auto"/>
        </w:rPr>
        <w:t xml:space="preserve">, and </w:t>
      </w:r>
      <w:hyperlink r:id="rId22">
        <w:r>
          <w:rPr>
            <w:rFonts w:ascii="Times New Roman" w:cs="Times New Roman" w:eastAsia="Times New Roman" w:hAnsi="Times New Roman"/>
            <w:sz w:val="18"/>
            <w:szCs w:val="18"/>
            <w:u w:val="single" w:color="auto"/>
            <w:color w:val="0000EE"/>
          </w:rPr>
          <w:t>August 18,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333-274092);</w:t>
      </w:r>
    </w:p>
    <w:p>
      <w:pPr>
        <w:spacing w:after="0" w:line="112"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001-39692) for the fiscal year ended December 31, 2022, filed with the Commission on March 30, 2023;</w:t>
      </w:r>
    </w:p>
    <w:p>
      <w:pPr>
        <w:spacing w:after="0" w:line="67" w:lineRule="exact"/>
        <w:rPr>
          <w:rFonts w:ascii="Times New Roman" w:cs="Times New Roman" w:eastAsia="Times New Roman" w:hAnsi="Times New Roman"/>
          <w:sz w:val="18"/>
          <w:szCs w:val="18"/>
          <w:color w:val="auto"/>
        </w:rPr>
      </w:pPr>
    </w:p>
    <w:p>
      <w:pPr>
        <w:jc w:val="both"/>
        <w:ind w:left="424" w:right="2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auto"/>
          </w:rPr>
          <w:t xml:space="preserve">the Registrant’s Current Reports on Form 8-K (File No. 001-39692), filed on </w:t>
        </w:r>
        <w:r>
          <w:rPr>
            <w:rFonts w:ascii="Times New Roman" w:cs="Times New Roman" w:eastAsia="Times New Roman" w:hAnsi="Times New Roman"/>
            <w:sz w:val="18"/>
            <w:szCs w:val="18"/>
            <w:u w:val="single" w:color="auto"/>
            <w:color w:val="0000EE"/>
          </w:rPr>
          <w:t>January 5,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17,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24,</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17,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5,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16,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12,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20,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7,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11,</w:t>
        </w:r>
      </w:hyperlink>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6">
        <w:r>
          <w:rPr>
            <w:rFonts w:ascii="Times New Roman" w:cs="Times New Roman" w:eastAsia="Times New Roman" w:hAnsi="Times New Roman"/>
            <w:sz w:val="18"/>
            <w:szCs w:val="18"/>
            <w:u w:val="single" w:color="auto"/>
            <w:color w:val="0000EE"/>
          </w:rPr>
          <w:t xml:space="preserve">December 11, 2023 </w:t>
        </w:r>
      </w:hyperlink>
      <w:hyperlink r:id="rId25">
        <w:r>
          <w:rPr>
            <w:rFonts w:ascii="Times New Roman" w:cs="Times New Roman" w:eastAsia="Times New Roman" w:hAnsi="Times New Roman"/>
            <w:sz w:val="18"/>
            <w:szCs w:val="18"/>
            <w:color w:val="000000"/>
          </w:rPr>
          <w:t>to the extent the information in and exhibits to such reports are filed and not furnished;</w:t>
        </w:r>
      </w:hyperlink>
    </w:p>
    <w:p>
      <w:pPr>
        <w:spacing w:after="0" w:line="81" w:lineRule="exact"/>
        <w:rPr>
          <w:rFonts w:ascii="Times New Roman" w:cs="Times New Roman" w:eastAsia="Times New Roman" w:hAnsi="Times New Roman"/>
          <w:sz w:val="18"/>
          <w:szCs w:val="18"/>
          <w:color w:val="0000EE"/>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on Form 10-Q (File No. 001-39692), filed on </w:t>
      </w:r>
      <w:hyperlink r:id="rId27">
        <w:r>
          <w:rPr>
            <w:rFonts w:ascii="Times New Roman" w:cs="Times New Roman" w:eastAsia="Times New Roman" w:hAnsi="Times New Roman"/>
            <w:sz w:val="18"/>
            <w:szCs w:val="18"/>
            <w:u w:val="single" w:color="auto"/>
            <w:color w:val="0000EE"/>
          </w:rPr>
          <w:t>May 12, 2023</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August 10,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9">
        <w:r>
          <w:rPr>
            <w:rFonts w:ascii="Times New Roman" w:cs="Times New Roman" w:eastAsia="Times New Roman" w:hAnsi="Times New Roman"/>
            <w:sz w:val="18"/>
            <w:szCs w:val="18"/>
            <w:u w:val="single" w:color="auto"/>
            <w:color w:val="0000EE"/>
          </w:rPr>
          <w:t>November 9, 2023</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the Registrant’s Registration Statement on </w:t>
      </w:r>
      <w:hyperlink r:id="rId3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001-39692), filed with the Commission on November 10, 2020, under Section 12(b) of the Securities Exchange Act of 1934, as amended (the “Exchange Act”),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herein modifies or supersedes such statement. Any such statement so modified or superseded shall not constitute a part of this Registration Statement, except as so modified or superseded.</w:t>
      </w:r>
    </w:p>
    <w:p>
      <w:pPr>
        <w:spacing w:after="0" w:line="296"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04"/>
          </w:cols>
          <w:pgMar w:left="436" w:top="266"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 Interests of Named Experts and Counsel.</w:t>
      </w:r>
    </w:p>
    <w:p>
      <w:pPr>
        <w:spacing w:after="0" w:line="121"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As of the date hereof, partners of Cooley LLP and GC&amp;H Investments, LLC, an entity that is comprised of partners and associates of Cooley LLP, beneficially own an aggregate of 173,937 shares of the Registrant’s common stock.</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provides for indemnification of the Registrant’s directors to the maximum extent permitted by the Delaware General Corporation Law, and the Registrant’s amended and restated bylaws provide for indemnification of the Registrant’s directors, officers, employees and other agents to the maximum extent permitted by law.</w:t>
      </w:r>
    </w:p>
    <w:p>
      <w:pPr>
        <w:spacing w:after="0" w:line="183"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the Registrant’s directors and officers, whereby the Registrant has agreed to indemnify the Registrant’s directors and officers to the fullest extent permitted by law, including advancement of expenses incurred in legal proceedings to which the director or officer was, or is threatened to be made, a party by reason of the fact that such director or officer is or was a director, officer, employee or agent of the Registrant, provided that such director or officer acted in good faith and in a manner that the director or officer reasonably believed to be in, or not opposed to, the best interest of the Registrant. At present, there is no pending litigation or proceeding involving a director or officer of the Registrant regarding which indemnification is sought, nor is the Registrant aware of any threatened litigation that may result in claims for indemnification.</w:t>
      </w:r>
    </w:p>
    <w:p>
      <w:pPr>
        <w:spacing w:after="0" w:line="189"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Registrant maintains insurance policies that indemnify the Registrant’s directors and officers against various liabilities arising under the Securities Act and the Exchange Act that might be incurred by any director or officer in his capacity as such.</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exhibits to this Registration Statement are listed below:</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740" w:type="dxa"/>
            <w:vAlign w:val="bottom"/>
            <w:gridSpan w:val="1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74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2"/>
                <w:szCs w:val="22"/>
                <w:color w:val="auto"/>
              </w:rPr>
            </w:pPr>
          </w:p>
        </w:tc>
        <w:tc>
          <w:tcPr>
            <w:tcW w:w="9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Amended and Restated Certificate of Incorporation of the Registrant (incorporated herein by reference to Exhibit 3.1 to the Company’s</w:t>
              </w:r>
            </w:hyperlink>
          </w:p>
        </w:tc>
        <w:tc>
          <w:tcPr>
            <w:tcW w:w="36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Current Report on Form 8-K (File No. 001-39692), filed with the Commission on August 3, 2021).</w:t>
              </w:r>
            </w:hyperlink>
          </w:p>
        </w:tc>
        <w:tc>
          <w:tcPr>
            <w:tcW w:w="29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100" w:type="dxa"/>
            <w:vAlign w:val="bottom"/>
            <w:gridSpan w:val="17"/>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Second Amended and Restated Bylaws of the Registrant (incorporated herein by reference to Exhibit 3.1 to the Registrant’s Current Report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on Form 8-K (File No. 001-39692), filed with the Commission on December 7, 2023).</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62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Opinion of Cooley LLP.</w:t>
            </w:r>
          </w:p>
        </w:tc>
        <w:tc>
          <w:tcPr>
            <w:tcW w:w="38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43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Consent of Cooley LLP (included in Exhibit 5.1).</w:t>
            </w:r>
          </w:p>
        </w:tc>
        <w:tc>
          <w:tcPr>
            <w:tcW w:w="57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5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 to this Registration Statement).</w:t>
            </w:r>
          </w:p>
        </w:tc>
        <w:tc>
          <w:tcPr>
            <w:tcW w:w="41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98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2020 Employee Stock Purchase Plan (incorporated herein by reference to Exhibit 4.9 to the Registrant’s Registration Statement on Form</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0" w:type="dxa"/>
            <w:vAlign w:val="bottom"/>
            <w:tcBorders>
              <w:bottom w:val="single" w:sz="8" w:color="0000EE"/>
            </w:tcBorders>
            <w:gridSpan w:val="6"/>
          </w:tcPr>
          <w:p>
            <w:pPr>
              <w:ind w:left="60"/>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S-8 (File No. 333-259458), filed with the Commission on September 10, 2021).</w:t>
              </w:r>
            </w:hyperlink>
          </w:p>
        </w:tc>
        <w:tc>
          <w:tcPr>
            <w:tcW w:w="4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24"/>
                <w:szCs w:val="24"/>
                <w:color w:val="auto"/>
              </w:rPr>
            </w:pPr>
          </w:p>
        </w:tc>
        <w:tc>
          <w:tcPr>
            <w:tcW w:w="9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Amended and Restated 2023 Equity Incentive Plan (incorporated herein by reference to Exhibit 10.1 to the Registrant’s Quarterly Report</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on Form 10-Q (File No. 001-39692), filed with the Commission on August 10, 2023).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80" w:type="dxa"/>
            <w:vAlign w:val="bottom"/>
            <w:gridSpan w:val="6"/>
            <w:shd w:val="clear" w:color="auto" w:fill="0000EE"/>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99.3</w:t>
            </w:r>
          </w:p>
        </w:tc>
        <w:tc>
          <w:tcPr>
            <w:tcW w:w="420" w:type="dxa"/>
            <w:vAlign w:val="bottom"/>
          </w:tcPr>
          <w:p>
            <w:pPr>
              <w:spacing w:after="0"/>
              <w:rPr>
                <w:sz w:val="24"/>
                <w:szCs w:val="24"/>
                <w:color w:val="auto"/>
              </w:rPr>
            </w:pPr>
          </w:p>
        </w:tc>
        <w:tc>
          <w:tcPr>
            <w:tcW w:w="100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Forms of Option Grant Notice and Option Agreement under the Amended and Restated 2023 Equity Incentive Plan (incorporated herein by</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reference to Exhibit 10.2 to the Registrant’s Quarterly Report on Form 10-Q (File No. 001-39692), filed with the Commission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August 10, 2023).</w:t>
              </w:r>
            </w:hyperlink>
          </w:p>
        </w:tc>
        <w:tc>
          <w:tcPr>
            <w:tcW w:w="8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13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88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024"/>
          </w:cols>
          <w:pgMar w:left="436" w:top="266" w:right="43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 Undertakings.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17" w:lineRule="exact"/>
        <w:rPr>
          <w:sz w:val="20"/>
          <w:szCs w:val="20"/>
          <w:color w:val="auto"/>
        </w:rPr>
      </w:pPr>
    </w:p>
    <w:p>
      <w:pPr>
        <w:ind w:left="184" w:hanging="184"/>
        <w:spacing w:after="0"/>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ind w:left="4" w:right="100" w:hanging="4"/>
        <w:spacing w:after="0" w:line="256" w:lineRule="auto"/>
        <w:tabs>
          <w:tab w:leader="none" w:pos="2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left="4" w:right="180" w:hanging="4"/>
        <w:spacing w:after="0" w:line="282" w:lineRule="auto"/>
        <w:tabs>
          <w:tab w:leader="none" w:pos="3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4" w:right="28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ind w:left="4" w:right="120" w:hanging="4"/>
        <w:spacing w:after="0" w:line="266"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4" w:right="20" w:hanging="4"/>
        <w:spacing w:after="0" w:line="282"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3"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44"/>
          </w:cols>
          <w:pgMar w:left="436" w:top="266" w:right="51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January 19,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William Ho</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KNOW ALL PERSONS BY THESE PRESENTS, </w:t>
      </w:r>
      <w:r>
        <w:rPr>
          <w:rFonts w:ascii="Times New Roman" w:cs="Times New Roman" w:eastAsia="Times New Roman" w:hAnsi="Times New Roman"/>
          <w:sz w:val="18"/>
          <w:szCs w:val="18"/>
          <w:color w:val="auto"/>
        </w:rPr>
        <w:t>that each person whose signature appears below constitutes and appoints William Ho and Patrick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McCall,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5"/>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Ho</w:t>
            </w: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William Ho</w:t>
            </w: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2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Patrick McCall</w:t>
            </w: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Patrick McCall</w:t>
            </w: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52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S. Roemer</w:t>
            </w: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Alan S. Roemer</w:t>
            </w:r>
          </w:p>
        </w:tc>
        <w:tc>
          <w:tcPr>
            <w:tcW w:w="50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Brandt</w:t>
            </w: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Peter Brandt</w:t>
            </w:r>
          </w:p>
        </w:tc>
        <w:tc>
          <w:tcPr>
            <w:tcW w:w="50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Corinne Epperly</w:t>
            </w: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Corinne Epperly</w:t>
            </w:r>
          </w:p>
        </w:tc>
        <w:tc>
          <w:tcPr>
            <w:tcW w:w="50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Emily T. Fairbairn</w:t>
            </w: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Emily T. Fairbairn</w:t>
            </w:r>
          </w:p>
        </w:tc>
        <w:tc>
          <w:tcPr>
            <w:tcW w:w="50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Jeremy R. Graff</w:t>
            </w: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Jeremy R. Graff</w:t>
            </w:r>
          </w:p>
        </w:tc>
        <w:tc>
          <w:tcPr>
            <w:tcW w:w="50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Luba Greenwood</w:t>
            </w: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Luba Greenwood</w:t>
            </w:r>
          </w:p>
        </w:tc>
        <w:tc>
          <w:tcPr>
            <w:tcW w:w="50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Travis Whitfill</w:t>
            </w: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Travis Whitfill</w:t>
            </w:r>
          </w:p>
        </w:tc>
        <w:tc>
          <w:tcPr>
            <w:tcW w:w="506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ectPr>
          <w:pgSz w:w="11900" w:h="16838" w:orient="portrait"/>
          <w:cols w:equalWidth="0" w:num="1">
            <w:col w:w="10940"/>
          </w:cols>
          <w:pgMar w:left="440" w:top="266" w:right="5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74115"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Joshua A. Kaufman</w:t>
      </w:r>
    </w:p>
    <w:p>
      <w:pPr>
        <w:spacing w:after="0" w:line="27" w:lineRule="exact"/>
        <w:rPr>
          <w:sz w:val="20"/>
          <w:szCs w:val="20"/>
          <w:color w:val="auto"/>
        </w:rPr>
      </w:pPr>
    </w:p>
    <w:p>
      <w:pPr>
        <w:ind w:left="4" w:right="9060" w:hanging="4"/>
        <w:spacing w:after="0" w:line="290" w:lineRule="auto"/>
        <w:tabs>
          <w:tab w:leader="none" w:pos="2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+1 212 479 6495 josh.kaufman@cooley.com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19,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IN8bio,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350 5th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Suite 5330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10118</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40"/>
        <w:spacing w:after="0" w:line="259" w:lineRule="auto"/>
        <w:rPr>
          <w:sz w:val="20"/>
          <w:szCs w:val="20"/>
          <w:color w:val="auto"/>
        </w:rPr>
      </w:pPr>
      <w:r>
        <w:rPr>
          <w:rFonts w:ascii="Times New Roman" w:cs="Times New Roman" w:eastAsia="Times New Roman" w:hAnsi="Times New Roman"/>
          <w:sz w:val="18"/>
          <w:szCs w:val="18"/>
          <w:color w:val="auto"/>
        </w:rPr>
        <w:t>We have acted as counsel to IN8bio,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covering the offering of up to 2,564,366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consisting of (i) 2,164,366 shares of Common Stock issuable under the Company’s Amended and Restated 2023 Equity Incentive Plan (the “</w:t>
      </w:r>
      <w:r>
        <w:rPr>
          <w:rFonts w:ascii="Times New Roman" w:cs="Times New Roman" w:eastAsia="Times New Roman" w:hAnsi="Times New Roman"/>
          <w:sz w:val="18"/>
          <w:szCs w:val="18"/>
          <w:b w:val="1"/>
          <w:bCs w:val="1"/>
          <w:i w:val="1"/>
          <w:iCs w:val="1"/>
          <w:color w:val="auto"/>
        </w:rPr>
        <w:t>2023 Plan</w:t>
      </w:r>
      <w:r>
        <w:rPr>
          <w:rFonts w:ascii="Times New Roman" w:cs="Times New Roman" w:eastAsia="Times New Roman" w:hAnsi="Times New Roman"/>
          <w:sz w:val="18"/>
          <w:szCs w:val="18"/>
          <w:color w:val="auto"/>
        </w:rPr>
        <w:t>”) and (ii) 400,000 shares of Common Stock issuable pursuant to the Company’s 2020 Employee Stock Purchase Plan (together with the 2023 Plan, the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(i) the Registration Statement and related prospectuses, (ii) the Company’s certificate of incorporation, and bylaws, each as currently in effect, (iii) the Plans and (iv)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17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ectPr>
          <w:pgSz w:w="11900" w:h="16838" w:orient="portrait"/>
          <w:cols w:equalWidth="0" w:num="1">
            <w:col w:w="11024"/>
          </w:cols>
          <w:pgMar w:left="436"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January 19,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Joshua A.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Joshua A. Kaufman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55 Hudson Yards New York, NY 10001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(212) 479-6000 f: (212) 479-6275 cooley.com</w:t>
      </w:r>
    </w:p>
    <w:p>
      <w:pPr>
        <w:sectPr>
          <w:pgSz w:w="11900" w:h="16838" w:orient="portrait"/>
          <w:cols w:equalWidth="0" w:num="1">
            <w:col w:w="11000"/>
          </w:cols>
          <w:pgMar w:left="440" w:top="1093" w:right="4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30, 2023, with respect to the financial statements of IN8bio, Inc. as of December 31, 2022 and 2021 and for the years then ended, which report is included in the Annual Report on Form 10-K of IN8bio, Inc. for the year ended December 31, 2022, filed with the Securities and Exchange Commission. Our audit report includes an explanatory paragraph relating to IN8bio, Inc.’s ability to continue as a going concern.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854" w:type="dxa"/>
        <w:tblCellMar>
          <w:top w:w="0" w:type="dxa"/>
          <w:left w:w="0" w:type="dxa"/>
          <w:bottom w:w="0" w:type="dxa"/>
          <w:right w:w="0" w:type="dxa"/>
        </w:tblCellMar>
      </w:tblPr>
      <w:tr>
        <w:trPr>
          <w:trHeight w:val="142"/>
        </w:trPr>
        <w:tc>
          <w:tcPr>
            <w:tcW w:w="920" w:type="dxa"/>
            <w:vAlign w:val="bottom"/>
            <w:tcBorders>
              <w:top w:val="single" w:sz="8" w:color="auto"/>
              <w:left w:val="single" w:sz="8" w:color="auto"/>
              <w:right w:val="single" w:sz="8" w:color="auto"/>
            </w:tcBorders>
          </w:tcPr>
          <w:p>
            <w:pPr>
              <w:spacing w:after="0"/>
              <w:rPr>
                <w:sz w:val="12"/>
                <w:szCs w:val="12"/>
                <w:color w:val="auto"/>
              </w:rPr>
            </w:pPr>
          </w:p>
        </w:tc>
        <w:tc>
          <w:tcPr>
            <w:tcW w:w="29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10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2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Security</w:t>
            </w:r>
          </w:p>
        </w:tc>
        <w:tc>
          <w:tcPr>
            <w:tcW w:w="7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Borders>
              <w:left w:val="single" w:sz="8" w:color="auto"/>
              <w:right w:val="single" w:sz="8" w:color="auto"/>
            </w:tcBorders>
          </w:tcPr>
          <w:p>
            <w:pPr>
              <w:spacing w:after="0"/>
              <w:rPr>
                <w:sz w:val="11"/>
                <w:szCs w:val="11"/>
                <w:color w:val="auto"/>
              </w:rPr>
            </w:pPr>
          </w:p>
        </w:tc>
        <w:tc>
          <w:tcPr>
            <w:tcW w:w="2900" w:type="dxa"/>
            <w:vAlign w:val="bottom"/>
            <w:tcBorders>
              <w:right w:val="single" w:sz="8" w:color="auto"/>
            </w:tcBorders>
            <w:vMerge w:val="continue"/>
          </w:tcPr>
          <w:p>
            <w:pPr>
              <w:spacing w:after="0"/>
              <w:rPr>
                <w:sz w:val="11"/>
                <w:szCs w:val="11"/>
                <w:color w:val="auto"/>
              </w:rPr>
            </w:pPr>
          </w:p>
        </w:tc>
        <w:tc>
          <w:tcPr>
            <w:tcW w:w="7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Fee</w:t>
            </w:r>
          </w:p>
        </w:tc>
        <w:tc>
          <w:tcPr>
            <w:tcW w:w="11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1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2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74"/>
        </w:trPr>
        <w:tc>
          <w:tcPr>
            <w:tcW w:w="920" w:type="dxa"/>
            <w:vAlign w:val="bottom"/>
            <w:tcBorders>
              <w:left w:val="single" w:sz="8" w:color="auto"/>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 (1)</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0" w:type="dxa"/>
            <w:vAlign w:val="bottom"/>
          </w:tcPr>
          <w:p>
            <w:pPr>
              <w:spacing w:after="0"/>
              <w:rPr>
                <w:sz w:val="1"/>
                <w:szCs w:val="1"/>
                <w:color w:val="auto"/>
              </w:rPr>
            </w:pPr>
          </w:p>
        </w:tc>
      </w:tr>
      <w:tr>
        <w:trPr>
          <w:trHeight w:val="206"/>
        </w:trPr>
        <w:tc>
          <w:tcPr>
            <w:tcW w:w="920" w:type="dxa"/>
            <w:vAlign w:val="bottom"/>
            <w:tcBorders>
              <w:left w:val="single" w:sz="8" w:color="auto"/>
              <w:right w:val="single" w:sz="8" w:color="auto"/>
            </w:tcBorders>
          </w:tcPr>
          <w:p>
            <w:pPr>
              <w:jc w:val="center"/>
              <w:ind w:left="39"/>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29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9"/>
              </w:rPr>
              <w:t>2020 Employee Stock Purchase Plan</w:t>
            </w: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7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20" w:type="dxa"/>
            <w:vAlign w:val="bottom"/>
            <w:tcBorders>
              <w:left w:val="single" w:sz="8" w:color="auto"/>
              <w:bottom w:val="single" w:sz="8" w:color="auto"/>
              <w:right w:val="single" w:sz="8" w:color="auto"/>
            </w:tcBorders>
          </w:tcPr>
          <w:p>
            <w:pPr>
              <w:spacing w:after="0"/>
              <w:rPr>
                <w:sz w:val="22"/>
                <w:szCs w:val="22"/>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100" w:type="dxa"/>
            <w:vAlign w:val="bottom"/>
            <w:tcBorders>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400,000 (2)</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$1.2835 (3)</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$513,400.00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.00014760</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$75.78</w:t>
            </w: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jc w:val="center"/>
              <w:ind w:left="39"/>
              <w:spacing w:after="0"/>
              <w:rPr>
                <w:sz w:val="20"/>
                <w:szCs w:val="20"/>
                <w:color w:val="auto"/>
              </w:rPr>
            </w:pPr>
            <w:r>
              <w:rPr>
                <w:rFonts w:ascii="Times New Roman" w:cs="Times New Roman" w:eastAsia="Times New Roman" w:hAnsi="Times New Roman"/>
                <w:sz w:val="18"/>
                <w:szCs w:val="18"/>
                <w:color w:val="auto"/>
                <w:w w:val="99"/>
              </w:rPr>
              <w:t>Equity</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2023</w:t>
            </w:r>
          </w:p>
        </w:tc>
        <w:tc>
          <w:tcPr>
            <w:tcW w:w="7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Equity Incentive Plan</w:t>
            </w:r>
          </w:p>
        </w:tc>
        <w:tc>
          <w:tcPr>
            <w:tcW w:w="74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7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20" w:type="dxa"/>
            <w:vAlign w:val="bottom"/>
            <w:tcBorders>
              <w:left w:val="single" w:sz="8" w:color="auto"/>
              <w:bottom w:val="single" w:sz="8" w:color="auto"/>
              <w:right w:val="single" w:sz="8" w:color="auto"/>
            </w:tcBorders>
          </w:tcPr>
          <w:p>
            <w:pPr>
              <w:spacing w:after="0"/>
              <w:rPr>
                <w:sz w:val="22"/>
                <w:szCs w:val="22"/>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2,164,366 (4)</w:t>
            </w:r>
          </w:p>
        </w:tc>
        <w:tc>
          <w:tcPr>
            <w:tcW w:w="92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$1.51 (5)</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$3,268,192.66</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.00014760</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$482.39</w:t>
            </w:r>
          </w:p>
        </w:tc>
        <w:tc>
          <w:tcPr>
            <w:tcW w:w="0" w:type="dxa"/>
            <w:vAlign w:val="bottom"/>
          </w:tcPr>
          <w:p>
            <w:pPr>
              <w:spacing w:after="0"/>
              <w:rPr>
                <w:sz w:val="1"/>
                <w:szCs w:val="1"/>
                <w:color w:val="auto"/>
              </w:rPr>
            </w:pPr>
          </w:p>
        </w:tc>
      </w:tr>
      <w:tr>
        <w:trPr>
          <w:trHeight w:val="241"/>
        </w:trPr>
        <w:tc>
          <w:tcPr>
            <w:tcW w:w="920" w:type="dxa"/>
            <w:vAlign w:val="bottom"/>
            <w:tcBorders>
              <w:left w:val="single" w:sz="8" w:color="auto"/>
              <w:bottom w:val="single" w:sz="8" w:color="auto"/>
            </w:tcBorders>
          </w:tcPr>
          <w:p>
            <w:pPr>
              <w:spacing w:after="0"/>
              <w:rPr>
                <w:sz w:val="20"/>
                <w:szCs w:val="20"/>
                <w:color w:val="auto"/>
              </w:rPr>
            </w:pPr>
          </w:p>
        </w:tc>
        <w:tc>
          <w:tcPr>
            <w:tcW w:w="2900" w:type="dxa"/>
            <w:vAlign w:val="bottom"/>
            <w:tcBorders>
              <w:bottom w:val="single" w:sz="8" w:color="auto"/>
            </w:tcBorders>
          </w:tcPr>
          <w:p>
            <w:pPr>
              <w:jc w:val="center"/>
              <w:ind w:left="936"/>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74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$3,781,592.66</w:t>
            </w:r>
          </w:p>
        </w:tc>
        <w:tc>
          <w:tcPr>
            <w:tcW w:w="8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$558.17</w:t>
            </w:r>
          </w:p>
        </w:tc>
        <w:tc>
          <w:tcPr>
            <w:tcW w:w="0" w:type="dxa"/>
            <w:vAlign w:val="bottom"/>
          </w:tcPr>
          <w:p>
            <w:pPr>
              <w:spacing w:after="0"/>
              <w:rPr>
                <w:sz w:val="1"/>
                <w:szCs w:val="1"/>
                <w:color w:val="auto"/>
              </w:rPr>
            </w:pPr>
          </w:p>
        </w:tc>
      </w:tr>
      <w:tr>
        <w:trPr>
          <w:trHeight w:val="237"/>
        </w:trPr>
        <w:tc>
          <w:tcPr>
            <w:tcW w:w="920" w:type="dxa"/>
            <w:vAlign w:val="bottom"/>
            <w:tcBorders>
              <w:left w:val="single" w:sz="8" w:color="auto"/>
              <w:bottom w:val="single" w:sz="8" w:color="auto"/>
            </w:tcBorders>
          </w:tcPr>
          <w:p>
            <w:pPr>
              <w:spacing w:after="0"/>
              <w:rPr>
                <w:sz w:val="20"/>
                <w:szCs w:val="20"/>
                <w:color w:val="auto"/>
              </w:rPr>
            </w:pPr>
          </w:p>
        </w:tc>
        <w:tc>
          <w:tcPr>
            <w:tcW w:w="2900" w:type="dxa"/>
            <w:vAlign w:val="bottom"/>
            <w:tcBorders>
              <w:bottom w:val="single" w:sz="8" w:color="auto"/>
            </w:tcBorders>
          </w:tcPr>
          <w:p>
            <w:pPr>
              <w:jc w:val="center"/>
              <w:ind w:left="956"/>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74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920" w:type="dxa"/>
            <w:vAlign w:val="bottom"/>
            <w:tcBorders>
              <w:left w:val="single" w:sz="8" w:color="auto"/>
              <w:bottom w:val="single" w:sz="8" w:color="auto"/>
            </w:tcBorders>
          </w:tcPr>
          <w:p>
            <w:pPr>
              <w:spacing w:after="0"/>
              <w:rPr>
                <w:sz w:val="20"/>
                <w:szCs w:val="20"/>
                <w:color w:val="auto"/>
              </w:rPr>
            </w:pPr>
          </w:p>
        </w:tc>
        <w:tc>
          <w:tcPr>
            <w:tcW w:w="2900" w:type="dxa"/>
            <w:vAlign w:val="bottom"/>
            <w:tcBorders>
              <w:bottom w:val="single" w:sz="8" w:color="auto"/>
            </w:tcBorders>
          </w:tcPr>
          <w:p>
            <w:pPr>
              <w:jc w:val="center"/>
              <w:ind w:left="956"/>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74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$558.17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common stock that become issuable under the above-named plans by reason of any stock dividend, stock split, recapitalization or any other similar transaction effected without receipt of consideration which results in an increase in the number of IN8bio, Inc.’s (the “Registrant”) outstanding shares of common stock, par value $0.0001 per share (the “Common Stock”).</w:t>
      </w:r>
    </w:p>
    <w:p>
      <w:pPr>
        <w:spacing w:after="0" w:line="2" w:lineRule="exact"/>
        <w:rPr>
          <w:rFonts w:ascii="Times New Roman" w:cs="Times New Roman" w:eastAsia="Times New Roman" w:hAnsi="Times New Roman"/>
          <w:sz w:val="18"/>
          <w:szCs w:val="18"/>
          <w:color w:val="auto"/>
        </w:rPr>
      </w:pPr>
    </w:p>
    <w:p>
      <w:pPr>
        <w:ind w:left="424" w:right="40" w:hanging="424"/>
        <w:spacing w:after="0" w:line="265" w:lineRule="auto"/>
        <w:tabs>
          <w:tab w:leader="none" w:pos="4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additional shares of the Registrant’s Common Stock reserved for issuance under the IN8bio, Inc. 2020 Employee Stock Purchase Plan (the “ESPP”) as a result of the automatic increase in shares reserved thereunder on January 1, 2022 pursuant to the terms of the ESPP. The ESPP provides that an additional number of shares will automatically be added annually to the shares authorized for issuance under the ESPP on January 1, 2022 through January 1, 2031. The number of shares added each year will be equal to the lesser of: (a) 1% of the total number of shares of Common Stock outstanding on the last day of the calendar month before the date of the automatic increase; (b) 400,000 shares of Common Stock; and (c) a number of shares of Common Stock designated by action of the Registrant’s board of directors prior to the date of the increase.</w:t>
      </w:r>
    </w:p>
    <w:p>
      <w:pPr>
        <w:ind w:left="424" w:right="4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Rules 457(c) and 457(h) solely for the purpose of calculating the registration fee. The proposed maximum offering price per share and proposed maximum aggregate offering price are based on the average of the high and low sale prices of the Common Stock as reported on The Nasdaq Global Market on January 16, 2024 multiplied by 85%, which is the percentage of the price per share applicable to purchases under the ESPP.</w:t>
      </w:r>
    </w:p>
    <w:p>
      <w:pPr>
        <w:spacing w:after="0" w:line="1"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of the Registrant’s Common Stock reserved for future grant under IN8bio, Inc. 2023 Amended and Restated Equity Incentive Plan (the “2023 Plan”) as a result of the automatic increase in shares reserved thereunder on January 1, 2024 pursuant to the terms of the 2023 Plan. The 2023 Plan provides that an additional number of shares will automatically be added annually to the shares authorized for issuance under the 2023 Plan on January 1st of each year, for a period of not more than 10 years, commencing on January 1, 2024 and ending on (and including) January 1, 2033, in an amount equal to the lesser of (a) 5% of the total number of shares of Common Stock outstanding on December 31st of the preceding calendar year and (b) a number of shares of Common Stock designated by action of the Registrant’s board of directors prior to the first day of any calendar year.</w:t>
      </w:r>
    </w:p>
    <w:p>
      <w:pPr>
        <w:spacing w:after="0" w:line="2"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Rules 457(c) and 457(h) solely for the purpose of calculating the registration fee. The proposed maximum offering price per share and proposed maximum aggregate offering price are based on the average of the high and low sale prices of the Common Stock as reported on The Nasdaq Global Market on January 16,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upperLetter"/>
      <w:start w:val="20"/>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1"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jpeg"/><Relationship Id="rId41" Type="http://schemas.openxmlformats.org/officeDocument/2006/relationships/image" Target="media/image16.png"/><Relationship Id="rId42" Type="http://schemas.openxmlformats.org/officeDocument/2006/relationships/image" Target="media/image17.jpeg"/><Relationship Id="rId43" Type="http://schemas.openxmlformats.org/officeDocument/2006/relationships/image" Target="media/image18.png"/><Relationship Id="rId18" Type="http://schemas.openxmlformats.org/officeDocument/2006/relationships/hyperlink" Target="http://www.sec.gov/Archives/edgar/data/1740279/000119312521270077/d216810ds8.htm" TargetMode="External"/><Relationship Id="rId19" Type="http://schemas.openxmlformats.org/officeDocument/2006/relationships/hyperlink" Target="http://www.sec.gov/Archives/edgar/data/1740279/000119312523216045/d387080ds8pos.htm" TargetMode="External"/><Relationship Id="rId20" Type="http://schemas.openxmlformats.org/officeDocument/2006/relationships/hyperlink" Target="http://www.sec.gov/Archives/edgar/data/1740279/000119312522148782/d313321ds8.htm" TargetMode="External"/><Relationship Id="rId21" Type="http://schemas.openxmlformats.org/officeDocument/2006/relationships/hyperlink" Target="http://www.sec.gov/Archives/edgar/data/1740279/000119312523216041/d387080ds8pos.htm" TargetMode="External"/><Relationship Id="rId22" Type="http://schemas.openxmlformats.org/officeDocument/2006/relationships/hyperlink" Target="http://www.sec.gov/Archives/edgar/data/1740279/000119312523216033/d512282ds8.htm" TargetMode="External"/><Relationship Id="rId23" Type="http://schemas.openxmlformats.org/officeDocument/2006/relationships/hyperlink" Target="http://www.sec.gov/ix?doc=/Archives/edgar/data/1740279/000095017023010997/inab-20221231.htm" TargetMode="External"/><Relationship Id="rId24" Type="http://schemas.openxmlformats.org/officeDocument/2006/relationships/hyperlink" Target="http://www.sec.gov/ix?doc=/Archives/edgar/data/1740279/000119312523111832/d421859d8k.htm" TargetMode="External"/><Relationship Id="rId25" Type="http://schemas.openxmlformats.org/officeDocument/2006/relationships/hyperlink" Target="http://www.sec.gov/ix?doc=/Archives/edgar/data/0001740279/000119312523292121/d747940d8k.htm" TargetMode="External"/><Relationship Id="rId26" Type="http://schemas.openxmlformats.org/officeDocument/2006/relationships/hyperlink" Target="http://www.sec.gov/ix?doc=/Archives/edgar/data/0001740279/000119312523292706/d634758d8k.htm" TargetMode="External"/><Relationship Id="rId27" Type="http://schemas.openxmlformats.org/officeDocument/2006/relationships/hyperlink" Target="http://www.sec.gov/ix?doc=/Archives/edgar/data/1740279/000095017023021507/inab-20230331.htm" TargetMode="External"/><Relationship Id="rId28" Type="http://schemas.openxmlformats.org/officeDocument/2006/relationships/hyperlink" Target="http://www.sec.gov/ix?doc=/Archives/edgar/data/0001740279/000095017023041482/inab-20230630.htm" TargetMode="External"/><Relationship Id="rId29" Type="http://schemas.openxmlformats.org/officeDocument/2006/relationships/hyperlink" Target="http://www.sec.gov/ix?doc=/Archives/edgar/data/0001740279/000095017023062018/inab-20230930.htm" TargetMode="External"/><Relationship Id="rId30" Type="http://schemas.openxmlformats.org/officeDocument/2006/relationships/hyperlink" Target="http://www.sec.gov/Archives/edgar/data/1740279/000110465920123356/tm2030088d15_8a12b.htm" TargetMode="External"/><Relationship Id="rId32" Type="http://schemas.openxmlformats.org/officeDocument/2006/relationships/hyperlink" Target="http://www.sec.gov/Archives/edgar/data/1740279/000110465921099436/tm2030088d31_ex3-1.htm" TargetMode="External"/><Relationship Id="rId33" Type="http://schemas.openxmlformats.org/officeDocument/2006/relationships/hyperlink" Target="http://www.sec.gov/Archives/edgar/data/1740279/000119312523290707/d634027dex31.htm" TargetMode="External"/><Relationship Id="rId34" Type="http://schemas.openxmlformats.org/officeDocument/2006/relationships/hyperlink" Target="http://www.sec.gov/Archives/edgar/data/1740279/000119312521270077/d216810dex49.htm" TargetMode="External"/><Relationship Id="rId35" Type="http://schemas.openxmlformats.org/officeDocument/2006/relationships/hyperlink" Target="http://www.sec.gov/Archives/edgar/data/1740279/000095017023041482/inab-ex10_1.htm" TargetMode="External"/><Relationship Id="rId36" Type="http://schemas.openxmlformats.org/officeDocument/2006/relationships/hyperlink" Target="http://www.sec.gov/Archives/edgar/data/1740279/000095017023041482/inab-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2024-01-19T15:14:00Z</dcterms:created>
  <dcterms:modified xsi:type="dcterms:W3CDTF">2024-01-19T15:14:00Z</dcterms:modified>
</cp:coreProperties>
</file>