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IN8bio,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45674E208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45674E208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Franklin Resources,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914,531.00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914,531.00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914,531.00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47" w:orient="portrait"/>
          <w:cols w:equalWidth="0" w:num="2">
            <w:col w:w="1100" w:space="60"/>
            <w:col w:w="9880"/>
          </w:cols>
          <w:pgMar w:left="320" w:top="111" w:right="53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Warrants to purchase shares of Common Stock of the Issuer have been excluded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because they are not exercisable to the extent that, following exercise, affiliates of FRI whose beneficial ownership of Common Stock could be aggregated with FRI would own more than 4.99% of the Issuer's Common Stock outstanding.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45674E208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Charles B. Johnson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ectPr>
          <w:pgSz w:w="11900" w:h="16847" w:orient="portrait"/>
          <w:cols w:equalWidth="0" w:num="1">
            <w:col w:w="11040"/>
          </w:cols>
          <w:pgMar w:left="320" w:top="111" w:right="539" w:bottom="0" w:gutter="0" w:footer="0" w:header="0"/>
          <w:type w:val="continuous"/>
        </w:sectPr>
      </w:pPr>
    </w:p>
    <w:bookmarkStart w:id="2" w:name="page3"/>
    <w:bookmarkEnd w:id="2"/>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45674E208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Rupert H. Johnson, Jr.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71"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71"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45674E208</w:t>
      </w:r>
    </w:p>
    <w:p>
      <w:pPr>
        <w:spacing w:after="0" w:line="200" w:lineRule="exact"/>
        <w:rPr>
          <w:sz w:val="20"/>
          <w:szCs w:val="20"/>
          <w:color w:val="auto"/>
        </w:rPr>
      </w:pPr>
    </w:p>
    <w:p>
      <w:pPr>
        <w:spacing w:after="0" w:line="361" w:lineRule="exact"/>
        <w:rPr>
          <w:sz w:val="20"/>
          <w:szCs w:val="20"/>
          <w:color w:val="auto"/>
        </w:rPr>
      </w:pPr>
    </w:p>
    <w:p>
      <w:pPr>
        <w:jc w:val="right"/>
        <w:ind w:right="6499"/>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Franklin Advisers, Inc.</w:t>
      </w:r>
    </w:p>
    <w:p>
      <w:pPr>
        <w:sectPr>
          <w:pgSz w:w="11900" w:h="16871" w:orient="portrait"/>
          <w:cols w:equalWidth="0" w:num="1">
            <w:col w:w="10099"/>
          </w:cols>
          <w:pgMar w:left="360" w:top="612"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CALIFORNIA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914,531.00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914,531.00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914,531.00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CO</w:t>
      </w:r>
    </w:p>
    <w:p>
      <w:pPr>
        <w:spacing w:after="0" w:line="200" w:lineRule="exact"/>
        <w:rPr>
          <w:sz w:val="20"/>
          <w:szCs w:val="20"/>
          <w:color w:val="auto"/>
        </w:rPr>
      </w:pPr>
    </w:p>
    <w:p>
      <w:pPr>
        <w:sectPr>
          <w:pgSz w:w="11900" w:h="16838" w:orient="portrait"/>
          <w:cols w:equalWidth="0" w:num="2">
            <w:col w:w="1060" w:space="60"/>
            <w:col w:w="9520"/>
          </w:cols>
          <w:pgMar w:left="360" w:top="112"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IN8bio,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Empire State Building, 350 5th Avenue, Suite 5330, New York, New York 10118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 Franklin Resources, Inc. (ii): Charles B. Johnson (iii): Rupert H. Johnson, Jr. (iv): Franklin Advisers,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(i), (ii), (iii) and (iv): One Franklin Parkway San Mateo, CA 94403-1906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(i): Delaware (ii) and (iii): USA (iv): California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45674E208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1">
            <w:col w:w="10640"/>
          </w:cols>
          <w:pgMar w:left="360" w:top="112" w:right="899" w:bottom="0" w:gutter="0" w:footer="0" w:header="0"/>
          <w:type w:val="continuous"/>
        </w:sectPr>
      </w:pPr>
    </w:p>
    <w:bookmarkStart w:id="4" w:name="page5"/>
    <w:bookmarkEnd w:id="4"/>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914,531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9.4 %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Franklin Resources, Inc.: 0 Charles B. Johnson: 0 Rupert H. Johnson, Jr.: 0 Franklin Advisers, Inc.: 914,531</w:t>
      </w:r>
    </w:p>
    <w:p>
      <w:pPr>
        <w:spacing w:after="0" w:line="287" w:lineRule="exact"/>
        <w:rPr>
          <w:sz w:val="20"/>
          <w:szCs w:val="20"/>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Franklin Resources, Inc.: 0 Charles B. Johnson: 0 Rupert H. Johnson, Jr.: 0 Franklin Advisers, Inc.: 914,531</w:t>
      </w:r>
    </w:p>
    <w:p>
      <w:pPr>
        <w:spacing w:after="0" w:line="287" w:lineRule="exact"/>
        <w:rPr>
          <w:sz w:val="20"/>
          <w:szCs w:val="20"/>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 Franklin Biotechnology Discovery Fund, a sub-fund of Franklin Templeton Investment Funds, a Luxembourg Registered SICAV has an interest in 582,427 shares, or 6.0% of the class of securities reported herein.</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26" w:right="399" w:bottom="47" w:gutter="0" w:footer="0" w:header="0"/>
          <w:type w:val="continuous"/>
        </w:sectPr>
      </w:pPr>
    </w:p>
    <w:bookmarkStart w:id="5" w:name="page6"/>
    <w:bookmarkEnd w:id="5"/>
    <w:p>
      <w:pPr>
        <w:ind w:left="960"/>
        <w:spacing w:after="0"/>
        <w:rPr>
          <w:sz w:val="20"/>
          <w:szCs w:val="20"/>
          <w:color w:val="auto"/>
        </w:rPr>
      </w:pPr>
      <w:r>
        <w:rPr>
          <w:rFonts w:ascii="Times New Roman" w:cs="Times New Roman" w:eastAsia="Times New Roman" w:hAnsi="Times New Roman"/>
          <w:sz w:val="22"/>
          <w:szCs w:val="22"/>
          <w:color w:val="auto"/>
        </w:rPr>
        <w:t>See Attached Exhibit C</w:t>
      </w:r>
    </w:p>
    <w:p>
      <w:pPr>
        <w:spacing w:after="0" w:line="45"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8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right="4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Franklin Resources, Inc.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/s/Thomas C. Mandia</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Thomas C. Mandia, Assistant Secretary of</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Franklin Resources, Inc.</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01/29/2026</w:t>
      </w:r>
    </w:p>
    <w:p>
      <w:pPr>
        <w:spacing w:after="0" w:line="15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Charles B. Johnson</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/s/Thomas C. Mandia</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Attorney in Fact for Charles B. Johnson pursuant</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to Power of Attorney attached to this Schedule</w:t>
      </w:r>
    </w:p>
    <w:p>
      <w:pPr>
        <w:ind w:left="6780"/>
        <w:spacing w:after="0"/>
        <w:rPr>
          <w:sz w:val="20"/>
          <w:szCs w:val="20"/>
          <w:color w:val="auto"/>
        </w:rPr>
      </w:pPr>
      <w:r>
        <w:rPr>
          <w:rFonts w:ascii="Times New Roman" w:cs="Times New Roman" w:eastAsia="Times New Roman" w:hAnsi="Times New Roman"/>
          <w:sz w:val="22"/>
          <w:szCs w:val="22"/>
          <w:color w:val="auto"/>
        </w:rPr>
        <w:t>13G</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01/29/2026</w:t>
      </w:r>
    </w:p>
    <w:p>
      <w:pPr>
        <w:spacing w:after="0" w:line="15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Rupert H. Johnson, Jr.</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/s/Thomas C. Mandia</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Attorney in Fact for Rupert H. Johnson, Jr.</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pursuant to Power of Attorney attached to this</w:t>
      </w:r>
    </w:p>
    <w:p>
      <w:pPr>
        <w:ind w:left="6780"/>
        <w:spacing w:after="0"/>
        <w:rPr>
          <w:sz w:val="20"/>
          <w:szCs w:val="20"/>
          <w:color w:val="auto"/>
        </w:rPr>
      </w:pPr>
      <w:r>
        <w:rPr>
          <w:rFonts w:ascii="Times New Roman" w:cs="Times New Roman" w:eastAsia="Times New Roman" w:hAnsi="Times New Roman"/>
          <w:sz w:val="22"/>
          <w:szCs w:val="22"/>
          <w:color w:val="auto"/>
        </w:rPr>
        <w:t>Schedule 13G</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01/29/2026</w:t>
      </w:r>
    </w:p>
    <w:p>
      <w:pPr>
        <w:spacing w:after="0" w:line="15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Franklin Advisers, Inc.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/s/Thomas C. Mandia</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Thomas C. Mandia, Assistant Secretary of</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Franklin Advisers, Inc.</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01/29/2026</w:t>
      </w:r>
    </w:p>
    <w:p>
      <w:pPr>
        <w:spacing w:after="0" w:line="31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LIMITED POWER OF ATTORNEY FOR SECTION 13 AND 16 REPORTING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OBLIGATIONS Know all by these presents, that the undersigned hereby makes, constitutes and appoints each of Alison E. Baur, Thomas C. Mandia, Beth McAuley O'Malley, Thomas C. Merchant, Kimberly H. Novotny, Virginia E. Rosas and Navid J. Tofigh each acting individually, as the undersigned's true and lawful attorney-in-fact, with full power and authority as hereinafter described on behalf of and in the name, place and stead of the undersigned to: 1. 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closed-end company to which an affiliate of FRI is an investment adviser (each, a "Reporting Entity"), as considered necessary or advisable under Regulation S-T and Sections 13(d) and 16(a) of the Securities Exchange Act of 1934 and the rules and regulations promulgated thereunder, as amended from time to time (the "Exchange Act"); and 2. 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 3. perform any and all other acts which in the discretion of such attorney-in-fact are necessary or desirable for and on behalf of the undersigned in connection with the foregoing. The undersigned acknowledges that: 1. this Limited Power of Attorney authorizes, but does not require, each such attorney-in-fact to act in their discretion on information provided to such attorney-in-fact without independent verification of such information; 2. any documents prepared and/or executed by any such attorney-in-fact on behalf of the undersigned pursuant to this Limited Power of Attorney will be in</w:t>
      </w:r>
    </w:p>
    <w:p>
      <w:pPr>
        <w:sectPr>
          <w:pgSz w:w="11900" w:h="16838" w:orient="portrait"/>
          <w:cols w:equalWidth="0" w:num="1">
            <w:col w:w="11220"/>
          </w:cols>
          <w:pgMar w:left="320" w:top="111" w:right="359" w:bottom="0" w:gutter="0" w:footer="0" w:header="0"/>
        </w:sectPr>
      </w:pPr>
    </w:p>
    <w:bookmarkStart w:id="6" w:name="page7"/>
    <w:bookmarkEnd w:id="6"/>
    <w:p>
      <w:pPr>
        <w:spacing w:after="0" w:line="242" w:lineRule="auto"/>
        <w:rPr>
          <w:sz w:val="20"/>
          <w:szCs w:val="20"/>
          <w:color w:val="auto"/>
        </w:rPr>
      </w:pPr>
      <w:r>
        <w:rPr>
          <w:rFonts w:ascii="Times New Roman" w:cs="Times New Roman" w:eastAsia="Times New Roman" w:hAnsi="Times New Roman"/>
          <w:sz w:val="21"/>
          <w:szCs w:val="21"/>
          <w:color w:val="auto"/>
        </w:rPr>
        <w:t>such form and will contain such information and disclosure as such attorney-in-fact, in his or her discretion, deems necessary or desirable; 3. none of FRI, any Reporting Entity nor any of such attorneys-in-fact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 4. this Limited Power of Attorney does not relieve the undersigned from responsibility for compliance with the undersigned's obligations under the Exchange Act, including without limitation, the reporting requirements under Section 16 of the Exchange Act. 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Limited Power of Attorney, and indemnifies each of the foregoing attorneys-in-fact against any loss of any nature whatsoever arising in connection therewith. This Limited Power of Attorney shall remain in full force and effect until revoked by the undersigned in a signed writing delivered to each such attorney-in-fact. IN WITNESS WHEREOF, the undersigned has caused this Limited Power of Attorney to be executed as of this 11th day of December, 2023. /s/CHARLES B. JOHNSON Signature Charles B. Johnson Print Name LIMITED POWER OF ATTORNEY FOR SECTION 13 AND 16 REPORTING OBLIGATIONS Know all by these presents, that the undersigned hereby makes, constitutes and appoints each of Alison E. Baur, Thomas C. Mandia, Beth McAuley O'Malley, Thomas C. Merchant, Kimberly H. Novotny, Virginia E. Rosas and Navid J. Tofigh each acting individually, as the undersigned's true and lawful attorney-in-fact, with full power and authority as hereinafter described on behalf of and in the name, place and stead of the undersigned to: 1. 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closed-end company to which an affiliate of FRI is an investment adviser (each, a "Reporting Entity"), as considered necessary or advisable under Regulation S-T and Sections 13(d) and 16(a) of the Securities Exchange Act of 1934 and the rules and regulations promulgated thereunder, as amended from time to time (the "Exchange Act"); and 2. 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spacing w:after="0" w:line="11" w:lineRule="exact"/>
        <w:rPr>
          <w:sz w:val="20"/>
          <w:szCs w:val="20"/>
          <w:color w:val="auto"/>
        </w:rPr>
      </w:pPr>
    </w:p>
    <w:p>
      <w:pPr>
        <w:ind w:firstLine="8"/>
        <w:spacing w:after="0" w:line="241" w:lineRule="auto"/>
        <w:tabs>
          <w:tab w:leader="none" w:pos="216"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 any and all other acts which in the discretion of such attorney-in-fact are necessary or desirable for and on behalf of the undersigned in connection with the foregoing. The undersigned acknowledges that: 1. this Limited Power of Attorney authorizes, but does not require, each such attorney-in-fact to act in their discretion on information provided to such attorney-in-fact without independent verification of such information; 2. any documents prepared and/or executed by any such attorney-in-fact on behalf of the undersigned pursuant to this Limited Power of Attorney will be in such form and will contain such information and disclosure as such attorney-in-fact, in his or her discretion, deems necessary or desirable; 3. none of FRI, any Reporting Entity nor any of such attorneys-in-fact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 4. this Limited Power of Attorney does not relieve the undersigned from responsibility for compliance with the undersigned's obligations under the Exchange Act, including without limitation, the reporting requirements under Section 16 of the Exchange Act. 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Limited Power of Attorney, and indemnifies each of the foregoing attorneys-in-fact against any loss of any nature whatsoever arising in connection therewith. This Limited Power of Attorney shall remain in full force and effect until revoked by the undersigned in a signed writing delivered to each such attorney-in-fact. IN WITNESS WHEREOF, the undersigned has caused this Limited Power of Attorney to be executed as of this 11th day of December, 2023. /s/RUPERT H. JOHNSON, JR. Signature Rupert H. Johnson, Jr. Print Name LIMITED POWER OF ATTORNEY FORSECTION 13 REPORTING OBLIGATIONS Know all by these presents, that we Franklin Templeton Investment Funds (the "Issuer"). an entity organized and existing in the Grand Duchy of Luxembourg and having our registered office at 8A rue Albert Borschette, L-1246 Luxembourg, in the person of Gregory Johnson and Vijay Advani, Directors of the Issuer, hereby makes, constitutes and appoints each of Lori Weber and Kimberly Novotny, each acting individually as the undersigned's true and lawful attorney-in-fact, with full power and authority as hereinafter described on behalf of and in the name, place and stead of the undersigned to:(1)prepare,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regulationspromulgated thereunder, as amended from time to time (the "Exchange Act"); and(2)perform any and all other acts which in the discretion of such attorney in fact are necessary or desirable for and on behalf of the undersigned in connection with the foregoing. The undersigned acknowledges that: (1) this Limited Power of Attorney authorizes, but does not require, each such attorney in fact to act in their discretion on information provided to such attorney in fact without independent verification of such information; (2) any documents prepared and/or executed by either such attorney in fact on behalf of the undersigned pursuant to this Limited Power of Attorney will be in such form and will contain such information and disclosure as such attorney in fact, in his or her discretion, deems necessary or desirable; (3) neither the Reporting Entity nor either of such attorneys in fact assumes (i) any liability for the undersigned's responsibility to comply with the requirements of the Exchange Act or (ii) any liability of the undersigned for any failure to comply with suchrequirements; and (4) this Limited Power of Attorney does not relieve the undersigned from responsibility for compliance with the undersigned's obligations under the Exchange Act, including without limitation the reporting requirements under Section 13 of the Exchange Act. 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w:t>
      </w:r>
    </w:p>
    <w:p>
      <w:pPr>
        <w:sectPr>
          <w:pgSz w:w="11900" w:h="16838" w:orient="portrait"/>
          <w:cols w:equalWidth="0" w:num="1">
            <w:col w:w="11240"/>
          </w:cols>
          <w:pgMar w:left="320" w:top="111" w:right="339" w:bottom="0" w:gutter="0" w:footer="0" w:header="0"/>
        </w:sectPr>
      </w:pPr>
    </w:p>
    <w:bookmarkStart w:id="7" w:name="page8"/>
    <w:bookmarkEnd w:id="7"/>
    <w:p>
      <w:pPr>
        <w:spacing w:after="0" w:line="238" w:lineRule="auto"/>
        <w:rPr>
          <w:sz w:val="20"/>
          <w:szCs w:val="20"/>
          <w:color w:val="auto"/>
        </w:rPr>
      </w:pPr>
      <w:r>
        <w:rPr>
          <w:rFonts w:ascii="Times New Roman" w:cs="Times New Roman" w:eastAsia="Times New Roman" w:hAnsi="Times New Roman"/>
          <w:sz w:val="22"/>
          <w:szCs w:val="22"/>
          <w:color w:val="auto"/>
        </w:rPr>
        <w:t>do if present, hereby ratifying all that each such attorney in fact of, for and on behalf of the undersigned, shall lawfully do or cause to be done by virtue of this Limited Power of Attorney. This Limited Power of Attorney shall remain in full force and effect until revoked by the undersigned in a signed writing delivered to each such attorney in fact. IN WITNESS WHEREOF, the undersigned has caused this Limited Power of Attorney to be executed as of this 13th day of October, 2015. For and on behalf of Franklin Templeton Investment Funds /s/Gregory Johnson Director /s/Vijay Advani Director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20"/>
        <w:spacing w:after="0" w:line="242" w:lineRule="auto"/>
        <w:rPr>
          <w:sz w:val="20"/>
          <w:szCs w:val="20"/>
          <w:color w:val="auto"/>
        </w:rPr>
      </w:pPr>
      <w:r>
        <w:rPr>
          <w:rFonts w:ascii="Times New Roman" w:cs="Times New Roman" w:eastAsia="Times New Roman" w:hAnsi="Times New Roman"/>
          <w:sz w:val="21"/>
          <w:szCs w:val="21"/>
          <w:color w:val="auto"/>
        </w:rPr>
        <w:t>Exhibit A: Joint Filing Agreement Exhibit B: Item 4 Ownership Exhibit C: Item 7 Identification and Classification of Subsidiaries Exhibit A: JOINT FILING AGREEMENT In accordance with Rule 13d-1(k)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 IN WITNESS WHEREOF, the undersigned have executed this agreement on the date of the signing of this filing. Franklin Resources, Inc Charles B. Johnson Rupert H. Johnson, Jr. Franklin Advisers, Inc. By: /s/THOMAS C. MANDIA Assistant Secretary of Franklin Resources, Inc. Attorney-in-Fact for Charles B. Johnson pursuant to Power of Attorney attached to this Schedule 13G Attorney-in-Fact for Rupert H. Johnson, Jr. pursuant to Power of attached to this Schedule 13G Assistant Secretary of Franklin Advisers, Inc. Acknowledgment pursuant to Rule 13d-1(b)(1)(iii) Franklin Templeton Investment Funds on behalf of Franklin Biotechnology Discovery Fund /s/ KIMBERLY D. HARPER Attorney-in-Fact for Franklin Templeton Investment Funds pursuant to Power of Attorney attached to this Schedule 13G Named changed from KIMBERLY H. NOVOTNY. Exhibit B: Item 4 Ownership The securities reported herein are beneficially owned by one or more open or closed 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this Item 4. When an investment management contract (including a sub 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13d-3 under the Act, the Investment Management Subsidiaries listed in this Item 4 may be deemed to be the beneficial owners of the securities reported in this Schedule 13G. Beneficial ownership by Investment Management Subsidiaries and other FRI affiliates is being reported in conformity with the guidelines articulated by the SEC staff in Release No. 34-39538 (January 12, 1998) (the "1998 Release") relating to organizations, such as FRI, where related entities exercise voting and investment powers over the securities being reported independently from each other. The voting and investment powers held by each of FRI's affiliates whose ownership of securities is disaggregated from that of FRI in accordance with the 1998 Release ("FRI Disaggregated Affiliates") are exercised independently from FRI and from all other Investment Management Subsidiaries (FRI, its affiliates and the Investment Management Subsidiaries other than FRI Disaggregated Affiliates are collectively, "FRI Aggregated Affiliates"). Furthermore, internal policies and procedures of, on the one hand, FRI Disaggregated Affiliates, and, on the other hand, FRI establish informational barriers that prevent the flow among, on the one hand, FRI Disaggregated Affiliates (including preventing the flow between such entities), and, on the other hand, the FRI Aggregated Affiliates of information that relates to the voting and investment powers over the securities owned by their respective investment management clients. Consequently, FRI Disaggregated Affiliates report the securities over which they hold investment and voting power separately from the FRI Aggregated Affiliates for purposes of Section 13 of the Act. Charles B. Johnson and Rupert H. Johnson, Jr. (the "Principal Shareholders") may each own in excess of 10% of the outstanding common stock of FRI and are the principal stockholders of FRI (see FRI's Proxy Statement-Stock Ownership of Certain Beneficial Owners). FRI and the Principal Shareholders may be deemed to be, for purposes of Rule 13d-3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 for FRI. FRI, the Principal Shareholders and each of the Investment Management Subsidiaries disclaim any pecuniary interest in any of such securities. In addition, the filing of this Schedule 13G on behalf of the Principal Shareholders, FRI and the FRI Aggregated Affiliates, as applicable, should not be construed as an admission that any of them is, and each of them disclaims that it is, the beneficial owner, as defined in Rule 13d-3, of any of the securities reported in this Schedule 13G. FRI, the Principal Shareholders, and each of the Investment Management Subsidiaries believe that they are not a "group" within the meaning of Rule 13d-5 under the Act and that they are not otherwise required to attribute to each other the beneficial ownership of the securities held by any of them or by any persons or entities for whom or for which the Investment Management Subsidiaries provide investment management services. EXHIBIT C: Item 7 Identification and Classification of Subsidiaries Franklin Advisers, Inc.: Item 3 Classification: 3(e)</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Roman"/>
      <w:start w:val="2"/>
    </w:lvl>
  </w:abstractNum>
  <w:abstractNum w:abstractNumId="8">
    <w:nsid w:val="12200854"/>
    <w:multiLevelType w:val="hybridMultilevel"/>
    <w:lvl w:ilvl="0">
      <w:lvlJc w:val="left"/>
      <w:lvlText w:val="(%1)"/>
      <w:numFmt w:val="lowerRoman"/>
      <w:start w:val="4"/>
    </w:lvl>
  </w:abstractNum>
  <w:abstractNum w:abstractNumId="9">
    <w:nsid w:val="4DB127F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2026-01-29T15:54:13Z</dcterms:created>
  <dcterms:modified xsi:type="dcterms:W3CDTF">2026-01-29T15:54:13Z</dcterms:modified>
</cp:coreProperties>
</file>