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939697ds8.htm"/>
      <w:bookmarkStart w:id="1" w:name="ksd939697ds8"/>
      <w:bookmarkEnd w:id="0"/>
      <w:bookmarkEnd w:id="1"/>
      <w:r>
        <w:rPr>
          <w:rFonts w:ascii="Times New Roman" w:hAnsi="Times New Roman"/>
          <w:b/>
          <w:sz w:val="20"/>
        </w:rPr>
        <w:t xml:space="preserve">As filed with the Securities and Exchange Commission on August 6,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S-8</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IN8BIO,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82-5462585</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12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350 5th Avenue, Suite 5330</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10118</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 xml:space="preserve">2026 Inducement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titles of the plans) </w:t>
      </w:r>
    </w:p>
    <w:p>
      <w:pPr>
        <w:pStyle w:val="TextBody"/>
        <w:bidi w:val="0"/>
        <w:spacing w:before="160" w:after="0"/>
        <w:jc w:val="center"/>
        <w:rPr>
          <w:rFonts w:ascii="Times New Roman" w:hAnsi="Times New Roman"/>
          <w:b/>
          <w:sz w:val="20"/>
        </w:rPr>
      </w:pPr>
      <w:r>
        <w:rPr>
          <w:rFonts w:ascii="Times New Roman" w:hAnsi="Times New Roman"/>
          <w:b/>
          <w:sz w:val="20"/>
        </w:rPr>
        <w:t xml:space="preserve">William Ho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IN8bio, Inc. </w:t>
      </w:r>
    </w:p>
    <w:p>
      <w:pPr>
        <w:pStyle w:val="TextBody"/>
        <w:bidi w:val="0"/>
        <w:spacing w:before="0" w:after="0"/>
        <w:jc w:val="center"/>
        <w:rPr>
          <w:rFonts w:ascii="Times New Roman" w:hAnsi="Times New Roman"/>
          <w:b/>
          <w:sz w:val="20"/>
        </w:rPr>
      </w:pPr>
      <w:r>
        <w:rPr>
          <w:rFonts w:ascii="Times New Roman" w:hAnsi="Times New Roman"/>
          <w:b/>
          <w:sz w:val="20"/>
        </w:rPr>
        <w:t xml:space="preserve">350 5th Avenue, Suite 5330, New York, New York 10118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160" w:after="0"/>
        <w:jc w:val="center"/>
        <w:rPr>
          <w:rFonts w:ascii="Times New Roman" w:hAnsi="Times New Roman"/>
          <w:b/>
          <w:sz w:val="20"/>
        </w:rPr>
      </w:pPr>
      <w:r>
        <w:rPr>
          <w:rFonts w:ascii="Times New Roman" w:hAnsi="Times New Roman"/>
          <w:b/>
          <w:sz w:val="20"/>
        </w:rPr>
        <w:t>(646) 600-6438</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60" w:after="0"/>
        <w:jc w:val="center"/>
        <w:rPr>
          <w:rFonts w:ascii="Times New Roman" w:hAnsi="Times New Roman"/>
          <w:b/>
          <w:sz w:val="20"/>
        </w:rPr>
      </w:pPr>
      <w:r>
        <w:rPr>
          <w:rFonts w:ascii="Times New Roman" w:hAnsi="Times New Roman"/>
          <w:b/>
          <w:sz w:val="20"/>
        </w:rPr>
        <w:t xml:space="preserve">Jaime L. Chase </w:t>
      </w:r>
    </w:p>
    <w:p>
      <w:pPr>
        <w:pStyle w:val="TextBody"/>
        <w:bidi w:val="0"/>
        <w:spacing w:before="0" w:after="0"/>
        <w:jc w:val="center"/>
        <w:rPr>
          <w:rFonts w:ascii="Times New Roman" w:hAnsi="Times New Roman"/>
          <w:b/>
          <w:sz w:val="20"/>
        </w:rPr>
      </w:pPr>
      <w:r>
        <w:rPr>
          <w:rFonts w:ascii="Times New Roman" w:hAnsi="Times New Roman"/>
          <w:b/>
          <w:sz w:val="20"/>
        </w:rPr>
        <w:t xml:space="preserve">Cooley LLP </w:t>
      </w:r>
    </w:p>
    <w:p>
      <w:pPr>
        <w:pStyle w:val="TextBody"/>
        <w:bidi w:val="0"/>
        <w:spacing w:before="0" w:after="0"/>
        <w:jc w:val="center"/>
        <w:rPr>
          <w:rFonts w:ascii="Times New Roman" w:hAnsi="Times New Roman"/>
          <w:b/>
          <w:sz w:val="20"/>
        </w:rPr>
      </w:pPr>
      <w:r>
        <w:rPr>
          <w:rFonts w:ascii="Times New Roman" w:hAnsi="Times New Roman"/>
          <w:b/>
          <w:sz w:val="20"/>
        </w:rPr>
        <w:t xml:space="preserve">1299 Pennsylvania Avenue, NW, Suite 700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20004 </w:t>
      </w:r>
    </w:p>
    <w:p>
      <w:pPr>
        <w:pStyle w:val="TextBody"/>
        <w:bidi w:val="0"/>
        <w:spacing w:before="0" w:after="0"/>
        <w:jc w:val="center"/>
        <w:rPr>
          <w:rFonts w:ascii="Times New Roman" w:hAnsi="Times New Roman"/>
          <w:b/>
          <w:sz w:val="20"/>
        </w:rPr>
      </w:pPr>
      <w:r>
        <w:rPr>
          <w:rFonts w:ascii="Times New Roman" w:hAnsi="Times New Roman"/>
          <w:b/>
          <w:sz w:val="20"/>
        </w:rPr>
        <w:t xml:space="preserve">(202) 842-7800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24"/>
        <w:gridCol w:w="104"/>
        <w:gridCol w:w="5215"/>
        <w:gridCol w:w="121"/>
        <w:gridCol w:w="2392"/>
        <w:gridCol w:w="104"/>
        <w:gridCol w:w="245"/>
      </w:tblGrid>
      <w:tr>
        <w:trPr/>
        <w:tc>
          <w:tcPr>
            <w:tcW w:w="202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521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0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Large Accelerated filer</w:t>
            </w:r>
          </w:p>
        </w:tc>
        <w:tc>
          <w:tcPr>
            <w:tcW w:w="104" w:type="dxa"/>
            <w:tcBorders/>
            <w:vAlign w:val="bottom"/>
          </w:tcPr>
          <w:p>
            <w:pPr>
              <w:pStyle w:val="TableContents"/>
              <w:bidi w:val="0"/>
              <w:spacing w:before="0" w:after="283"/>
              <w:jc w:val="left"/>
              <w:rPr/>
            </w:pPr>
            <w:r>
              <w:rPr/>
              <w:t> </w:t>
            </w:r>
          </w:p>
        </w:tc>
        <w:tc>
          <w:tcPr>
            <w:tcW w:w="5215" w:type="dxa"/>
            <w:tcBorders/>
            <w:vAlign w:val="bottom"/>
          </w:tcPr>
          <w:p>
            <w:pPr>
              <w:pStyle w:val="TableContents"/>
              <w:bidi w:val="0"/>
              <w:spacing w:before="0" w:after="0"/>
              <w:jc w:val="left"/>
              <w:rPr/>
            </w:pPr>
            <w:r>
              <w:rPr/>
              <w:t>☐</w:t>
            </w:r>
          </w:p>
        </w:tc>
        <w:tc>
          <w:tcPr>
            <w:tcW w:w="121" w:type="dxa"/>
            <w:tcBorders/>
            <w:vAlign w:val="bottom"/>
          </w:tcPr>
          <w:p>
            <w:pPr>
              <w:pStyle w:val="TableContents"/>
              <w:bidi w:val="0"/>
              <w:spacing w:before="0" w:after="283"/>
              <w:jc w:val="left"/>
              <w:rPr/>
            </w:pPr>
            <w:r>
              <w:rPr/>
              <w:t>  </w:t>
            </w:r>
          </w:p>
        </w:tc>
        <w:tc>
          <w:tcPr>
            <w:tcW w:w="23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Accelerated filer</w:t>
            </w:r>
          </w:p>
        </w:tc>
        <w:tc>
          <w:tcPr>
            <w:tcW w:w="10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0"/>
              <w:jc w:val="left"/>
              <w:rPr/>
            </w:pPr>
            <w:r>
              <w:rPr/>
              <w:t>☐</w:t>
            </w:r>
          </w:p>
        </w:tc>
      </w:tr>
      <w:tr>
        <w:trPr>
          <w:trHeight w:val="120" w:hRule="atLeast"/>
        </w:trPr>
        <w:tc>
          <w:tcPr>
            <w:tcW w:w="2024" w:type="dxa"/>
            <w:tcBorders/>
            <w:vAlign w:val="center"/>
          </w:tcPr>
          <w:p>
            <w:pPr>
              <w:pStyle w:val="TableContents"/>
              <w:bidi w:val="0"/>
              <w:spacing w:before="0" w:after="283"/>
              <w:jc w:val="left"/>
              <w:rPr>
                <w:sz w:val="4"/>
                <w:szCs w:val="4"/>
              </w:rPr>
            </w:pPr>
            <w:r>
              <w:rPr>
                <w:sz w:val="4"/>
                <w:szCs w:val="4"/>
              </w:rPr>
            </w:r>
          </w:p>
        </w:tc>
        <w:tc>
          <w:tcPr>
            <w:tcW w:w="5319" w:type="dxa"/>
            <w:gridSpan w:val="2"/>
            <w:tcBorders/>
            <w:vAlign w:val="center"/>
          </w:tcPr>
          <w:p>
            <w:pPr>
              <w:pStyle w:val="TableContents"/>
              <w:bidi w:val="0"/>
              <w:spacing w:before="0" w:after="283"/>
              <w:jc w:val="left"/>
              <w:rPr>
                <w:sz w:val="4"/>
                <w:szCs w:val="4"/>
              </w:rPr>
            </w:pPr>
            <w:r>
              <w:rPr>
                <w:sz w:val="4"/>
                <w:szCs w:val="4"/>
              </w:rPr>
            </w:r>
          </w:p>
        </w:tc>
        <w:tc>
          <w:tcPr>
            <w:tcW w:w="2513" w:type="dxa"/>
            <w:gridSpan w:val="2"/>
            <w:tcBorders/>
            <w:vAlign w:val="center"/>
          </w:tcPr>
          <w:p>
            <w:pPr>
              <w:pStyle w:val="TableContents"/>
              <w:bidi w:val="0"/>
              <w:spacing w:before="0" w:after="283"/>
              <w:jc w:val="left"/>
              <w:rPr>
                <w:sz w:val="4"/>
                <w:szCs w:val="4"/>
              </w:rPr>
            </w:pPr>
            <w:r>
              <w:rPr>
                <w:sz w:val="4"/>
                <w:szCs w:val="4"/>
              </w:rPr>
            </w:r>
          </w:p>
        </w:tc>
        <w:tc>
          <w:tcPr>
            <w:tcW w:w="349" w:type="dxa"/>
            <w:gridSpan w:val="2"/>
            <w:tcBorders/>
            <w:vAlign w:val="center"/>
          </w:tcPr>
          <w:p>
            <w:pPr>
              <w:pStyle w:val="TableContents"/>
              <w:bidi w:val="0"/>
              <w:spacing w:before="0" w:after="283"/>
              <w:jc w:val="left"/>
              <w:rPr>
                <w:sz w:val="4"/>
                <w:szCs w:val="4"/>
              </w:rPr>
            </w:pPr>
            <w:r>
              <w:rPr>
                <w:sz w:val="4"/>
                <w:szCs w:val="4"/>
              </w:rPr>
            </w:r>
          </w:p>
        </w:tc>
      </w:tr>
      <w:tr>
        <w:trPr/>
        <w:tc>
          <w:tcPr>
            <w:tcW w:w="20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Non-accelerated filer</w:t>
            </w:r>
          </w:p>
        </w:tc>
        <w:tc>
          <w:tcPr>
            <w:tcW w:w="104" w:type="dxa"/>
            <w:tcBorders/>
            <w:vAlign w:val="bottom"/>
          </w:tcPr>
          <w:p>
            <w:pPr>
              <w:pStyle w:val="TableContents"/>
              <w:bidi w:val="0"/>
              <w:spacing w:before="0" w:after="283"/>
              <w:jc w:val="left"/>
              <w:rPr/>
            </w:pPr>
            <w:r>
              <w:rPr/>
              <w:t> </w:t>
            </w:r>
          </w:p>
        </w:tc>
        <w:tc>
          <w:tcPr>
            <w:tcW w:w="5215" w:type="dxa"/>
            <w:tcBorders/>
            <w:vAlign w:val="bottom"/>
          </w:tcPr>
          <w:p>
            <w:pPr>
              <w:pStyle w:val="TableContents"/>
              <w:bidi w:val="0"/>
              <w:spacing w:before="0" w:after="0"/>
              <w:jc w:val="left"/>
              <w:rPr/>
            </w:pPr>
            <w:r>
              <w:rPr/>
              <w:t>☒</w:t>
            </w:r>
          </w:p>
        </w:tc>
        <w:tc>
          <w:tcPr>
            <w:tcW w:w="121" w:type="dxa"/>
            <w:tcBorders/>
            <w:vAlign w:val="bottom"/>
          </w:tcPr>
          <w:p>
            <w:pPr>
              <w:pStyle w:val="TableContents"/>
              <w:bidi w:val="0"/>
              <w:spacing w:before="0" w:after="283"/>
              <w:jc w:val="left"/>
              <w:rPr/>
            </w:pPr>
            <w:r>
              <w:rPr/>
              <w:t>  </w:t>
            </w:r>
          </w:p>
        </w:tc>
        <w:tc>
          <w:tcPr>
            <w:tcW w:w="23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Smaller reporting company</w:t>
            </w:r>
          </w:p>
        </w:tc>
        <w:tc>
          <w:tcPr>
            <w:tcW w:w="10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0"/>
              <w:jc w:val="left"/>
              <w:rPr/>
            </w:pPr>
            <w:r>
              <w:rPr/>
              <w:t>☒</w:t>
            </w:r>
          </w:p>
        </w:tc>
      </w:tr>
      <w:tr>
        <w:trPr>
          <w:trHeight w:val="120" w:hRule="atLeast"/>
        </w:trPr>
        <w:tc>
          <w:tcPr>
            <w:tcW w:w="2024" w:type="dxa"/>
            <w:tcBorders/>
            <w:vAlign w:val="center"/>
          </w:tcPr>
          <w:p>
            <w:pPr>
              <w:pStyle w:val="TableContents"/>
              <w:bidi w:val="0"/>
              <w:spacing w:before="0" w:after="283"/>
              <w:jc w:val="left"/>
              <w:rPr>
                <w:sz w:val="4"/>
                <w:szCs w:val="4"/>
              </w:rPr>
            </w:pPr>
            <w:r>
              <w:rPr>
                <w:sz w:val="4"/>
                <w:szCs w:val="4"/>
              </w:rPr>
            </w:r>
          </w:p>
        </w:tc>
        <w:tc>
          <w:tcPr>
            <w:tcW w:w="5319" w:type="dxa"/>
            <w:gridSpan w:val="2"/>
            <w:tcBorders/>
            <w:vAlign w:val="center"/>
          </w:tcPr>
          <w:p>
            <w:pPr>
              <w:pStyle w:val="TableContents"/>
              <w:bidi w:val="0"/>
              <w:spacing w:before="0" w:after="283"/>
              <w:jc w:val="left"/>
              <w:rPr>
                <w:sz w:val="4"/>
                <w:szCs w:val="4"/>
              </w:rPr>
            </w:pPr>
            <w:r>
              <w:rPr>
                <w:sz w:val="4"/>
                <w:szCs w:val="4"/>
              </w:rPr>
            </w:r>
          </w:p>
        </w:tc>
        <w:tc>
          <w:tcPr>
            <w:tcW w:w="2513" w:type="dxa"/>
            <w:gridSpan w:val="2"/>
            <w:tcBorders/>
            <w:vAlign w:val="center"/>
          </w:tcPr>
          <w:p>
            <w:pPr>
              <w:pStyle w:val="TableContents"/>
              <w:bidi w:val="0"/>
              <w:spacing w:before="0" w:after="283"/>
              <w:jc w:val="left"/>
              <w:rPr>
                <w:sz w:val="4"/>
                <w:szCs w:val="4"/>
              </w:rPr>
            </w:pPr>
            <w:r>
              <w:rPr>
                <w:sz w:val="4"/>
                <w:szCs w:val="4"/>
              </w:rPr>
            </w:r>
          </w:p>
        </w:tc>
        <w:tc>
          <w:tcPr>
            <w:tcW w:w="349" w:type="dxa"/>
            <w:gridSpan w:val="2"/>
            <w:tcBorders/>
            <w:vAlign w:val="center"/>
          </w:tcPr>
          <w:p>
            <w:pPr>
              <w:pStyle w:val="TableContents"/>
              <w:bidi w:val="0"/>
              <w:spacing w:before="0" w:after="283"/>
              <w:jc w:val="left"/>
              <w:rPr>
                <w:sz w:val="4"/>
                <w:szCs w:val="4"/>
              </w:rPr>
            </w:pPr>
            <w:r>
              <w:rPr>
                <w:sz w:val="4"/>
                <w:szCs w:val="4"/>
              </w:rPr>
            </w:r>
          </w:p>
        </w:tc>
      </w:tr>
      <w:tr>
        <w:trPr/>
        <w:tc>
          <w:tcPr>
            <w:tcW w:w="202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521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Emerging growth company</w:t>
            </w:r>
          </w:p>
        </w:tc>
        <w:tc>
          <w:tcPr>
            <w:tcW w:w="10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0"/>
              <w:jc w:val="left"/>
              <w:rPr/>
            </w:pPr>
            <w:r>
              <w:rPr/>
              <w:t>☒</w:t>
            </w:r>
          </w:p>
        </w:tc>
      </w:tr>
    </w:tbl>
    <w:p>
      <w:pPr>
        <w:pStyle w:val="TextBody"/>
        <w:bidi w:val="0"/>
        <w:spacing w:before="16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instructional note to Part I of Form S-8 as promulgated by the Securities and Exchange Commission (the “Commission”), the information specified by Part I of Form S-8 has been omitted from this Registration Statement.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IN8bio, Inc. (the “Registrant”) hereby incorporates by reference into this Registration Statement the following documents filed by it with the Commission: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the Registrant’s </w:t>
            </w:r>
            <w:hyperlink r:id="rId2">
              <w:r>
                <w:rPr>
                  <w:rStyle w:val="InternetLink"/>
                  <w:rFonts w:ascii="Times New Roman" w:hAnsi="Times New Roman"/>
                  <w:sz w:val="20"/>
                </w:rPr>
                <w:t>Annual Report on Form 10-K</w:t>
              </w:r>
            </w:hyperlink>
            <w:r>
              <w:rPr>
                <w:rFonts w:ascii="Times New Roman" w:hAnsi="Times New Roman"/>
                <w:sz w:val="20"/>
              </w:rPr>
              <w:t xml:space="preserve"> (File No. 001-39692) for the fiscal year ended December 31, 2025, filed with the Commission on March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the Registrant’s Annual Report on Form 10-K for the fiscal year ended December  31, 2025 from the Registrant’s </w:t>
            </w:r>
            <w:hyperlink r:id="rId3">
              <w:r>
                <w:rPr>
                  <w:rStyle w:val="InternetLink"/>
                  <w:rFonts w:ascii="Times New Roman" w:hAnsi="Times New Roman"/>
                  <w:sz w:val="20"/>
                </w:rPr>
                <w:t>Definitive Proxy Statement on Schedule 14A</w:t>
              </w:r>
            </w:hyperlink>
            <w:r>
              <w:rPr>
                <w:rFonts w:ascii="Times New Roman" w:hAnsi="Times New Roman"/>
                <w:sz w:val="20"/>
              </w:rPr>
              <w:t xml:space="preserve"> filed with the Commission on March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pPr>
            <w:r>
              <w:rPr>
                <w:rFonts w:ascii="Times New Roman" w:hAnsi="Times New Roman"/>
                <w:sz w:val="20"/>
              </w:rPr>
              <w:t xml:space="preserve">the Registrant’s Quarterly Reports on Form 10-Q (File No. 001-39692) for the quarters ended </w:t>
            </w:r>
            <w:hyperlink r:id="rId4">
              <w:r>
                <w:rPr>
                  <w:rStyle w:val="InternetLink"/>
                  <w:rFonts w:ascii="Times New Roman" w:hAnsi="Times New Roman"/>
                  <w:sz w:val="20"/>
                </w:rPr>
                <w:t>March  31, 2026</w:t>
              </w:r>
            </w:hyperlink>
            <w:r>
              <w:rPr>
                <w:rFonts w:ascii="Times New Roman" w:hAnsi="Times New Roman"/>
                <w:sz w:val="20"/>
              </w:rPr>
              <w:t xml:space="preserve"> and </w:t>
            </w:r>
            <w:hyperlink r:id="rId5">
              <w:r>
                <w:rPr>
                  <w:rStyle w:val="InternetLink"/>
                  <w:rFonts w:ascii="Times New Roman" w:hAnsi="Times New Roman"/>
                  <w:sz w:val="20"/>
                </w:rPr>
                <w:t>June 30, 2026</w:t>
              </w:r>
            </w:hyperlink>
            <w:r>
              <w:rPr>
                <w:rFonts w:ascii="Times New Roman" w:hAnsi="Times New Roman"/>
                <w:sz w:val="20"/>
              </w:rPr>
              <w:t xml:space="preserve">, filed with the Commission on May 7, 2026 and August 6, 2026,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pPr>
            <w:r>
              <w:rPr>
                <w:rFonts w:ascii="Times New Roman" w:hAnsi="Times New Roman"/>
                <w:sz w:val="20"/>
              </w:rPr>
              <w:t xml:space="preserve">the Registrant’s Current Reports on Form 8-K (File No. 001-39692), filed with the Commission on </w:t>
            </w:r>
            <w:hyperlink r:id="rId6">
              <w:r>
                <w:rPr>
                  <w:rStyle w:val="InternetLink"/>
                  <w:rFonts w:ascii="Times New Roman" w:hAnsi="Times New Roman"/>
                  <w:sz w:val="20"/>
                </w:rPr>
                <w:t>February  9, 2026</w:t>
              </w:r>
            </w:hyperlink>
            <w:r>
              <w:rPr>
                <w:rFonts w:ascii="Times New Roman" w:hAnsi="Times New Roman"/>
                <w:sz w:val="20"/>
              </w:rPr>
              <w:t xml:space="preserve">, </w:t>
            </w:r>
            <w:hyperlink r:id="rId7">
              <w:r>
                <w:rPr>
                  <w:rStyle w:val="InternetLink"/>
                  <w:rFonts w:ascii="Times New Roman" w:hAnsi="Times New Roman"/>
                  <w:sz w:val="20"/>
                </w:rPr>
                <w:t>February  27, 2026</w:t>
              </w:r>
            </w:hyperlink>
            <w:r>
              <w:rPr>
                <w:rFonts w:ascii="Times New Roman" w:hAnsi="Times New Roman"/>
                <w:sz w:val="20"/>
              </w:rPr>
              <w:t xml:space="preserve">, </w:t>
            </w:r>
            <w:hyperlink r:id="rId8">
              <w:r>
                <w:rPr>
                  <w:rStyle w:val="InternetLink"/>
                  <w:rFonts w:ascii="Times New Roman" w:hAnsi="Times New Roman"/>
                  <w:sz w:val="20"/>
                </w:rPr>
                <w:t>May  7, 2026</w:t>
              </w:r>
            </w:hyperlink>
            <w:r>
              <w:rPr>
                <w:rFonts w:ascii="Times New Roman" w:hAnsi="Times New Roman"/>
                <w:sz w:val="20"/>
              </w:rPr>
              <w:t xml:space="preserve"> and </w:t>
            </w:r>
            <w:hyperlink r:id="rId9">
              <w:r>
                <w:rPr>
                  <w:rStyle w:val="InternetLink"/>
                  <w:rFonts w:ascii="Times New Roman" w:hAnsi="Times New Roman"/>
                  <w:sz w:val="20"/>
                </w:rPr>
                <w:t>June 1, 2026</w:t>
              </w:r>
            </w:hyperlink>
            <w:r>
              <w:rPr>
                <w:rFonts w:ascii="Times New Roman" w:hAnsi="Times New Roman"/>
                <w:sz w:val="20"/>
              </w:rPr>
              <w:t xml:space="preserve"> to the extent the information in and exhibits to such reports are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pPr>
            <w:r>
              <w:rPr>
                <w:rFonts w:ascii="Times New Roman" w:hAnsi="Times New Roman"/>
                <w:sz w:val="20"/>
              </w:rPr>
              <w:t xml:space="preserve">the description of the Registrant’s common stock contained in </w:t>
            </w:r>
            <w:hyperlink r:id="rId10">
              <w:r>
                <w:rPr>
                  <w:rStyle w:val="InternetLink"/>
                  <w:rFonts w:ascii="Times New Roman" w:hAnsi="Times New Roman"/>
                  <w:sz w:val="20"/>
                </w:rPr>
                <w:t>Exhibit 4.2</w:t>
              </w:r>
            </w:hyperlink>
            <w:r>
              <w:rPr>
                <w:rFonts w:ascii="Times New Roman" w:hAnsi="Times New Roman"/>
                <w:sz w:val="20"/>
              </w:rPr>
              <w:t xml:space="preserve"> to the Registrant’s Annual Report on Form 10-K for the fiscal year ended December 31, 2025 (File No. 001-39692), filed with the Commission on March 12, 2026,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the Registrant pursuant to Section 13(a), 13(c), 14 or 15(d) of the Securities Exchange Act of 1934, as amended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herein or in any subsequently filed document which also is or is deemed to be incorporated by reference herein modifies or supersedes such statement. Any such statement so modified or superseded shall not constitute a part of this Registration Statement, except as so modified or superseded.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hereof, GC&amp;H Investments and GC&amp;H Investments, LLC, each an entity that is comprised of partners and associates of Cooley LLP, beneficially own an aggregate of 5,797 shares of the Registrant’s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provides for indemnification of the Registrant’s directors to the maximum extent permitted by the Delaware General Corporation Law, and the Registrant’s amended and restated bylaws provide for indemnification of the Registrant’s directors, officers, employees and other agents to the maximum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entered into indemnification agreements with the Registrant’s directors and officers, whereby the Registrant has agreed to indemnify the Registrant’s directors and officers to the fullest extent permitted by law, including advancement of expenses incurred in legal proceedings to which the director or officer was, or is threatened to be made, a party by reason of the fact that such director or officer is or was a director, officer, employee or agent of the Registrant, provided that such director or officer acted in good faith and in a manner that the director or officer reasonably believed to be in, or not opposed to, the best interest of the Registrant. At present, there is no pending litigation or proceeding involving a director or officer of the Registrant regarding which indemnification is sought, nor is the Registrant aware of any threatened litigation that may result in claims for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maintains insurance policies that indemnify the Registrant’s directors and officers against various liabilities arising under the Securities Act and the Exchange Act that might be incurred by any director or officer in his capacity as such.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120" w:after="0"/>
        <w:jc w:val="left"/>
        <w:rPr>
          <w:rFonts w:ascii="Times New Roman" w:hAnsi="Times New Roman"/>
          <w:sz w:val="20"/>
        </w:rPr>
      </w:pPr>
      <w:r>
        <w:rPr>
          <w:rFonts w:ascii="Times New Roman" w:hAnsi="Times New Roman"/>
          <w:sz w:val="20"/>
        </w:rPr>
        <w:t xml:space="preserve">The exhibits to this Registration Statement are listed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1"/>
        <w:gridCol w:w="514"/>
        <w:gridCol w:w="8790"/>
      </w:tblGrid>
      <w:tr>
        <w:trPr/>
        <w:tc>
          <w:tcPr>
            <w:tcW w:w="901"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8790" w:type="dxa"/>
            <w:tcBorders/>
            <w:vAlign w:val="center"/>
          </w:tcPr>
          <w:p>
            <w:pPr>
              <w:pStyle w:val="TableContents"/>
              <w:bidi w:val="0"/>
              <w:spacing w:before="0" w:after="283"/>
              <w:jc w:val="left"/>
              <w:rPr>
                <w:sz w:val="4"/>
                <w:szCs w:val="4"/>
              </w:rPr>
            </w:pPr>
            <w:r>
              <w:rPr>
                <w:sz w:val="4"/>
                <w:szCs w:val="4"/>
              </w:rPr>
            </w:r>
          </w:p>
        </w:tc>
      </w:tr>
      <w:tr>
        <w:trPr/>
        <w:tc>
          <w:tcPr>
            <w:tcW w:w="901"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514" w:type="dxa"/>
            <w:tcBorders/>
            <w:vAlign w:val="bottom"/>
          </w:tcPr>
          <w:p>
            <w:pPr>
              <w:pStyle w:val="TableContents"/>
              <w:bidi w:val="0"/>
              <w:spacing w:before="0" w:after="283"/>
              <w:jc w:val="left"/>
              <w:rPr/>
            </w:pPr>
            <w:r>
              <w:rPr/>
              <w:t>  </w:t>
            </w:r>
          </w:p>
        </w:tc>
        <w:tc>
          <w:tcPr>
            <w:tcW w:w="87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r>
              <w:rPr/>
              <w:t>4.1</w:t>
            </w:r>
          </w:p>
        </w:tc>
        <w:tc>
          <w:tcPr>
            <w:tcW w:w="514" w:type="dxa"/>
            <w:tcBorders/>
            <w:vAlign w:val="bottom"/>
          </w:tcPr>
          <w:p>
            <w:pPr>
              <w:pStyle w:val="TableContents"/>
              <w:bidi w:val="0"/>
              <w:spacing w:before="0" w:after="283"/>
              <w:jc w:val="left"/>
              <w:rPr/>
            </w:pPr>
            <w:r>
              <w:rPr/>
              <w:t>  </w:t>
            </w:r>
          </w:p>
        </w:tc>
        <w:tc>
          <w:tcPr>
            <w:tcW w:w="8790" w:type="dxa"/>
            <w:tcBorders/>
          </w:tcPr>
          <w:p>
            <w:pPr>
              <w:pStyle w:val="TableContents"/>
              <w:bidi w:val="0"/>
              <w:spacing w:before="0" w:after="283"/>
              <w:jc w:val="left"/>
              <w:rPr/>
            </w:pPr>
            <w:hyperlink r:id="rId11">
              <w:r>
                <w:rPr>
                  <w:rStyle w:val="InternetLink"/>
                </w:rPr>
                <w:t>Amended and Restated Certificate of Incorporation of the Company (incorporated herein by reference to Exhibit 3.1 to the Company’s Current Report on Form 8-K (File No. 001-39692), filed with the SEC on August 3, 2021).</w:t>
              </w:r>
            </w:hyperlink>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r>
              <w:rPr/>
              <w:t>4.2</w:t>
            </w:r>
          </w:p>
        </w:tc>
        <w:tc>
          <w:tcPr>
            <w:tcW w:w="514" w:type="dxa"/>
            <w:tcBorders/>
            <w:vAlign w:val="bottom"/>
          </w:tcPr>
          <w:p>
            <w:pPr>
              <w:pStyle w:val="TableContents"/>
              <w:bidi w:val="0"/>
              <w:spacing w:before="0" w:after="283"/>
              <w:jc w:val="left"/>
              <w:rPr/>
            </w:pPr>
            <w:r>
              <w:rPr/>
              <w:t>  </w:t>
            </w:r>
          </w:p>
        </w:tc>
        <w:tc>
          <w:tcPr>
            <w:tcW w:w="8790" w:type="dxa"/>
            <w:tcBorders/>
          </w:tcPr>
          <w:p>
            <w:pPr>
              <w:pStyle w:val="TableContents"/>
              <w:bidi w:val="0"/>
              <w:spacing w:before="0" w:after="283"/>
              <w:jc w:val="left"/>
              <w:rPr/>
            </w:pPr>
            <w:hyperlink r:id="rId12">
              <w:r>
                <w:rPr>
                  <w:rStyle w:val="InternetLink"/>
                </w:rPr>
                <w:t>Certificate of Amendment of the Amended and Restated Certificate of Incorporation of the Company (incorporated herein by reference to Exhibit 3.1 to the Company’s Current Report on Form 8-K (File No. 001-39692), filed with the SEC on June 4, 2025).</w:t>
              </w:r>
            </w:hyperlink>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r>
              <w:rPr/>
              <w:t>4.3</w:t>
            </w:r>
          </w:p>
        </w:tc>
        <w:tc>
          <w:tcPr>
            <w:tcW w:w="514" w:type="dxa"/>
            <w:tcBorders/>
            <w:vAlign w:val="bottom"/>
          </w:tcPr>
          <w:p>
            <w:pPr>
              <w:pStyle w:val="TableContents"/>
              <w:bidi w:val="0"/>
              <w:spacing w:before="0" w:after="283"/>
              <w:jc w:val="left"/>
              <w:rPr/>
            </w:pPr>
            <w:r>
              <w:rPr/>
              <w:t>  </w:t>
            </w:r>
          </w:p>
        </w:tc>
        <w:tc>
          <w:tcPr>
            <w:tcW w:w="8790" w:type="dxa"/>
            <w:tcBorders/>
          </w:tcPr>
          <w:p>
            <w:pPr>
              <w:pStyle w:val="TableContents"/>
              <w:bidi w:val="0"/>
              <w:spacing w:before="0" w:after="283"/>
              <w:jc w:val="left"/>
              <w:rPr/>
            </w:pPr>
            <w:hyperlink r:id="rId13">
              <w:r>
                <w:rPr>
                  <w:rStyle w:val="InternetLink"/>
                </w:rPr>
                <w:t>Second Amended and Restated Bylaws of the Company (incorporated herein by reference to Exhibit 3.1 to the Company’s Current Report on Form 8-K (File No. 001-39692), filed with the SEC on December 7, 2023).</w:t>
              </w:r>
            </w:hyperlink>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r>
              <w:rPr/>
              <w:t>5.1*</w:t>
            </w:r>
          </w:p>
        </w:tc>
        <w:tc>
          <w:tcPr>
            <w:tcW w:w="514" w:type="dxa"/>
            <w:tcBorders/>
            <w:vAlign w:val="bottom"/>
          </w:tcPr>
          <w:p>
            <w:pPr>
              <w:pStyle w:val="TableContents"/>
              <w:bidi w:val="0"/>
              <w:spacing w:before="0" w:after="283"/>
              <w:jc w:val="left"/>
              <w:rPr/>
            </w:pPr>
            <w:r>
              <w:rPr/>
              <w:t>  </w:t>
            </w:r>
          </w:p>
        </w:tc>
        <w:tc>
          <w:tcPr>
            <w:tcW w:w="8790" w:type="dxa"/>
            <w:tcBorders/>
          </w:tcPr>
          <w:p>
            <w:pPr>
              <w:pStyle w:val="TableContents"/>
              <w:bidi w:val="0"/>
              <w:spacing w:before="0" w:after="283"/>
              <w:jc w:val="left"/>
              <w:rPr/>
            </w:pPr>
            <w:hyperlink w:anchor="d939697dex51.htm">
              <w:r>
                <w:rPr>
                  <w:rStyle w:val="InternetLink"/>
                </w:rPr>
                <w:t xml:space="preserve">Opinion of Cooley LLP. </w:t>
              </w:r>
            </w:hyperlink>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23.1*</w:t>
            </w:r>
          </w:p>
        </w:tc>
        <w:tc>
          <w:tcPr>
            <w:tcW w:w="514" w:type="dxa"/>
            <w:tcBorders/>
            <w:vAlign w:val="bottom"/>
          </w:tcPr>
          <w:p>
            <w:pPr>
              <w:pStyle w:val="TableContents"/>
              <w:bidi w:val="0"/>
              <w:spacing w:before="0" w:after="283"/>
              <w:jc w:val="left"/>
              <w:rPr/>
            </w:pPr>
            <w:r>
              <w:rPr/>
              <w:t>  </w:t>
            </w:r>
          </w:p>
        </w:tc>
        <w:tc>
          <w:tcPr>
            <w:tcW w:w="8790" w:type="dxa"/>
            <w:tcBorders/>
          </w:tcPr>
          <w:p>
            <w:pPr>
              <w:pStyle w:val="TableContents"/>
              <w:bidi w:val="0"/>
              <w:spacing w:before="0" w:after="283"/>
              <w:jc w:val="left"/>
              <w:rPr/>
            </w:pPr>
            <w:hyperlink w:anchor="d939697dex231.htm">
              <w:r>
                <w:rPr>
                  <w:rStyle w:val="InternetLink"/>
                </w:rPr>
                <w:t xml:space="preserve">Consent of Independent Registered Public Accounting Firm. </w:t>
              </w:r>
            </w:hyperlink>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23.2*</w:t>
            </w:r>
          </w:p>
        </w:tc>
        <w:tc>
          <w:tcPr>
            <w:tcW w:w="514" w:type="dxa"/>
            <w:tcBorders/>
            <w:vAlign w:val="bottom"/>
          </w:tcPr>
          <w:p>
            <w:pPr>
              <w:pStyle w:val="TableContents"/>
              <w:bidi w:val="0"/>
              <w:spacing w:before="0" w:after="283"/>
              <w:jc w:val="left"/>
              <w:rPr/>
            </w:pPr>
            <w:r>
              <w:rPr/>
              <w:t>  </w:t>
            </w:r>
          </w:p>
        </w:tc>
        <w:tc>
          <w:tcPr>
            <w:tcW w:w="8790" w:type="dxa"/>
            <w:tcBorders/>
          </w:tcPr>
          <w:p>
            <w:pPr>
              <w:pStyle w:val="TableContents"/>
              <w:bidi w:val="0"/>
              <w:spacing w:before="0" w:after="283"/>
              <w:jc w:val="left"/>
              <w:rPr/>
            </w:pPr>
            <w:r>
              <w:rPr/>
              <w:t xml:space="preserve">Consent of Cooley LLP (included in </w:t>
            </w:r>
            <w:hyperlink w:anchor="d939697dex51.htm">
              <w:r>
                <w:rPr>
                  <w:rStyle w:val="InternetLink"/>
                </w:rPr>
                <w:t>Exhibit 5.1</w:t>
              </w:r>
            </w:hyperlink>
            <w:r>
              <w:rPr/>
              <w:t>).</w:t>
            </w:r>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24.1*</w:t>
            </w:r>
          </w:p>
        </w:tc>
        <w:tc>
          <w:tcPr>
            <w:tcW w:w="514" w:type="dxa"/>
            <w:tcBorders/>
            <w:vAlign w:val="bottom"/>
          </w:tcPr>
          <w:p>
            <w:pPr>
              <w:pStyle w:val="TableContents"/>
              <w:bidi w:val="0"/>
              <w:spacing w:before="0" w:after="283"/>
              <w:jc w:val="left"/>
              <w:rPr/>
            </w:pPr>
            <w:r>
              <w:rPr/>
              <w:t>  </w:t>
            </w:r>
          </w:p>
        </w:tc>
        <w:tc>
          <w:tcPr>
            <w:tcW w:w="8790" w:type="dxa"/>
            <w:tcBorders/>
          </w:tcPr>
          <w:p>
            <w:pPr>
              <w:pStyle w:val="TableContents"/>
              <w:bidi w:val="0"/>
              <w:spacing w:before="0" w:after="283"/>
              <w:jc w:val="left"/>
              <w:rPr/>
            </w:pPr>
            <w:hyperlink w:anchor="sig">
              <w:r>
                <w:rPr>
                  <w:rStyle w:val="InternetLink"/>
                </w:rPr>
                <w:t xml:space="preserve">Power of Attorney (included on the signature page to this Registration Statement). </w:t>
              </w:r>
            </w:hyperlink>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99.1</w:t>
            </w:r>
          </w:p>
        </w:tc>
        <w:tc>
          <w:tcPr>
            <w:tcW w:w="514" w:type="dxa"/>
            <w:tcBorders/>
            <w:vAlign w:val="bottom"/>
          </w:tcPr>
          <w:p>
            <w:pPr>
              <w:pStyle w:val="TableContents"/>
              <w:bidi w:val="0"/>
              <w:spacing w:before="0" w:after="283"/>
              <w:jc w:val="left"/>
              <w:rPr/>
            </w:pPr>
            <w:r>
              <w:rPr/>
              <w:t>  </w:t>
            </w:r>
          </w:p>
        </w:tc>
        <w:tc>
          <w:tcPr>
            <w:tcW w:w="8790" w:type="dxa"/>
            <w:tcBorders/>
          </w:tcPr>
          <w:p>
            <w:pPr>
              <w:pStyle w:val="TableContents"/>
              <w:bidi w:val="0"/>
              <w:spacing w:before="0" w:after="283"/>
              <w:jc w:val="left"/>
              <w:rPr/>
            </w:pPr>
            <w:hyperlink r:id="rId14">
              <w:r>
                <w:rPr>
                  <w:rStyle w:val="InternetLink"/>
                </w:rPr>
                <w:t xml:space="preserve">IN8bio, Inc. 2026 Inducement Plan (incorporated herein by reference to Exhibit 10.1 to the Company’s Quarterly Report on Form 10-Q (File No. 001-39692), filed with the SEC on August 6, 2026). </w:t>
              </w:r>
            </w:hyperlink>
          </w:p>
        </w:tc>
      </w:tr>
      <w:tr>
        <w:trPr>
          <w:trHeight w:val="120" w:hRule="atLeast"/>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107*</w:t>
            </w:r>
          </w:p>
        </w:tc>
        <w:tc>
          <w:tcPr>
            <w:tcW w:w="514" w:type="dxa"/>
            <w:tcBorders/>
            <w:vAlign w:val="bottom"/>
          </w:tcPr>
          <w:p>
            <w:pPr>
              <w:pStyle w:val="TableContents"/>
              <w:bidi w:val="0"/>
              <w:spacing w:before="0" w:after="283"/>
              <w:jc w:val="left"/>
              <w:rPr/>
            </w:pPr>
            <w:r>
              <w:rPr/>
              <w:t>  </w:t>
            </w:r>
          </w:p>
        </w:tc>
        <w:tc>
          <w:tcPr>
            <w:tcW w:w="8790" w:type="dxa"/>
            <w:tcBorders/>
          </w:tcPr>
          <w:p>
            <w:pPr>
              <w:pStyle w:val="TableContents"/>
              <w:bidi w:val="0"/>
              <w:spacing w:before="0" w:after="283"/>
              <w:jc w:val="left"/>
              <w:rPr/>
            </w:pPr>
            <w:hyperlink w:anchor="d939697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August 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IN8bio,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Ho</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William Ho</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i/>
              </w:rPr>
            </w:pPr>
            <w:r>
              <w:rPr>
                <w:i/>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b/>
          <w:sz w:val="20"/>
        </w:rPr>
        <w:t>KNOW ALL PERSONS BY THESE PRESENTS,</w:t>
      </w:r>
      <w:r>
        <w:rPr>
          <w:rFonts w:ascii="Times New Roman" w:hAnsi="Times New Roman"/>
          <w:sz w:val="20"/>
        </w:rPr>
        <w:t xml:space="preserve"> that each person whose signature appears below constitutes and appoints William Ho and Patrick McCall,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on Form S-8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52"/>
        <w:gridCol w:w="106"/>
        <w:gridCol w:w="433"/>
        <w:gridCol w:w="120"/>
        <w:gridCol w:w="4842"/>
        <w:gridCol w:w="120"/>
        <w:gridCol w:w="1532"/>
      </w:tblGrid>
      <w:tr>
        <w:trPr/>
        <w:tc>
          <w:tcPr>
            <w:tcW w:w="305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r>
      <w:tr>
        <w:trPr/>
        <w:tc>
          <w:tcPr>
            <w:tcW w:w="3052" w:type="dxa"/>
            <w:tcBorders/>
            <w:vAlign w:val="bottom"/>
          </w:tcPr>
          <w:p>
            <w:pPr>
              <w:pStyle w:val="TableContents"/>
              <w:bidi w:val="0"/>
              <w:spacing w:before="0" w:after="283"/>
              <w:jc w:val="center"/>
              <w:rPr>
                <w:b/>
              </w:rPr>
            </w:pPr>
            <w:r>
              <w:rPr>
                <w:b/>
              </w:rPr>
              <w:t>Signature</w:t>
            </w:r>
          </w:p>
        </w:tc>
        <w:tc>
          <w:tcPr>
            <w:tcW w:w="106"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42" w:type="dxa"/>
            <w:tcBorders/>
            <w:vAlign w:val="bottom"/>
          </w:tcPr>
          <w:p>
            <w:pPr>
              <w:pStyle w:val="TableContents"/>
              <w:bidi w:val="0"/>
              <w:spacing w:before="0" w:after="283"/>
              <w:jc w:val="center"/>
              <w:rPr>
                <w:b/>
              </w:rPr>
            </w:pPr>
            <w:r>
              <w:rPr>
                <w:b/>
              </w:rPr>
              <w:t>Title</w:t>
            </w:r>
          </w:p>
        </w:tc>
        <w:tc>
          <w:tcPr>
            <w:tcW w:w="120"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center"/>
              <w:rPr>
                <w:b/>
              </w:rPr>
            </w:pPr>
            <w:r>
              <w:rPr>
                <w:b/>
              </w:rPr>
              <w:t>Date</w:t>
            </w:r>
          </w:p>
        </w:tc>
      </w:tr>
      <w:tr>
        <w:trPr>
          <w:trHeight w:val="240" w:hRule="atLeast"/>
        </w:trPr>
        <w:tc>
          <w:tcPr>
            <w:tcW w:w="3052" w:type="dxa"/>
            <w:tcBorders/>
            <w:vAlign w:val="center"/>
          </w:tcPr>
          <w:p>
            <w:pPr>
              <w:pStyle w:val="TableContents"/>
              <w:bidi w:val="0"/>
              <w:spacing w:before="0" w:after="283"/>
              <w:jc w:val="left"/>
              <w:rPr>
                <w:sz w:val="4"/>
                <w:szCs w:val="4"/>
              </w:rPr>
            </w:pPr>
            <w:r>
              <w:rPr>
                <w:sz w:val="4"/>
                <w:szCs w:val="4"/>
              </w:rPr>
            </w:r>
          </w:p>
        </w:tc>
        <w:tc>
          <w:tcPr>
            <w:tcW w:w="539" w:type="dxa"/>
            <w:gridSpan w:val="2"/>
            <w:tcBorders/>
            <w:vAlign w:val="center"/>
          </w:tcPr>
          <w:p>
            <w:pPr>
              <w:pStyle w:val="TableContents"/>
              <w:bidi w:val="0"/>
              <w:spacing w:before="0" w:after="283"/>
              <w:jc w:val="left"/>
              <w:rPr>
                <w:sz w:val="4"/>
                <w:szCs w:val="4"/>
              </w:rPr>
            </w:pPr>
            <w:r>
              <w:rPr>
                <w:sz w:val="4"/>
                <w:szCs w:val="4"/>
              </w:rPr>
            </w:r>
          </w:p>
        </w:tc>
        <w:tc>
          <w:tcPr>
            <w:tcW w:w="4962" w:type="dxa"/>
            <w:gridSpan w:val="2"/>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r>
      <w:tr>
        <w:trPr/>
        <w:tc>
          <w:tcPr>
            <w:tcW w:w="305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William Ho</w:t>
            </w:r>
          </w:p>
          <w:p>
            <w:pPr>
              <w:pStyle w:val="TableContents"/>
              <w:bidi w:val="0"/>
              <w:spacing w:before="0" w:after="20"/>
              <w:jc w:val="center"/>
              <w:rPr>
                <w:rFonts w:ascii="Times New Roman" w:hAnsi="Times New Roman"/>
                <w:b/>
                <w:sz w:val="20"/>
              </w:rPr>
            </w:pPr>
            <w:r>
              <w:rPr>
                <w:rFonts w:ascii="Times New Roman" w:hAnsi="Times New Roman"/>
                <w:b/>
                <w:sz w:val="20"/>
              </w:rPr>
              <w:t>William Ho</w:t>
            </w:r>
          </w:p>
        </w:tc>
        <w:tc>
          <w:tcPr>
            <w:tcW w:w="106" w:type="dxa"/>
            <w:tcBorders/>
            <w:vAlign w:val="bottom"/>
          </w:tcPr>
          <w:p>
            <w:pPr>
              <w:pStyle w:val="TableContents"/>
              <w:bidi w:val="0"/>
              <w:spacing w:before="0" w:after="283"/>
              <w:jc w:val="left"/>
              <w:rPr/>
            </w:pPr>
            <w:r>
              <w:rPr/>
              <w:t> </w:t>
            </w:r>
          </w:p>
        </w:tc>
        <w:tc>
          <w:tcPr>
            <w:tcW w:w="433"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4842"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283"/>
              <w:jc w:val="center"/>
              <w:rPr/>
            </w:pPr>
            <w:r>
              <w:rPr/>
              <w:t>August 6, 2026</w:t>
            </w:r>
          </w:p>
        </w:tc>
      </w:tr>
      <w:tr>
        <w:trPr>
          <w:trHeight w:val="240" w:hRule="atLeast"/>
        </w:trPr>
        <w:tc>
          <w:tcPr>
            <w:tcW w:w="3052" w:type="dxa"/>
            <w:tcBorders/>
            <w:vAlign w:val="center"/>
          </w:tcPr>
          <w:p>
            <w:pPr>
              <w:pStyle w:val="TableContents"/>
              <w:bidi w:val="0"/>
              <w:spacing w:before="0" w:after="283"/>
              <w:jc w:val="left"/>
              <w:rPr>
                <w:sz w:val="4"/>
                <w:szCs w:val="4"/>
              </w:rPr>
            </w:pPr>
            <w:r>
              <w:rPr>
                <w:sz w:val="4"/>
                <w:szCs w:val="4"/>
              </w:rPr>
            </w:r>
          </w:p>
        </w:tc>
        <w:tc>
          <w:tcPr>
            <w:tcW w:w="539" w:type="dxa"/>
            <w:gridSpan w:val="2"/>
            <w:tcBorders/>
            <w:vAlign w:val="center"/>
          </w:tcPr>
          <w:p>
            <w:pPr>
              <w:pStyle w:val="TableContents"/>
              <w:bidi w:val="0"/>
              <w:spacing w:before="0" w:after="283"/>
              <w:jc w:val="left"/>
              <w:rPr>
                <w:sz w:val="4"/>
                <w:szCs w:val="4"/>
              </w:rPr>
            </w:pPr>
            <w:r>
              <w:rPr>
                <w:sz w:val="4"/>
                <w:szCs w:val="4"/>
              </w:rPr>
            </w:r>
          </w:p>
        </w:tc>
        <w:tc>
          <w:tcPr>
            <w:tcW w:w="4962" w:type="dxa"/>
            <w:gridSpan w:val="2"/>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r>
      <w:tr>
        <w:trPr/>
        <w:tc>
          <w:tcPr>
            <w:tcW w:w="305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Patrick McCall</w:t>
            </w:r>
          </w:p>
          <w:p>
            <w:pPr>
              <w:pStyle w:val="TableContents"/>
              <w:bidi w:val="0"/>
              <w:spacing w:before="0" w:after="20"/>
              <w:jc w:val="center"/>
              <w:rPr>
                <w:rFonts w:ascii="Times New Roman" w:hAnsi="Times New Roman"/>
                <w:b/>
                <w:sz w:val="20"/>
              </w:rPr>
            </w:pPr>
            <w:r>
              <w:rPr>
                <w:rFonts w:ascii="Times New Roman" w:hAnsi="Times New Roman"/>
                <w:b/>
                <w:sz w:val="20"/>
              </w:rPr>
              <w:t>Patrick McCall</w:t>
            </w:r>
          </w:p>
        </w:tc>
        <w:tc>
          <w:tcPr>
            <w:tcW w:w="106" w:type="dxa"/>
            <w:tcBorders/>
            <w:vAlign w:val="bottom"/>
          </w:tcPr>
          <w:p>
            <w:pPr>
              <w:pStyle w:val="TableContents"/>
              <w:bidi w:val="0"/>
              <w:spacing w:before="0" w:after="283"/>
              <w:jc w:val="left"/>
              <w:rPr/>
            </w:pPr>
            <w:r>
              <w:rPr/>
              <w:t> </w:t>
            </w:r>
          </w:p>
        </w:tc>
        <w:tc>
          <w:tcPr>
            <w:tcW w:w="4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42"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 and Principal Accounting Officer)</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283"/>
              <w:jc w:val="center"/>
              <w:rPr/>
            </w:pPr>
            <w:r>
              <w:rPr/>
              <w:t>August 6, 2026</w:t>
            </w:r>
          </w:p>
        </w:tc>
      </w:tr>
      <w:tr>
        <w:trPr>
          <w:trHeight w:val="240" w:hRule="atLeast"/>
        </w:trPr>
        <w:tc>
          <w:tcPr>
            <w:tcW w:w="3052" w:type="dxa"/>
            <w:tcBorders/>
            <w:vAlign w:val="center"/>
          </w:tcPr>
          <w:p>
            <w:pPr>
              <w:pStyle w:val="TableContents"/>
              <w:bidi w:val="0"/>
              <w:spacing w:before="0" w:after="283"/>
              <w:jc w:val="left"/>
              <w:rPr>
                <w:sz w:val="4"/>
                <w:szCs w:val="4"/>
              </w:rPr>
            </w:pPr>
            <w:r>
              <w:rPr>
                <w:sz w:val="4"/>
                <w:szCs w:val="4"/>
              </w:rPr>
            </w:r>
          </w:p>
        </w:tc>
        <w:tc>
          <w:tcPr>
            <w:tcW w:w="539" w:type="dxa"/>
            <w:gridSpan w:val="2"/>
            <w:tcBorders/>
            <w:vAlign w:val="center"/>
          </w:tcPr>
          <w:p>
            <w:pPr>
              <w:pStyle w:val="TableContents"/>
              <w:bidi w:val="0"/>
              <w:spacing w:before="0" w:after="283"/>
              <w:jc w:val="left"/>
              <w:rPr>
                <w:sz w:val="4"/>
                <w:szCs w:val="4"/>
              </w:rPr>
            </w:pPr>
            <w:r>
              <w:rPr>
                <w:sz w:val="4"/>
                <w:szCs w:val="4"/>
              </w:rPr>
            </w:r>
          </w:p>
        </w:tc>
        <w:tc>
          <w:tcPr>
            <w:tcW w:w="4962" w:type="dxa"/>
            <w:gridSpan w:val="2"/>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r>
      <w:tr>
        <w:trPr/>
        <w:tc>
          <w:tcPr>
            <w:tcW w:w="305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Jeremy R. Graff</w:t>
            </w:r>
          </w:p>
          <w:p>
            <w:pPr>
              <w:pStyle w:val="TableContents"/>
              <w:bidi w:val="0"/>
              <w:spacing w:before="0" w:after="20"/>
              <w:jc w:val="center"/>
              <w:rPr>
                <w:rFonts w:ascii="Times New Roman" w:hAnsi="Times New Roman"/>
                <w:b/>
                <w:sz w:val="20"/>
              </w:rPr>
            </w:pPr>
            <w:r>
              <w:rPr>
                <w:rFonts w:ascii="Times New Roman" w:hAnsi="Times New Roman"/>
                <w:b/>
                <w:sz w:val="20"/>
              </w:rPr>
              <w:t>Jeremy R. Graff</w:t>
            </w:r>
          </w:p>
        </w:tc>
        <w:tc>
          <w:tcPr>
            <w:tcW w:w="106" w:type="dxa"/>
            <w:tcBorders/>
            <w:vAlign w:val="bottom"/>
          </w:tcPr>
          <w:p>
            <w:pPr>
              <w:pStyle w:val="TableContents"/>
              <w:bidi w:val="0"/>
              <w:spacing w:before="0" w:after="283"/>
              <w:jc w:val="left"/>
              <w:rPr/>
            </w:pPr>
            <w:r>
              <w:rPr/>
              <w:t> </w:t>
            </w:r>
          </w:p>
        </w:tc>
        <w:tc>
          <w:tcPr>
            <w:tcW w:w="4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42" w:type="dxa"/>
            <w:tcBorders/>
          </w:tcPr>
          <w:p>
            <w:pPr>
              <w:pStyle w:val="TableContents"/>
              <w:bidi w:val="0"/>
              <w:spacing w:before="0" w:after="283"/>
              <w:jc w:val="center"/>
              <w:rPr/>
            </w:pPr>
            <w:r>
              <w:rPr/>
              <w:t>Interim Chairman of the Board of Directors</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283"/>
              <w:jc w:val="center"/>
              <w:rPr/>
            </w:pPr>
            <w:r>
              <w:rPr/>
              <w:t>August 6, 2026</w:t>
            </w:r>
          </w:p>
        </w:tc>
      </w:tr>
      <w:tr>
        <w:trPr>
          <w:trHeight w:val="240" w:hRule="atLeast"/>
        </w:trPr>
        <w:tc>
          <w:tcPr>
            <w:tcW w:w="3052" w:type="dxa"/>
            <w:tcBorders/>
            <w:vAlign w:val="center"/>
          </w:tcPr>
          <w:p>
            <w:pPr>
              <w:pStyle w:val="TableContents"/>
              <w:bidi w:val="0"/>
              <w:spacing w:before="0" w:after="283"/>
              <w:jc w:val="left"/>
              <w:rPr>
                <w:sz w:val="4"/>
                <w:szCs w:val="4"/>
              </w:rPr>
            </w:pPr>
            <w:r>
              <w:rPr>
                <w:sz w:val="4"/>
                <w:szCs w:val="4"/>
              </w:rPr>
            </w:r>
          </w:p>
        </w:tc>
        <w:tc>
          <w:tcPr>
            <w:tcW w:w="539" w:type="dxa"/>
            <w:gridSpan w:val="2"/>
            <w:tcBorders/>
            <w:vAlign w:val="center"/>
          </w:tcPr>
          <w:p>
            <w:pPr>
              <w:pStyle w:val="TableContents"/>
              <w:bidi w:val="0"/>
              <w:spacing w:before="0" w:after="283"/>
              <w:jc w:val="left"/>
              <w:rPr>
                <w:sz w:val="4"/>
                <w:szCs w:val="4"/>
              </w:rPr>
            </w:pPr>
            <w:r>
              <w:rPr>
                <w:sz w:val="4"/>
                <w:szCs w:val="4"/>
              </w:rPr>
            </w:r>
          </w:p>
        </w:tc>
        <w:tc>
          <w:tcPr>
            <w:tcW w:w="4962" w:type="dxa"/>
            <w:gridSpan w:val="2"/>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r>
      <w:tr>
        <w:trPr/>
        <w:tc>
          <w:tcPr>
            <w:tcW w:w="305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Peter Brandt</w:t>
            </w:r>
          </w:p>
          <w:p>
            <w:pPr>
              <w:pStyle w:val="TableContents"/>
              <w:bidi w:val="0"/>
              <w:spacing w:before="0" w:after="20"/>
              <w:jc w:val="center"/>
              <w:rPr>
                <w:rFonts w:ascii="Times New Roman" w:hAnsi="Times New Roman"/>
                <w:b/>
                <w:sz w:val="20"/>
              </w:rPr>
            </w:pPr>
            <w:r>
              <w:rPr>
                <w:rFonts w:ascii="Times New Roman" w:hAnsi="Times New Roman"/>
                <w:b/>
                <w:sz w:val="20"/>
              </w:rPr>
              <w:t>Peter Brandt</w:t>
            </w:r>
          </w:p>
        </w:tc>
        <w:tc>
          <w:tcPr>
            <w:tcW w:w="106" w:type="dxa"/>
            <w:tcBorders/>
            <w:vAlign w:val="bottom"/>
          </w:tcPr>
          <w:p>
            <w:pPr>
              <w:pStyle w:val="TableContents"/>
              <w:bidi w:val="0"/>
              <w:spacing w:before="0" w:after="283"/>
              <w:jc w:val="left"/>
              <w:rPr/>
            </w:pPr>
            <w:r>
              <w:rPr/>
              <w:t> </w:t>
            </w:r>
          </w:p>
        </w:tc>
        <w:tc>
          <w:tcPr>
            <w:tcW w:w="4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42"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283"/>
              <w:jc w:val="center"/>
              <w:rPr/>
            </w:pPr>
            <w:r>
              <w:rPr/>
              <w:t>August 6, 2026</w:t>
            </w:r>
          </w:p>
        </w:tc>
      </w:tr>
      <w:tr>
        <w:trPr>
          <w:trHeight w:val="240" w:hRule="atLeast"/>
        </w:trPr>
        <w:tc>
          <w:tcPr>
            <w:tcW w:w="3052" w:type="dxa"/>
            <w:tcBorders/>
            <w:vAlign w:val="center"/>
          </w:tcPr>
          <w:p>
            <w:pPr>
              <w:pStyle w:val="TableContents"/>
              <w:bidi w:val="0"/>
              <w:spacing w:before="0" w:after="283"/>
              <w:jc w:val="left"/>
              <w:rPr>
                <w:sz w:val="4"/>
                <w:szCs w:val="4"/>
              </w:rPr>
            </w:pPr>
            <w:r>
              <w:rPr>
                <w:sz w:val="4"/>
                <w:szCs w:val="4"/>
              </w:rPr>
            </w:r>
          </w:p>
        </w:tc>
        <w:tc>
          <w:tcPr>
            <w:tcW w:w="539" w:type="dxa"/>
            <w:gridSpan w:val="2"/>
            <w:tcBorders/>
            <w:vAlign w:val="center"/>
          </w:tcPr>
          <w:p>
            <w:pPr>
              <w:pStyle w:val="TableContents"/>
              <w:bidi w:val="0"/>
              <w:spacing w:before="0" w:after="283"/>
              <w:jc w:val="left"/>
              <w:rPr>
                <w:sz w:val="4"/>
                <w:szCs w:val="4"/>
              </w:rPr>
            </w:pPr>
            <w:r>
              <w:rPr>
                <w:sz w:val="4"/>
                <w:szCs w:val="4"/>
              </w:rPr>
            </w:r>
          </w:p>
        </w:tc>
        <w:tc>
          <w:tcPr>
            <w:tcW w:w="4962" w:type="dxa"/>
            <w:gridSpan w:val="2"/>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r>
      <w:tr>
        <w:trPr/>
        <w:tc>
          <w:tcPr>
            <w:tcW w:w="305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Corinne Epperly</w:t>
            </w:r>
          </w:p>
          <w:p>
            <w:pPr>
              <w:pStyle w:val="TableContents"/>
              <w:bidi w:val="0"/>
              <w:spacing w:before="0" w:after="20"/>
              <w:jc w:val="center"/>
              <w:rPr>
                <w:rFonts w:ascii="Times New Roman" w:hAnsi="Times New Roman"/>
                <w:b/>
                <w:sz w:val="20"/>
              </w:rPr>
            </w:pPr>
            <w:r>
              <w:rPr>
                <w:rFonts w:ascii="Times New Roman" w:hAnsi="Times New Roman"/>
                <w:b/>
                <w:sz w:val="20"/>
              </w:rPr>
              <w:t>Corinne Epperly</w:t>
            </w:r>
          </w:p>
        </w:tc>
        <w:tc>
          <w:tcPr>
            <w:tcW w:w="106" w:type="dxa"/>
            <w:tcBorders/>
            <w:vAlign w:val="bottom"/>
          </w:tcPr>
          <w:p>
            <w:pPr>
              <w:pStyle w:val="TableContents"/>
              <w:bidi w:val="0"/>
              <w:spacing w:before="0" w:after="283"/>
              <w:jc w:val="left"/>
              <w:rPr/>
            </w:pPr>
            <w:r>
              <w:rPr/>
              <w:t> </w:t>
            </w:r>
          </w:p>
        </w:tc>
        <w:tc>
          <w:tcPr>
            <w:tcW w:w="4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42"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283"/>
              <w:jc w:val="center"/>
              <w:rPr/>
            </w:pPr>
            <w:r>
              <w:rPr/>
              <w:t>August 6, 2026</w:t>
            </w:r>
          </w:p>
        </w:tc>
      </w:tr>
      <w:tr>
        <w:trPr>
          <w:trHeight w:val="240" w:hRule="atLeast"/>
        </w:trPr>
        <w:tc>
          <w:tcPr>
            <w:tcW w:w="3052" w:type="dxa"/>
            <w:tcBorders/>
            <w:vAlign w:val="center"/>
          </w:tcPr>
          <w:p>
            <w:pPr>
              <w:pStyle w:val="TableContents"/>
              <w:bidi w:val="0"/>
              <w:spacing w:before="0" w:after="283"/>
              <w:jc w:val="left"/>
              <w:rPr>
                <w:sz w:val="4"/>
                <w:szCs w:val="4"/>
              </w:rPr>
            </w:pPr>
            <w:r>
              <w:rPr>
                <w:sz w:val="4"/>
                <w:szCs w:val="4"/>
              </w:rPr>
            </w:r>
          </w:p>
        </w:tc>
        <w:tc>
          <w:tcPr>
            <w:tcW w:w="539" w:type="dxa"/>
            <w:gridSpan w:val="2"/>
            <w:tcBorders/>
            <w:vAlign w:val="center"/>
          </w:tcPr>
          <w:p>
            <w:pPr>
              <w:pStyle w:val="TableContents"/>
              <w:bidi w:val="0"/>
              <w:spacing w:before="0" w:after="283"/>
              <w:jc w:val="left"/>
              <w:rPr>
                <w:sz w:val="4"/>
                <w:szCs w:val="4"/>
              </w:rPr>
            </w:pPr>
            <w:r>
              <w:rPr>
                <w:sz w:val="4"/>
                <w:szCs w:val="4"/>
              </w:rPr>
            </w:r>
          </w:p>
        </w:tc>
        <w:tc>
          <w:tcPr>
            <w:tcW w:w="4962" w:type="dxa"/>
            <w:gridSpan w:val="2"/>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r>
      <w:tr>
        <w:trPr/>
        <w:tc>
          <w:tcPr>
            <w:tcW w:w="305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Emily T. Fairbairn</w:t>
            </w:r>
          </w:p>
          <w:p>
            <w:pPr>
              <w:pStyle w:val="TableContents"/>
              <w:bidi w:val="0"/>
              <w:spacing w:before="0" w:after="20"/>
              <w:jc w:val="center"/>
              <w:rPr>
                <w:rFonts w:ascii="Times New Roman" w:hAnsi="Times New Roman"/>
                <w:b/>
                <w:sz w:val="20"/>
              </w:rPr>
            </w:pPr>
            <w:r>
              <w:rPr>
                <w:rFonts w:ascii="Times New Roman" w:hAnsi="Times New Roman"/>
                <w:b/>
                <w:sz w:val="20"/>
              </w:rPr>
              <w:t>Emily T. Fairbairn</w:t>
            </w:r>
          </w:p>
        </w:tc>
        <w:tc>
          <w:tcPr>
            <w:tcW w:w="106" w:type="dxa"/>
            <w:tcBorders/>
            <w:vAlign w:val="bottom"/>
          </w:tcPr>
          <w:p>
            <w:pPr>
              <w:pStyle w:val="TableContents"/>
              <w:bidi w:val="0"/>
              <w:spacing w:before="0" w:after="283"/>
              <w:jc w:val="left"/>
              <w:rPr/>
            </w:pPr>
            <w:r>
              <w:rPr/>
              <w:t> </w:t>
            </w:r>
          </w:p>
        </w:tc>
        <w:tc>
          <w:tcPr>
            <w:tcW w:w="4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42"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283"/>
              <w:jc w:val="center"/>
              <w:rPr/>
            </w:pPr>
            <w:r>
              <w:rPr/>
              <w:t>August 6, 2026</w:t>
            </w:r>
          </w:p>
        </w:tc>
      </w:tr>
      <w:tr>
        <w:trPr>
          <w:trHeight w:val="240" w:hRule="atLeast"/>
        </w:trPr>
        <w:tc>
          <w:tcPr>
            <w:tcW w:w="3052" w:type="dxa"/>
            <w:tcBorders/>
            <w:vAlign w:val="center"/>
          </w:tcPr>
          <w:p>
            <w:pPr>
              <w:pStyle w:val="TableContents"/>
              <w:bidi w:val="0"/>
              <w:spacing w:before="0" w:after="283"/>
              <w:jc w:val="left"/>
              <w:rPr>
                <w:sz w:val="4"/>
                <w:szCs w:val="4"/>
              </w:rPr>
            </w:pPr>
            <w:r>
              <w:rPr>
                <w:sz w:val="4"/>
                <w:szCs w:val="4"/>
              </w:rPr>
            </w:r>
          </w:p>
        </w:tc>
        <w:tc>
          <w:tcPr>
            <w:tcW w:w="539" w:type="dxa"/>
            <w:gridSpan w:val="2"/>
            <w:tcBorders/>
            <w:vAlign w:val="center"/>
          </w:tcPr>
          <w:p>
            <w:pPr>
              <w:pStyle w:val="TableContents"/>
              <w:bidi w:val="0"/>
              <w:spacing w:before="0" w:after="283"/>
              <w:jc w:val="left"/>
              <w:rPr>
                <w:sz w:val="4"/>
                <w:szCs w:val="4"/>
              </w:rPr>
            </w:pPr>
            <w:r>
              <w:rPr>
                <w:sz w:val="4"/>
                <w:szCs w:val="4"/>
              </w:rPr>
            </w:r>
          </w:p>
        </w:tc>
        <w:tc>
          <w:tcPr>
            <w:tcW w:w="4962" w:type="dxa"/>
            <w:gridSpan w:val="2"/>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r>
      <w:tr>
        <w:trPr/>
        <w:tc>
          <w:tcPr>
            <w:tcW w:w="305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Luba Greenwood</w:t>
            </w:r>
          </w:p>
          <w:p>
            <w:pPr>
              <w:pStyle w:val="TableContents"/>
              <w:bidi w:val="0"/>
              <w:spacing w:before="0" w:after="20"/>
              <w:jc w:val="center"/>
              <w:rPr>
                <w:rFonts w:ascii="Times New Roman" w:hAnsi="Times New Roman"/>
                <w:b/>
                <w:sz w:val="20"/>
              </w:rPr>
            </w:pPr>
            <w:r>
              <w:rPr>
                <w:rFonts w:ascii="Times New Roman" w:hAnsi="Times New Roman"/>
                <w:b/>
                <w:sz w:val="20"/>
              </w:rPr>
              <w:t>Luba Greenwood</w:t>
            </w:r>
          </w:p>
        </w:tc>
        <w:tc>
          <w:tcPr>
            <w:tcW w:w="106" w:type="dxa"/>
            <w:tcBorders/>
            <w:vAlign w:val="bottom"/>
          </w:tcPr>
          <w:p>
            <w:pPr>
              <w:pStyle w:val="TableContents"/>
              <w:bidi w:val="0"/>
              <w:spacing w:before="0" w:after="283"/>
              <w:jc w:val="left"/>
              <w:rPr/>
            </w:pPr>
            <w:r>
              <w:rPr/>
              <w:t> </w:t>
            </w:r>
          </w:p>
        </w:tc>
        <w:tc>
          <w:tcPr>
            <w:tcW w:w="4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42"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283"/>
              <w:jc w:val="center"/>
              <w:rPr/>
            </w:pPr>
            <w:r>
              <w:rPr/>
              <w:t>August 6, 2026</w:t>
            </w:r>
          </w:p>
        </w:tc>
      </w:tr>
    </w:tbl>
    <w:p>
      <w:pPr>
        <w:pStyle w:val="TextBody"/>
        <w:bidi w:val="0"/>
        <w:spacing w:before="0" w:after="0"/>
        <w:jc w:val="right"/>
        <w:rPr>
          <w:rFonts w:ascii="Times New Roman" w:hAnsi="Times New Roman"/>
          <w:b/>
          <w:sz w:val="20"/>
        </w:rPr>
      </w:pPr>
      <w:bookmarkStart w:id="3" w:name="d939697dex51.htm"/>
      <w:bookmarkStart w:id="4" w:name="ksd939697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049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1304925"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Jaime L. Chase </w:t>
      </w:r>
    </w:p>
    <w:p>
      <w:pPr>
        <w:pStyle w:val="TextBody"/>
        <w:bidi w:val="0"/>
        <w:spacing w:before="0" w:after="0"/>
        <w:jc w:val="left"/>
        <w:rPr>
          <w:rFonts w:ascii="Times New Roman" w:hAnsi="Times New Roman"/>
          <w:sz w:val="20"/>
        </w:rPr>
      </w:pPr>
      <w:r>
        <w:rPr>
          <w:rFonts w:ascii="Times New Roman" w:hAnsi="Times New Roman"/>
          <w:sz w:val="20"/>
        </w:rPr>
        <w:t xml:space="preserve">T: +1 202 728 7096 </w:t>
      </w:r>
    </w:p>
    <w:p>
      <w:pPr>
        <w:pStyle w:val="TextBody"/>
        <w:bidi w:val="0"/>
        <w:spacing w:before="0" w:after="0"/>
        <w:jc w:val="left"/>
        <w:rPr>
          <w:rFonts w:ascii="Times New Roman" w:hAnsi="Times New Roman"/>
          <w:sz w:val="20"/>
        </w:rPr>
      </w:pPr>
      <w:r>
        <w:rPr>
          <w:rFonts w:ascii="Times New Roman" w:hAnsi="Times New Roman"/>
          <w:sz w:val="20"/>
        </w:rPr>
        <w:t xml:space="preserve">jchase@cooley.com </w:t>
      </w:r>
    </w:p>
    <w:p>
      <w:pPr>
        <w:pStyle w:val="TextBody"/>
        <w:bidi w:val="0"/>
        <w:spacing w:before="240" w:after="0"/>
        <w:jc w:val="left"/>
        <w:rPr>
          <w:rFonts w:ascii="Times New Roman" w:hAnsi="Times New Roman"/>
          <w:sz w:val="20"/>
        </w:rPr>
      </w:pPr>
      <w:r>
        <w:rPr>
          <w:rFonts w:ascii="Times New Roman" w:hAnsi="Times New Roman"/>
          <w:sz w:val="20"/>
        </w:rPr>
        <w:t xml:space="preserve">August 6, 2026 </w:t>
      </w:r>
    </w:p>
    <w:p>
      <w:pPr>
        <w:pStyle w:val="TextBody"/>
        <w:bidi w:val="0"/>
        <w:spacing w:before="240" w:after="0"/>
        <w:jc w:val="left"/>
        <w:rPr>
          <w:rFonts w:ascii="Times New Roman" w:hAnsi="Times New Roman"/>
          <w:sz w:val="20"/>
        </w:rPr>
      </w:pPr>
      <w:r>
        <w:rPr>
          <w:rFonts w:ascii="Times New Roman" w:hAnsi="Times New Roman"/>
          <w:sz w:val="20"/>
        </w:rPr>
        <w:t xml:space="preserve">IN8bio, Inc. </w:t>
      </w:r>
    </w:p>
    <w:p>
      <w:pPr>
        <w:pStyle w:val="TextBody"/>
        <w:bidi w:val="0"/>
        <w:spacing w:before="0" w:after="0"/>
        <w:jc w:val="left"/>
        <w:rPr>
          <w:rFonts w:ascii="Times New Roman" w:hAnsi="Times New Roman"/>
          <w:sz w:val="20"/>
        </w:rPr>
      </w:pPr>
      <w:r>
        <w:rPr>
          <w:rFonts w:ascii="Times New Roman" w:hAnsi="Times New Roman"/>
          <w:sz w:val="20"/>
        </w:rPr>
        <w:t xml:space="preserve">350 5th Avenue </w:t>
      </w:r>
    </w:p>
    <w:p>
      <w:pPr>
        <w:pStyle w:val="TextBody"/>
        <w:bidi w:val="0"/>
        <w:spacing w:before="0" w:after="0"/>
        <w:jc w:val="left"/>
        <w:rPr>
          <w:rFonts w:ascii="Times New Roman" w:hAnsi="Times New Roman"/>
          <w:sz w:val="20"/>
        </w:rPr>
      </w:pPr>
      <w:r>
        <w:rPr>
          <w:rFonts w:ascii="Times New Roman" w:hAnsi="Times New Roman"/>
          <w:sz w:val="20"/>
        </w:rPr>
        <w:t xml:space="preserve">Suite 5330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10118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IN8bio, Inc., a Delaware corporation (the “</w:t>
      </w:r>
      <w:r>
        <w:rPr>
          <w:rFonts w:ascii="Times New Roman" w:hAnsi="Times New Roman"/>
          <w:b/>
          <w:i/>
          <w:sz w:val="20"/>
        </w:rPr>
        <w:t>Company</w:t>
      </w:r>
      <w:r>
        <w:rPr>
          <w:rFonts w:ascii="Times New Roman" w:hAnsi="Times New Roman"/>
          <w:sz w:val="20"/>
        </w:rPr>
        <w:t>”), in connection with the filing by the Company of a Registration Statement on Form S-8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covering the offering of up to 500,000 shares (the “</w:t>
      </w:r>
      <w:r>
        <w:rPr>
          <w:rFonts w:ascii="Times New Roman" w:hAnsi="Times New Roman"/>
          <w:b/>
          <w:i/>
          <w:sz w:val="20"/>
        </w:rPr>
        <w:t>Shares</w:t>
      </w:r>
      <w:r>
        <w:rPr>
          <w:rFonts w:ascii="Times New Roman" w:hAnsi="Times New Roman"/>
          <w:sz w:val="20"/>
        </w:rPr>
        <w:t>”) of the Company’s common stock, $0.0001 par value per share (the “</w:t>
      </w:r>
      <w:r>
        <w:rPr>
          <w:rFonts w:ascii="Times New Roman" w:hAnsi="Times New Roman"/>
          <w:b/>
          <w:i/>
          <w:sz w:val="20"/>
        </w:rPr>
        <w:t>Common Stock</w:t>
      </w:r>
      <w:r>
        <w:rPr>
          <w:rFonts w:ascii="Times New Roman" w:hAnsi="Times New Roman"/>
          <w:sz w:val="20"/>
        </w:rPr>
        <w:t>”), issuable pursuant to the Company’s 2026 Inducement Plan (the “</w:t>
      </w:r>
      <w:r>
        <w:rPr>
          <w:rFonts w:ascii="Times New Roman" w:hAnsi="Times New Roman"/>
          <w:b/>
          <w:i/>
          <w:sz w:val="20"/>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(i) the Registration Statement and related prospectuses, (ii) the Company’s certificate of incorporation and bylaws, each as currently in effect, (iii) the Plan and (iv)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we are of the opinion that the Shares, when sold and issued in accordance with the Plan, the Registration Statement and the related prospectuses, will be validly issued, fully paid and nonassessable (except as to shares issued pursuant to deferred payment arrangements, which will be fully paid and nonassessable when such deferred payments are made in full).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 Washington DC 20004 </w:t>
      </w:r>
    </w:p>
    <w:p>
      <w:pPr>
        <w:pStyle w:val="TextBody"/>
        <w:bidi w:val="0"/>
        <w:spacing w:before="0" w:after="0"/>
        <w:jc w:val="center"/>
        <w:rPr>
          <w:rFonts w:ascii="Times New Roman" w:hAnsi="Times New Roman"/>
          <w:sz w:val="20"/>
        </w:rPr>
      </w:pPr>
      <w:r>
        <w:rPr>
          <w:rFonts w:ascii="Times New Roman" w:hAnsi="Times New Roman"/>
          <w:sz w:val="20"/>
        </w:rPr>
        <w:t xml:space="preserve">t: (212) 842-7800 f: (202) 842-7899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0492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304925"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rFonts w:ascii="Times New Roman" w:hAnsi="Times New Roman"/>
          <w:sz w:val="20"/>
        </w:rPr>
      </w:pPr>
      <w:r>
        <w:rPr>
          <w:rFonts w:ascii="Times New Roman" w:hAnsi="Times New Roman"/>
          <w:sz w:val="20"/>
        </w:rPr>
        <w:t xml:space="preserve">August 6, 2026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Cooley LLP</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Jaime L. Chase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Jaime L. Chase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Cooley LLP 1299 Pennsylvania Ave., Washington DC 20004 </w:t>
      </w:r>
    </w:p>
    <w:p>
      <w:pPr>
        <w:pStyle w:val="TextBody"/>
        <w:bidi w:val="0"/>
        <w:spacing w:before="0" w:after="0"/>
        <w:jc w:val="center"/>
        <w:rPr>
          <w:rFonts w:ascii="Times New Roman" w:hAnsi="Times New Roman"/>
          <w:sz w:val="20"/>
        </w:rPr>
      </w:pPr>
      <w:r>
        <w:rPr>
          <w:rFonts w:ascii="Times New Roman" w:hAnsi="Times New Roman"/>
          <w:sz w:val="20"/>
        </w:rPr>
        <w:t xml:space="preserve">t: (212) 842-7800 f: (202) 842-7899 cooley.com </w:t>
      </w:r>
    </w:p>
    <w:p>
      <w:pPr>
        <w:pStyle w:val="TextBody"/>
        <w:bidi w:val="0"/>
        <w:spacing w:before="0" w:after="0"/>
        <w:jc w:val="right"/>
        <w:rPr>
          <w:rFonts w:ascii="Times New Roman" w:hAnsi="Times New Roman"/>
          <w:b/>
          <w:sz w:val="20"/>
        </w:rPr>
      </w:pPr>
      <w:bookmarkStart w:id="5" w:name="d939697dex231.htm"/>
      <w:bookmarkStart w:id="6" w:name="ksd939697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on Form S-8 of our report dated March 12, 2026, with respect to the financial statements of IN8bio, Inc. as of December 31, 2025 and 2024, and for the years then ended, which report is included in the Annual Report on Form 10-K of IN8bio, Inc. for the year ended December 31, 2025 filed with the Securities and Exchange Commission. Our audit report includes an explanatory paragraph relating to IN8bio, Inc.’s ability to continue as a going concern.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CohnReznick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New York, New York</w:t>
            </w:r>
          </w:p>
        </w:tc>
      </w:tr>
    </w:tbl>
    <w:p>
      <w:pPr>
        <w:pStyle w:val="TextBody"/>
        <w:bidi w:val="0"/>
        <w:spacing w:before="0" w:after="0"/>
        <w:jc w:val="left"/>
        <w:rPr>
          <w:rFonts w:ascii="Times New Roman" w:hAnsi="Times New Roman"/>
          <w:sz w:val="20"/>
        </w:rPr>
      </w:pPr>
      <w:r>
        <w:rPr>
          <w:rFonts w:ascii="Times New Roman" w:hAnsi="Times New Roman"/>
          <w:sz w:val="20"/>
        </w:rPr>
        <w:t xml:space="preserve">August 6, 2026 </w:t>
      </w:r>
    </w:p>
    <w:p>
      <w:pPr>
        <w:pStyle w:val="Normal"/>
        <w:bidi w:val="0"/>
        <w:spacing w:before="0" w:after="0"/>
        <w:jc w:val="left"/>
        <w:rPr>
          <w:sz w:val="4"/>
          <w:szCs w:val="4"/>
        </w:rPr>
      </w:pPr>
      <w:r>
        <w:rPr>
          <w:sz w:val="4"/>
          <w:szCs w:val="4"/>
        </w:rPr>
      </w:r>
      <w:bookmarkStart w:id="7" w:name="d939697dexfilingfees.htm"/>
      <w:bookmarkStart w:id="8" w:name="ksd939697dexfilingfees"/>
      <w:bookmarkStart w:id="9" w:name="d939697dexfilingfees.htm"/>
      <w:bookmarkStart w:id="10" w:name="ksd939697dexfilingfees"/>
      <w:bookmarkEnd w:id="9"/>
      <w:bookmarkEnd w:id="10"/>
      <w:r>
        <w:br w:type="page"/>
      </w:r>
    </w:p>
    <w:tbl>
      <w:tblPr>
        <w:tblW w:w="3557" w:type="dxa"/>
        <w:jc w:val="left"/>
        <w:tblInd w:w="0" w:type="dxa"/>
        <w:tblLayout w:type="fixed"/>
        <w:tblCellMar>
          <w:top w:w="28" w:type="dxa"/>
          <w:left w:w="28" w:type="dxa"/>
          <w:bottom w:w="28" w:type="dxa"/>
          <w:right w:w="28" w:type="dxa"/>
        </w:tblCellMar>
      </w:tblPr>
      <w:tblGrid>
        <w:gridCol w:w="3403"/>
        <w:gridCol w:w="154"/>
      </w:tblGrid>
      <w:tr>
        <w:trPr/>
        <w:tc>
          <w:tcPr>
            <w:tcW w:w="355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3" w:type="dxa"/>
            <w:tcBorders/>
            <w:vAlign w:val="center"/>
          </w:tcPr>
          <w:p>
            <w:pPr>
              <w:pStyle w:val="TableContents"/>
              <w:bidi w:val="0"/>
              <w:spacing w:before="0" w:after="283"/>
              <w:jc w:val="left"/>
              <w:rPr>
                <w:b/>
              </w:rPr>
            </w:pPr>
            <w:r>
              <w:rPr>
                <w:b/>
              </w:rPr>
              <w:t xml:space="preserve">IN8BIO,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3"/>
        <w:gridCol w:w="970"/>
        <w:gridCol w:w="1119"/>
        <w:gridCol w:w="1314"/>
        <w:gridCol w:w="1222"/>
        <w:gridCol w:w="1288"/>
        <w:gridCol w:w="1459"/>
        <w:gridCol w:w="1128"/>
        <w:gridCol w:w="1462"/>
      </w:tblGrid>
      <w:tr>
        <w:trPr/>
        <w:tc>
          <w:tcPr>
            <w:tcW w:w="243" w:type="dxa"/>
            <w:tcBorders/>
            <w:shd w:fill="9ADAF6" w:val="clear"/>
            <w:vAlign w:val="center"/>
          </w:tcPr>
          <w:p>
            <w:pPr>
              <w:pStyle w:val="TableHeading"/>
              <w:bidi w:val="0"/>
              <w:spacing w:before="0" w:after="283"/>
              <w:rPr>
                <w:sz w:val="4"/>
                <w:szCs w:val="4"/>
              </w:rPr>
            </w:pPr>
            <w:r>
              <w:rPr>
                <w:sz w:val="4"/>
                <w:szCs w:val="4"/>
              </w:rPr>
            </w:r>
          </w:p>
        </w:tc>
        <w:tc>
          <w:tcPr>
            <w:tcW w:w="97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19"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1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2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88"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459"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8"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6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3" w:type="dxa"/>
            <w:tcBorders/>
            <w:shd w:fill="E7E7E2" w:val="clear"/>
            <w:vAlign w:val="center"/>
          </w:tcPr>
          <w:p>
            <w:pPr>
              <w:pStyle w:val="TableContents"/>
              <w:bidi w:val="0"/>
              <w:spacing w:before="0" w:after="283"/>
              <w:jc w:val="center"/>
              <w:rPr/>
            </w:pPr>
            <w:r>
              <w:rPr/>
              <w:t xml:space="preserve">1 </w:t>
            </w:r>
          </w:p>
        </w:tc>
        <w:tc>
          <w:tcPr>
            <w:tcW w:w="970" w:type="dxa"/>
            <w:tcBorders/>
            <w:shd w:fill="E7E7E2" w:val="clear"/>
            <w:vAlign w:val="center"/>
          </w:tcPr>
          <w:p>
            <w:pPr>
              <w:pStyle w:val="TableContents"/>
              <w:bidi w:val="0"/>
              <w:spacing w:before="0" w:after="283"/>
              <w:jc w:val="left"/>
              <w:rPr/>
            </w:pPr>
            <w:r>
              <w:rPr/>
              <w:t xml:space="preserve">Equity </w:t>
            </w:r>
          </w:p>
        </w:tc>
        <w:tc>
          <w:tcPr>
            <w:tcW w:w="1119" w:type="dxa"/>
            <w:tcBorders/>
            <w:shd w:fill="E7E7E2" w:val="clear"/>
            <w:vAlign w:val="center"/>
          </w:tcPr>
          <w:p>
            <w:pPr>
              <w:pStyle w:val="TableContents"/>
              <w:bidi w:val="0"/>
              <w:spacing w:before="0" w:after="283"/>
              <w:jc w:val="left"/>
              <w:rPr/>
            </w:pPr>
            <w:r>
              <w:rPr/>
              <w:t xml:space="preserve">Common Stock, par value $0.0001 per share </w:t>
            </w:r>
          </w:p>
        </w:tc>
        <w:tc>
          <w:tcPr>
            <w:tcW w:w="1314" w:type="dxa"/>
            <w:tcBorders/>
            <w:shd w:fill="E7E7E2" w:val="clear"/>
            <w:vAlign w:val="center"/>
          </w:tcPr>
          <w:p>
            <w:pPr>
              <w:pStyle w:val="TableContents"/>
              <w:bidi w:val="0"/>
              <w:spacing w:before="0" w:after="283"/>
              <w:jc w:val="center"/>
              <w:rPr/>
            </w:pPr>
            <w:r>
              <w:rPr/>
              <w:t xml:space="preserve">Other </w:t>
            </w:r>
          </w:p>
        </w:tc>
        <w:tc>
          <w:tcPr>
            <w:tcW w:w="1222" w:type="dxa"/>
            <w:tcBorders/>
            <w:shd w:fill="E7E7E2" w:val="clear"/>
            <w:vAlign w:val="center"/>
          </w:tcPr>
          <w:p>
            <w:pPr>
              <w:pStyle w:val="TableContents"/>
              <w:bidi w:val="0"/>
              <w:spacing w:before="0" w:after="283"/>
              <w:jc w:val="right"/>
              <w:rPr/>
            </w:pPr>
            <w:r>
              <w:rPr/>
              <w:t xml:space="preserve">496,000 </w:t>
            </w:r>
          </w:p>
        </w:tc>
        <w:tc>
          <w:tcPr>
            <w:tcW w:w="1288" w:type="dxa"/>
            <w:tcBorders/>
            <w:shd w:fill="E7E7E2" w:val="clear"/>
            <w:vAlign w:val="center"/>
          </w:tcPr>
          <w:p>
            <w:pPr>
              <w:pStyle w:val="TableContents"/>
              <w:bidi w:val="0"/>
              <w:spacing w:before="0" w:after="283"/>
              <w:jc w:val="right"/>
              <w:rPr/>
            </w:pPr>
            <w:r>
              <w:rPr/>
              <w:t xml:space="preserve">$ 1.01 </w:t>
            </w:r>
          </w:p>
        </w:tc>
        <w:tc>
          <w:tcPr>
            <w:tcW w:w="1459" w:type="dxa"/>
            <w:tcBorders/>
            <w:shd w:fill="E7E7E2" w:val="clear"/>
            <w:vAlign w:val="center"/>
          </w:tcPr>
          <w:p>
            <w:pPr>
              <w:pStyle w:val="TableContents"/>
              <w:bidi w:val="0"/>
              <w:spacing w:before="0" w:after="283"/>
              <w:jc w:val="right"/>
              <w:rPr/>
            </w:pPr>
            <w:r>
              <w:rPr/>
              <w:t xml:space="preserve">$ 500,960.00 </w:t>
            </w:r>
          </w:p>
        </w:tc>
        <w:tc>
          <w:tcPr>
            <w:tcW w:w="1128" w:type="dxa"/>
            <w:tcBorders/>
            <w:shd w:fill="E7E7E2" w:val="clear"/>
            <w:vAlign w:val="center"/>
          </w:tcPr>
          <w:p>
            <w:pPr>
              <w:pStyle w:val="TableContents"/>
              <w:bidi w:val="0"/>
              <w:spacing w:before="0" w:after="283"/>
              <w:jc w:val="right"/>
              <w:rPr/>
            </w:pPr>
            <w:r>
              <w:rPr/>
              <w:t xml:space="preserve">0.0001381 </w:t>
            </w:r>
          </w:p>
        </w:tc>
        <w:tc>
          <w:tcPr>
            <w:tcW w:w="1462" w:type="dxa"/>
            <w:tcBorders/>
            <w:shd w:fill="E7E7E2" w:val="clear"/>
            <w:vAlign w:val="center"/>
          </w:tcPr>
          <w:p>
            <w:pPr>
              <w:pStyle w:val="TableContents"/>
              <w:bidi w:val="0"/>
              <w:spacing w:before="0" w:after="283"/>
              <w:jc w:val="right"/>
              <w:rPr/>
            </w:pPr>
            <w:r>
              <w:rPr/>
              <w:t xml:space="preserve">$ 69.18 </w:t>
            </w:r>
          </w:p>
        </w:tc>
      </w:tr>
      <w:tr>
        <w:trPr/>
        <w:tc>
          <w:tcPr>
            <w:tcW w:w="243" w:type="dxa"/>
            <w:tcBorders/>
            <w:shd w:fill="E7E7E2" w:val="clear"/>
            <w:vAlign w:val="center"/>
          </w:tcPr>
          <w:p>
            <w:pPr>
              <w:pStyle w:val="TableContents"/>
              <w:bidi w:val="0"/>
              <w:spacing w:before="0" w:after="283"/>
              <w:jc w:val="center"/>
              <w:rPr/>
            </w:pPr>
            <w:r>
              <w:rPr/>
              <w:t xml:space="preserve">2 </w:t>
            </w:r>
          </w:p>
        </w:tc>
        <w:tc>
          <w:tcPr>
            <w:tcW w:w="970" w:type="dxa"/>
            <w:tcBorders/>
            <w:shd w:fill="E7E7E2" w:val="clear"/>
            <w:vAlign w:val="center"/>
          </w:tcPr>
          <w:p>
            <w:pPr>
              <w:pStyle w:val="TableContents"/>
              <w:bidi w:val="0"/>
              <w:spacing w:before="0" w:after="283"/>
              <w:jc w:val="left"/>
              <w:rPr/>
            </w:pPr>
            <w:r>
              <w:rPr/>
              <w:t xml:space="preserve">Equity </w:t>
            </w:r>
          </w:p>
        </w:tc>
        <w:tc>
          <w:tcPr>
            <w:tcW w:w="1119" w:type="dxa"/>
            <w:tcBorders/>
            <w:shd w:fill="E7E7E2" w:val="clear"/>
            <w:vAlign w:val="center"/>
          </w:tcPr>
          <w:p>
            <w:pPr>
              <w:pStyle w:val="TableContents"/>
              <w:bidi w:val="0"/>
              <w:spacing w:before="0" w:after="283"/>
              <w:jc w:val="left"/>
              <w:rPr/>
            </w:pPr>
            <w:r>
              <w:rPr/>
              <w:t xml:space="preserve">Common Stock, par value $0.0001 per share </w:t>
            </w:r>
          </w:p>
        </w:tc>
        <w:tc>
          <w:tcPr>
            <w:tcW w:w="1314" w:type="dxa"/>
            <w:tcBorders/>
            <w:shd w:fill="E7E7E2" w:val="clear"/>
            <w:vAlign w:val="center"/>
          </w:tcPr>
          <w:p>
            <w:pPr>
              <w:pStyle w:val="TableContents"/>
              <w:bidi w:val="0"/>
              <w:spacing w:before="0" w:after="283"/>
              <w:jc w:val="center"/>
              <w:rPr/>
            </w:pPr>
            <w:r>
              <w:rPr/>
              <w:t xml:space="preserve">Other </w:t>
            </w:r>
          </w:p>
        </w:tc>
        <w:tc>
          <w:tcPr>
            <w:tcW w:w="1222" w:type="dxa"/>
            <w:tcBorders/>
            <w:shd w:fill="E7E7E2" w:val="clear"/>
            <w:vAlign w:val="center"/>
          </w:tcPr>
          <w:p>
            <w:pPr>
              <w:pStyle w:val="TableContents"/>
              <w:bidi w:val="0"/>
              <w:spacing w:before="0" w:after="283"/>
              <w:jc w:val="right"/>
              <w:rPr/>
            </w:pPr>
            <w:r>
              <w:rPr/>
              <w:t xml:space="preserve">4,000 </w:t>
            </w:r>
          </w:p>
        </w:tc>
        <w:tc>
          <w:tcPr>
            <w:tcW w:w="1288" w:type="dxa"/>
            <w:tcBorders/>
            <w:shd w:fill="E7E7E2" w:val="clear"/>
            <w:vAlign w:val="center"/>
          </w:tcPr>
          <w:p>
            <w:pPr>
              <w:pStyle w:val="TableContents"/>
              <w:bidi w:val="0"/>
              <w:spacing w:before="0" w:after="283"/>
              <w:jc w:val="right"/>
              <w:rPr/>
            </w:pPr>
            <w:r>
              <w:rPr/>
              <w:t xml:space="preserve">$ 0.96 </w:t>
            </w:r>
          </w:p>
        </w:tc>
        <w:tc>
          <w:tcPr>
            <w:tcW w:w="1459" w:type="dxa"/>
            <w:tcBorders/>
            <w:shd w:fill="E7E7E2" w:val="clear"/>
            <w:vAlign w:val="center"/>
          </w:tcPr>
          <w:p>
            <w:pPr>
              <w:pStyle w:val="TableContents"/>
              <w:bidi w:val="0"/>
              <w:spacing w:before="0" w:after="283"/>
              <w:jc w:val="right"/>
              <w:rPr/>
            </w:pPr>
            <w:r>
              <w:rPr/>
              <w:t xml:space="preserve">$ 3,840.00 </w:t>
            </w:r>
          </w:p>
        </w:tc>
        <w:tc>
          <w:tcPr>
            <w:tcW w:w="1128" w:type="dxa"/>
            <w:tcBorders/>
            <w:shd w:fill="E7E7E2" w:val="clear"/>
            <w:vAlign w:val="center"/>
          </w:tcPr>
          <w:p>
            <w:pPr>
              <w:pStyle w:val="TableContents"/>
              <w:bidi w:val="0"/>
              <w:spacing w:before="0" w:after="283"/>
              <w:jc w:val="right"/>
              <w:rPr/>
            </w:pPr>
            <w:r>
              <w:rPr/>
              <w:t xml:space="preserve">0.0001381 </w:t>
            </w:r>
          </w:p>
        </w:tc>
        <w:tc>
          <w:tcPr>
            <w:tcW w:w="1462" w:type="dxa"/>
            <w:tcBorders/>
            <w:shd w:fill="E7E7E2" w:val="clear"/>
            <w:vAlign w:val="center"/>
          </w:tcPr>
          <w:p>
            <w:pPr>
              <w:pStyle w:val="TableContents"/>
              <w:bidi w:val="0"/>
              <w:spacing w:before="0" w:after="283"/>
              <w:jc w:val="right"/>
              <w:rPr/>
            </w:pPr>
            <w:r>
              <w:rPr/>
              <w:t xml:space="preserve">$ 0.53 </w:t>
            </w:r>
          </w:p>
        </w:tc>
      </w:tr>
      <w:tr>
        <w:trPr/>
        <w:tc>
          <w:tcPr>
            <w:tcW w:w="4868" w:type="dxa"/>
            <w:gridSpan w:val="5"/>
            <w:tcBorders/>
            <w:vAlign w:val="center"/>
          </w:tcPr>
          <w:p>
            <w:pPr>
              <w:pStyle w:val="TableContents"/>
              <w:bidi w:val="0"/>
              <w:spacing w:before="0" w:after="0"/>
              <w:ind w:left="0" w:right="0" w:hanging="0"/>
              <w:jc w:val="right"/>
              <w:rPr/>
            </w:pPr>
            <w:r>
              <w:rPr/>
              <w:t>Total Offering Amounts:</w:t>
            </w:r>
          </w:p>
        </w:tc>
        <w:tc>
          <w:tcPr>
            <w:tcW w:w="128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0"/>
              <w:ind w:left="0" w:right="0" w:hanging="0"/>
              <w:jc w:val="right"/>
              <w:rPr/>
            </w:pPr>
            <w:bookmarkStart w:id="11" w:name="MaxAggtOfferingPrice"/>
            <w:bookmarkEnd w:id="11"/>
            <w:r>
              <w:rPr/>
              <w:t xml:space="preserve">$ 504,800.00 </w:t>
            </w:r>
          </w:p>
        </w:tc>
        <w:tc>
          <w:tcPr>
            <w:tcW w:w="1128" w:type="dxa"/>
            <w:tcBorders/>
            <w:vAlign w:val="center"/>
          </w:tcPr>
          <w:p>
            <w:pPr>
              <w:pStyle w:val="TableContents"/>
              <w:bidi w:val="0"/>
              <w:spacing w:before="0" w:after="283"/>
              <w:jc w:val="left"/>
              <w:rPr>
                <w:sz w:val="4"/>
                <w:szCs w:val="4"/>
              </w:rPr>
            </w:pPr>
            <w:r>
              <w:rPr>
                <w:sz w:val="4"/>
                <w:szCs w:val="4"/>
              </w:rPr>
            </w:r>
          </w:p>
        </w:tc>
        <w:tc>
          <w:tcPr>
            <w:tcW w:w="146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$ 69.71 </w:t>
            </w:r>
          </w:p>
        </w:tc>
      </w:tr>
      <w:tr>
        <w:trPr/>
        <w:tc>
          <w:tcPr>
            <w:tcW w:w="4868" w:type="dxa"/>
            <w:gridSpan w:val="5"/>
            <w:tcBorders/>
            <w:vAlign w:val="center"/>
          </w:tcPr>
          <w:p>
            <w:pPr>
              <w:pStyle w:val="TableContents"/>
              <w:bidi w:val="0"/>
              <w:spacing w:before="0" w:after="0"/>
              <w:ind w:left="0" w:right="0" w:hanging="0"/>
              <w:jc w:val="right"/>
              <w:rPr/>
            </w:pPr>
            <w:r>
              <w:rPr/>
              <w:t xml:space="preserve">Total Fee Offsets: </w:t>
            </w:r>
          </w:p>
        </w:tc>
        <w:tc>
          <w:tcPr>
            <w:tcW w:w="128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68" w:type="dxa"/>
            <w:gridSpan w:val="5"/>
            <w:tcBorders/>
            <w:vAlign w:val="center"/>
          </w:tcPr>
          <w:p>
            <w:pPr>
              <w:pStyle w:val="TableContents"/>
              <w:bidi w:val="0"/>
              <w:spacing w:before="0" w:after="0"/>
              <w:ind w:left="0" w:right="0" w:hanging="0"/>
              <w:jc w:val="right"/>
              <w:rPr/>
            </w:pPr>
            <w:r>
              <w:rPr/>
              <w:t xml:space="preserve">Net Fee Due: </w:t>
            </w:r>
          </w:p>
        </w:tc>
        <w:tc>
          <w:tcPr>
            <w:tcW w:w="128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0"/>
              <w:ind w:left="0" w:right="0" w:hanging="0"/>
              <w:jc w:val="right"/>
              <w:rPr/>
            </w:pPr>
            <w:bookmarkStart w:id="14" w:name="NetFeeAmt"/>
            <w:bookmarkEnd w:id="14"/>
            <w:r>
              <w:rPr/>
              <w:t xml:space="preserve">$ 69.71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2"/>
        <w:gridCol w:w="8711"/>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Represents shares of common stock reserved for issuance under the Registrant's 2026 Inducement Plan (the "2026 Plan"). Pursuant to Rule 416(a) promulgated under the Securities Act of 1933, as amended (the "Securities Act"), this registration statement shall also cover any additional shares of common stock that become issuable by reason of any stock dividend, stock split, recapitalization or other similar transaction with respect to the shares of common stock being registered pursuant to this registration statement. The proposed maximum offering price per share is estimated in accordance with Rules 457(c) and 457(h) promulgated under the Securities Act solely for the purpose of calculating the registration fee and is based upon a price per share of $1.01, which is the average of the high and low prices per share of common stock on August 3, 2026, as reported on The Nasdaq Capital Market.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3" w:type="dxa"/>
            <w:gridSpan w:val="2"/>
            <w:tcBorders/>
            <w:vAlign w:val="center"/>
          </w:tcPr>
          <w:p>
            <w:pPr>
              <w:pStyle w:val="TableContents"/>
              <w:bidi w:val="0"/>
              <w:spacing w:before="0" w:after="283"/>
              <w:jc w:val="left"/>
              <w:rPr/>
            </w:pPr>
            <w:r>
              <w:rPr/>
              <w:t xml:space="preserve">Represents shares of common stock issuable upon the exercise of an outstanding stock option award granted pursuant to the 2026 Plan. Pursuant to Rule 416(a) promulgated under the Securities Act, this registration statement shall also cover any additional shares of common stock that become issuable by reason of any stock dividend, stock split, recapitalization or other similar transaction with respect to the shares of common stock being registered pursuant to this registration statement. The proposed maximum offering price per share is estimated in accordance with Rule 457(h) promulgated under the Securities Act solely for the purpose of calculating the registration fee and is based upon the exercise price for such shares.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740279/000119312526104181/inab-20251231.htm" TargetMode="External"/><Relationship Id="rId3" Type="http://schemas.openxmlformats.org/officeDocument/2006/relationships/hyperlink" Target="http://www.sec.gov/Archives/edgar/data/../../../ix?doc=/Archives/edgar/data/0001740279/000119312526126208/d26327ddef14a.htm" TargetMode="External"/><Relationship Id="rId4" Type="http://schemas.openxmlformats.org/officeDocument/2006/relationships/hyperlink" Target="http://www.sec.gov/Archives/edgar/data/../../../ix?doc=/Archives/edgar/data/0001740279/000119312526212135/inab-20260331.htm" TargetMode="External"/><Relationship Id="rId5" Type="http://schemas.openxmlformats.org/officeDocument/2006/relationships/hyperlink" Target="http://www.sec.gov/Archives/edgar/data/../../../ix?doc=/Archives/edgar/data/0001740279/000119312526338012/inab-20260630.htm" TargetMode="External"/><Relationship Id="rId6" Type="http://schemas.openxmlformats.org/officeDocument/2006/relationships/hyperlink" Target="http://www.sec.gov/Archives/edgar/data/../../../ix?doc=/Archives/edgar/data/0001740279/000119312526041975/d50284d8k.htm" TargetMode="External"/><Relationship Id="rId7" Type="http://schemas.openxmlformats.org/officeDocument/2006/relationships/hyperlink" Target="http://www.sec.gov/Archives/edgar/data/../../../ix?doc=/Archives/edgar/data/0001740279/000119312526082539/d915471d8k.htm" TargetMode="External"/><Relationship Id="rId8" Type="http://schemas.openxmlformats.org/officeDocument/2006/relationships/hyperlink" Target="http://www.sec.gov/Archives/edgar/data/../../../ix?doc=/Archives/edgar/data/0001740279/000119312526212128/inab-20260507.htm" TargetMode="External"/><Relationship Id="rId9" Type="http://schemas.openxmlformats.org/officeDocument/2006/relationships/hyperlink" Target="http://www.sec.gov/Archives/edgar/data/../../../ix?doc=/Archives/edgar/data/0001740279/000119312526249684/d100941d8k.htm" TargetMode="External"/><Relationship Id="rId10" Type="http://schemas.openxmlformats.org/officeDocument/2006/relationships/hyperlink" Target="http://www.sec.gov/Archives/edgar/data/1740279/000119312526104181/inab-ex4_2.htm" TargetMode="External"/><Relationship Id="rId11" Type="http://schemas.openxmlformats.org/officeDocument/2006/relationships/hyperlink" Target="http://www.sec.gov/Archives/edgar/data/1740279/000110465921099436/tm2030088d31_ex3-1.htm" TargetMode="External"/><Relationship Id="rId12" Type="http://schemas.openxmlformats.org/officeDocument/2006/relationships/hyperlink" Target="http://www.sec.gov/Archives/edgar/data/1740279/000119312525134487/d927529dex31.htm" TargetMode="External"/><Relationship Id="rId13" Type="http://schemas.openxmlformats.org/officeDocument/2006/relationships/hyperlink" Target="http://www.sec.gov/Archives/edgar/data/1740279/000119312523290707/d634027dex31.htm" TargetMode="External"/><Relationship Id="rId14" Type="http://schemas.openxmlformats.org/officeDocument/2006/relationships/hyperlink" Target="http://www.sec.gov/Archives/edgar/data/1740279/000119312526338012/inab-ex10_1.htm" TargetMode="External"/><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3343</Words>
  <Characters>17808</Characters>
  <CharactersWithSpaces>21196</CharactersWithSpaces>
  <Paragraphs>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