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7" w:lineRule="exact"/>
        <w:rPr>
          <w:sz w:val="24"/>
          <w:szCs w:val="24"/>
          <w:color w:val="auto"/>
        </w:rPr>
      </w:pPr>
    </w:p>
    <w:p>
      <w:pPr>
        <w:ind w:left="320" w:right="60"/>
        <w:spacing w:after="0" w:line="313"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-189230</wp:posOffset>
            </wp:positionV>
            <wp:extent cx="111760" cy="111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85" w:lineRule="exact"/>
        <w:rPr>
          <w:sz w:val="24"/>
          <w:szCs w:val="24"/>
          <w:color w:val="auto"/>
        </w:rPr>
      </w:pPr>
    </w:p>
    <w:p>
      <w:pPr>
        <w:ind w:left="320"/>
        <w:spacing w:after="0" w:line="22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-525780</wp:posOffset>
            </wp:positionV>
            <wp:extent cx="111760" cy="111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20" w:type="dxa"/>
            <w:vAlign w:val="bottom"/>
          </w:tcPr>
          <w:p>
            <w:pPr>
              <w:jc w:val="center"/>
              <w:ind w:right="444"/>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jc w:val="center"/>
              <w:ind w:right="444"/>
              <w:spacing w:after="0" w:line="130"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44"/>
              <w:spacing w:after="0" w:line="167"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vMerge w:val="restart"/>
          </w:tcPr>
          <w:p>
            <w:pPr>
              <w:jc w:val="center"/>
              <w:ind w:right="44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5100320</wp:posOffset>
            </wp:positionH>
            <wp:positionV relativeFrom="paragraph">
              <wp:posOffset>-570230</wp:posOffset>
            </wp:positionV>
            <wp:extent cx="55245" cy="58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3565"/>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-570230</wp:posOffset>
            </wp:positionV>
            <wp:extent cx="5524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356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598170</wp:posOffset>
            </wp:positionV>
            <wp:extent cx="7005320" cy="892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320" cy="8920480"/>
                    </a:xfrm>
                    <a:prstGeom prst="rect">
                      <a:avLst/>
                    </a:prstGeom>
                    <a:noFill/>
                  </pic:spPr>
                </pic:pic>
              </a:graphicData>
            </a:graphic>
          </wp:anchor>
        </w:drawing>
      </w:r>
    </w:p>
    <w:p>
      <w:pPr>
        <w:spacing w:after="0" w:line="954" w:lineRule="exact"/>
        <w:rPr>
          <w:sz w:val="24"/>
          <w:szCs w:val="24"/>
          <w:color w:val="auto"/>
        </w:rPr>
      </w:pPr>
    </w:p>
    <w:p>
      <w:pPr>
        <w:sectPr>
          <w:pgSz w:w="11900" w:h="16899" w:orient="portrait"/>
          <w:cols w:equalWidth="0" w:num="2">
            <w:col w:w="2280" w:space="560"/>
            <w:col w:w="824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40" w:type="dxa"/>
            <w:vAlign w:val="bottom"/>
            <w:gridSpan w:val="6"/>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80" w:type="dxa"/>
            <w:vAlign w:val="bottom"/>
            <w:gridSpan w:val="7"/>
          </w:tcPr>
          <w:p>
            <w:pPr>
              <w:ind w:left="20"/>
              <w:spacing w:after="0"/>
              <w:rPr>
                <w:sz w:val="20"/>
                <w:szCs w:val="20"/>
                <w:color w:val="auto"/>
              </w:rPr>
            </w:pPr>
            <w:r>
              <w:rPr>
                <w:rFonts w:ascii="Arial" w:cs="Arial" w:eastAsia="Arial" w:hAnsi="Arial"/>
                <w:sz w:val="12"/>
                <w:szCs w:val="12"/>
                <w:color w:val="auto"/>
              </w:rPr>
              <w:t>5. Relationship of Reporting Person(s) to Issuer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Times New Roman" w:cs="Times New Roman" w:eastAsia="Times New Roman" w:hAnsi="Times New Roman"/>
                <w:sz w:val="19"/>
                <w:szCs w:val="19"/>
                <w:color w:val="0000EE"/>
                <w:w w:val="98"/>
              </w:rPr>
            </w:pPr>
            <w:hyperlink r:id="rId13">
              <w:r>
                <w:rPr>
                  <w:rFonts w:ascii="Times New Roman" w:cs="Times New Roman" w:eastAsia="Times New Roman" w:hAnsi="Times New Roman"/>
                  <w:sz w:val="19"/>
                  <w:szCs w:val="19"/>
                  <w:color w:val="0000EE"/>
                  <w:w w:val="98"/>
                </w:rPr>
                <w:t>Kreis Leslie W.</w:t>
              </w:r>
            </w:hyperlink>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gridSpan w:val="8"/>
          </w:tcPr>
          <w:p>
            <w:pPr>
              <w:ind w:left="60"/>
              <w:spacing w:after="0" w:line="94"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IN8BIO,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INAB</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5"/>
            <w:vMerge w:val="restart"/>
          </w:tcPr>
          <w:p>
            <w:pPr>
              <w:ind w:left="20"/>
              <w:spacing w:after="0"/>
              <w:rPr>
                <w:sz w:val="20"/>
                <w:szCs w:val="20"/>
                <w:color w:val="auto"/>
              </w:rPr>
            </w:pPr>
            <w:r>
              <w:rPr>
                <w:rFonts w:ascii="Arial" w:cs="Arial" w:eastAsia="Arial" w:hAnsi="Arial"/>
                <w:sz w:val="12"/>
                <w:szCs w:val="12"/>
                <w:color w:val="auto"/>
              </w:rPr>
              <w:t>(Check all applicable)</w:t>
            </w: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38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Director</w:t>
            </w:r>
          </w:p>
        </w:tc>
        <w:tc>
          <w:tcPr>
            <w:tcW w:w="1720" w:type="dxa"/>
            <w:vAlign w:val="bottom"/>
            <w:gridSpan w:val="2"/>
            <w:vMerge w:val="restart"/>
          </w:tcPr>
          <w:p>
            <w:pPr>
              <w:ind w:left="580"/>
              <w:spacing w:after="0"/>
              <w:rPr>
                <w:sz w:val="20"/>
                <w:szCs w:val="20"/>
                <w:color w:val="auto"/>
              </w:rPr>
            </w:pPr>
            <w:r>
              <w:rPr>
                <w:rFonts w:ascii="Arial" w:cs="Arial" w:eastAsia="Arial" w:hAnsi="Arial"/>
                <w:sz w:val="12"/>
                <w:szCs w:val="12"/>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720" w:type="dxa"/>
            <w:vAlign w:val="bottom"/>
            <w:gridSpan w:val="2"/>
            <w:vMerge w:val="restart"/>
          </w:tcPr>
          <w:p>
            <w:pPr>
              <w:ind w:left="580"/>
              <w:spacing w:after="0"/>
              <w:rPr>
                <w:sz w:val="20"/>
                <w:szCs w:val="20"/>
                <w:color w:val="auto"/>
              </w:rPr>
            </w:pPr>
            <w:r>
              <w:rPr>
                <w:rFonts w:ascii="Arial" w:cs="Arial" w:eastAsia="Arial" w:hAnsi="Arial"/>
                <w:sz w:val="12"/>
                <w:szCs w:val="12"/>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2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below)</w:t>
            </w:r>
          </w:p>
        </w:tc>
        <w:tc>
          <w:tcPr>
            <w:tcW w:w="1720" w:type="dxa"/>
            <w:vAlign w:val="bottom"/>
            <w:gridSpan w:val="2"/>
            <w:vMerge w:val="restart"/>
          </w:tcPr>
          <w:p>
            <w:pPr>
              <w:ind w:left="580"/>
              <w:spacing w:after="0"/>
              <w:rPr>
                <w:sz w:val="20"/>
                <w:szCs w:val="20"/>
                <w:color w:val="auto"/>
              </w:rPr>
            </w:pPr>
            <w:r>
              <w:rPr>
                <w:rFonts w:ascii="Arial" w:cs="Arial" w:eastAsia="Arial" w:hAnsi="Arial"/>
                <w:sz w:val="12"/>
                <w:szCs w:val="12"/>
                <w:color w:val="auto"/>
              </w:rPr>
              <w:t>below)</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gridSpan w:val="10"/>
            <w:vMerge w:val="restart"/>
          </w:tcPr>
          <w:p>
            <w:pPr>
              <w:ind w:left="60"/>
              <w:spacing w:after="0"/>
              <w:rPr>
                <w:sz w:val="20"/>
                <w:szCs w:val="20"/>
                <w:color w:val="auto"/>
              </w:rPr>
            </w:pPr>
            <w:r>
              <w:rPr>
                <w:rFonts w:ascii="Arial" w:cs="Arial" w:eastAsia="Arial" w:hAnsi="Arial"/>
                <w:sz w:val="12"/>
                <w:szCs w:val="12"/>
                <w:color w:val="auto"/>
                <w:w w:val="99"/>
              </w:rPr>
              <w:t>3. Date of Earliest Transaction (Month/Day/Year)</w:t>
            </w: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gridSpan w:val="10"/>
            <w:vMerge w:val="continue"/>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rPr>
              <w:t>C/O BIOS EQUITY PARTNERS</w:t>
            </w:r>
          </w:p>
        </w:tc>
        <w:tc>
          <w:tcPr>
            <w:tcW w:w="980" w:type="dxa"/>
            <w:vAlign w:val="bottom"/>
          </w:tcPr>
          <w:p>
            <w:pPr>
              <w:spacing w:after="0"/>
              <w:rPr>
                <w:sz w:val="19"/>
                <w:szCs w:val="19"/>
                <w:color w:val="auto"/>
              </w:rPr>
            </w:pPr>
          </w:p>
        </w:tc>
        <w:tc>
          <w:tcPr>
            <w:tcW w:w="1660" w:type="dxa"/>
            <w:vAlign w:val="bottom"/>
            <w:gridSpan w:val="6"/>
          </w:tcPr>
          <w:p>
            <w:pPr>
              <w:ind w:left="580"/>
              <w:spacing w:after="0"/>
              <w:rPr>
                <w:sz w:val="20"/>
                <w:szCs w:val="20"/>
                <w:color w:val="auto"/>
              </w:rPr>
            </w:pPr>
            <w:r>
              <w:rPr>
                <w:rFonts w:ascii="Times New Roman" w:cs="Times New Roman" w:eastAsia="Times New Roman" w:hAnsi="Times New Roman"/>
                <w:sz w:val="15"/>
                <w:szCs w:val="15"/>
                <w:color w:val="0000FF"/>
              </w:rPr>
              <w:t>05/02/2025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gridSpan w:val="2"/>
          </w:tcPr>
          <w:p>
            <w:pPr>
              <w:spacing w:after="0"/>
              <w:rPr>
                <w:sz w:val="7"/>
                <w:szCs w:val="7"/>
                <w:color w:val="auto"/>
              </w:rPr>
            </w:pPr>
          </w:p>
        </w:tc>
        <w:tc>
          <w:tcPr>
            <w:tcW w:w="1620" w:type="dxa"/>
            <w:vAlign w:val="bottom"/>
            <w:tcBorders>
              <w:bottom w:val="single" w:sz="8" w:color="2C2C2C"/>
            </w:tcBorders>
            <w:gridSpan w:val="5"/>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60" w:type="dxa"/>
            <w:vAlign w:val="bottom"/>
            <w:tcBorders>
              <w:bottom w:val="single" w:sz="8" w:color="2C2C2C"/>
            </w:tcBorders>
            <w:gridSpan w:val="4"/>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4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180" w:type="dxa"/>
            <w:vAlign w:val="bottom"/>
            <w:gridSpan w:val="11"/>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80" w:type="dxa"/>
            <w:vAlign w:val="bottom"/>
            <w:gridSpan w:val="7"/>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11"/>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8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0000FF"/>
              </w:rPr>
              <w:t>FORT WORTH</w:t>
            </w: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0000FF"/>
              </w:rPr>
              <w:t>76107</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2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gridSpan w:val="3"/>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2260" w:type="dxa"/>
            <w:vAlign w:val="bottom"/>
            <w:tcBorders>
              <w:bottom w:val="single" w:sz="8" w:color="2C2C2C"/>
            </w:tcBorders>
            <w:gridSpan w:val="7"/>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40" w:type="dxa"/>
            <w:vAlign w:val="bottom"/>
            <w:gridSpan w:val="21"/>
          </w:tcPr>
          <w:p>
            <w:pPr>
              <w:ind w:left="2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3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100" w:type="dxa"/>
            <w:vAlign w:val="bottom"/>
            <w:gridSpan w:val="5"/>
          </w:tcPr>
          <w:p>
            <w:pPr>
              <w:ind w:left="1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3"/>
                <w:szCs w:val="13"/>
                <w:color w:val="auto"/>
              </w:rPr>
            </w:pPr>
          </w:p>
        </w:tc>
        <w:tc>
          <w:tcPr>
            <w:tcW w:w="1600" w:type="dxa"/>
            <w:vAlign w:val="bottom"/>
            <w:gridSpan w:val="5"/>
          </w:tcPr>
          <w:p>
            <w:pPr>
              <w:ind w:left="120"/>
              <w:spacing w:after="0"/>
              <w:rPr>
                <w:sz w:val="20"/>
                <w:szCs w:val="20"/>
                <w:color w:val="auto"/>
              </w:rPr>
            </w:pPr>
            <w:r>
              <w:rPr>
                <w:rFonts w:ascii="Arial" w:cs="Arial" w:eastAsia="Arial" w:hAnsi="Arial"/>
                <w:sz w:val="11"/>
                <w:szCs w:val="11"/>
                <w:b w:val="1"/>
                <w:bCs w:val="1"/>
                <w:color w:val="auto"/>
                <w:w w:val="98"/>
              </w:rPr>
              <w:t>4. Securities Acquired (A) or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w w:val="95"/>
              </w:rPr>
              <w:t>6. Ownership</w:t>
            </w:r>
          </w:p>
        </w:tc>
        <w:tc>
          <w:tcPr>
            <w:tcW w:w="980" w:type="dxa"/>
            <w:vAlign w:val="bottom"/>
          </w:tcPr>
          <w:p>
            <w:pPr>
              <w:ind w:left="2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4"/>
          </w:tcPr>
          <w:p>
            <w:pPr>
              <w:ind w:left="180"/>
              <w:spacing w:after="0" w:line="117" w:lineRule="exact"/>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6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Transaction</w:t>
            </w:r>
          </w:p>
        </w:tc>
        <w:tc>
          <w:tcPr>
            <w:tcW w:w="1880" w:type="dxa"/>
            <w:vAlign w:val="bottom"/>
            <w:gridSpan w:val="7"/>
          </w:tcPr>
          <w:p>
            <w:pPr>
              <w:ind w:left="12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1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Form: Direct (D)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gridSpan w:val="5"/>
          </w:tcPr>
          <w:p>
            <w:pPr>
              <w:ind w:left="18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Code (Instr.</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8"/>
              </w:rPr>
              <w:t>or Indirect (I)</w:t>
            </w:r>
          </w:p>
        </w:tc>
        <w:tc>
          <w:tcPr>
            <w:tcW w:w="980" w:type="dxa"/>
            <w:vAlign w:val="bottom"/>
          </w:tcPr>
          <w:p>
            <w:pPr>
              <w:ind w:left="280"/>
              <w:spacing w:after="0" w:line="117"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Following Reported</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4)</w:t>
            </w:r>
          </w:p>
        </w:tc>
        <w:tc>
          <w:tcPr>
            <w:tcW w:w="980" w:type="dxa"/>
            <w:vAlign w:val="bottom"/>
          </w:tcPr>
          <w:p>
            <w:pPr>
              <w:ind w:left="280"/>
              <w:spacing w:after="0" w:line="117"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40" w:type="dxa"/>
            <w:vAlign w:val="bottom"/>
            <w:gridSpan w:val="2"/>
            <w:vMerge w:val="restart"/>
          </w:tcPr>
          <w:p>
            <w:pPr>
              <w:ind w:left="60"/>
              <w:spacing w:after="0" w:line="117" w:lineRule="exact"/>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980" w:type="dxa"/>
            <w:vAlign w:val="bottom"/>
            <w:vMerge w:val="restart"/>
          </w:tcPr>
          <w:p>
            <w:pPr>
              <w:ind w:left="280"/>
              <w:spacing w:after="0" w:line="117"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(A) or</w:t>
            </w:r>
          </w:p>
        </w:tc>
        <w:tc>
          <w:tcPr>
            <w:tcW w:w="4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4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601,980</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NT,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3,727,597</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QP,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98"/>
              <w:spacing w:after="0"/>
              <w:rPr>
                <w:sz w:val="20"/>
                <w:szCs w:val="20"/>
                <w:color w:val="auto"/>
              </w:rPr>
            </w:pPr>
            <w:r>
              <w:rPr>
                <w:rFonts w:ascii="Times New Roman" w:cs="Times New Roman" w:eastAsia="Times New Roman" w:hAnsi="Times New Roman"/>
                <w:sz w:val="15"/>
                <w:szCs w:val="15"/>
                <w:color w:val="0000FF"/>
              </w:rPr>
              <w:t>570,724</w:t>
            </w:r>
          </w:p>
        </w:tc>
        <w:tc>
          <w:tcPr>
            <w:tcW w:w="740" w:type="dxa"/>
            <w:vAlign w:val="bottom"/>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ind w:left="280"/>
              <w:spacing w:after="0" w:line="245" w:lineRule="exact"/>
              <w:rPr>
                <w:sz w:val="20"/>
                <w:szCs w:val="20"/>
                <w:color w:val="auto"/>
              </w:rPr>
            </w:pPr>
            <w:r>
              <w:rPr>
                <w:rFonts w:ascii="Times New Roman" w:cs="Times New Roman" w:eastAsia="Times New Roman" w:hAnsi="Times New Roman"/>
                <w:sz w:val="28"/>
                <w:szCs w:val="28"/>
                <w:color w:val="0000FF"/>
                <w:vertAlign w:val="subscript"/>
              </w:rPr>
              <w:t>LP</w:t>
            </w:r>
            <w:r>
              <w:rPr>
                <w:rFonts w:ascii="Times New Roman" w:cs="Times New Roman" w:eastAsia="Times New Roman" w:hAnsi="Times New Roman"/>
                <w:sz w:val="9"/>
                <w:szCs w:val="9"/>
                <w:color w:val="008000"/>
              </w:rPr>
              <w:t>(2)(3)(4)(6)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98"/>
              <w:spacing w:after="0"/>
              <w:rPr>
                <w:sz w:val="20"/>
                <w:szCs w:val="20"/>
                <w:color w:val="auto"/>
              </w:rPr>
            </w:pPr>
            <w:r>
              <w:rPr>
                <w:rFonts w:ascii="Times New Roman" w:cs="Times New Roman" w:eastAsia="Times New Roman" w:hAnsi="Times New Roman"/>
                <w:sz w:val="15"/>
                <w:szCs w:val="15"/>
                <w:color w:val="0000FF"/>
              </w:rPr>
              <w:t>574,432</w:t>
            </w:r>
          </w:p>
        </w:tc>
        <w:tc>
          <w:tcPr>
            <w:tcW w:w="740" w:type="dxa"/>
            <w:vAlign w:val="bottom"/>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ind w:left="280"/>
              <w:spacing w:after="0" w:line="245" w:lineRule="exact"/>
              <w:rPr>
                <w:sz w:val="20"/>
                <w:szCs w:val="20"/>
                <w:color w:val="auto"/>
              </w:rPr>
            </w:pPr>
            <w:r>
              <w:rPr>
                <w:rFonts w:ascii="Times New Roman" w:cs="Times New Roman" w:eastAsia="Times New Roman" w:hAnsi="Times New Roman"/>
                <w:sz w:val="28"/>
                <w:szCs w:val="28"/>
                <w:color w:val="0000FF"/>
                <w:vertAlign w:val="subscript"/>
              </w:rPr>
              <w:t>LP</w:t>
            </w:r>
            <w:r>
              <w:rPr>
                <w:rFonts w:ascii="Times New Roman" w:cs="Times New Roman" w:eastAsia="Times New Roman" w:hAnsi="Times New Roman"/>
                <w:sz w:val="9"/>
                <w:szCs w:val="9"/>
                <w:color w:val="008000"/>
              </w:rPr>
              <w:t>(2)(3)(4)(6)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1,876,624</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QP,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251,211</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NT,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997,433</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Incysus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gridSpan w:val="5"/>
            <w:vMerge w:val="continue"/>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Co-Invest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280"/>
              <w:spacing w:after="0" w:line="184" w:lineRule="exact"/>
              <w:rPr>
                <w:sz w:val="20"/>
                <w:szCs w:val="20"/>
                <w:color w:val="auto"/>
              </w:rPr>
            </w:pPr>
            <w:r>
              <w:rPr>
                <w:rFonts w:ascii="Times New Roman" w:cs="Times New Roman" w:eastAsia="Times New Roman" w:hAnsi="Times New Roman"/>
                <w:sz w:val="21"/>
                <w:szCs w:val="21"/>
                <w:color w:val="0000FF"/>
                <w:vertAlign w:val="subscript"/>
              </w:rPr>
              <w:t>I, LP</w:t>
            </w:r>
            <w:r>
              <w:rPr>
                <w:rFonts w:ascii="Times New Roman" w:cs="Times New Roman" w:eastAsia="Times New Roman" w:hAnsi="Times New Roman"/>
                <w:sz w:val="8"/>
                <w:szCs w:val="8"/>
                <w:color w:val="008000"/>
              </w:rPr>
              <w:t>(2)(3)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4"/>
          </w:tcPr>
          <w:p>
            <w:pPr>
              <w:spacing w:after="0"/>
              <w:rPr>
                <w:sz w:val="9"/>
                <w:szCs w:val="9"/>
                <w:color w:val="auto"/>
              </w:rPr>
            </w:pPr>
          </w:p>
        </w:tc>
        <w:tc>
          <w:tcPr>
            <w:tcW w:w="1080" w:type="dxa"/>
            <w:vAlign w:val="bottom"/>
            <w:tcBorders>
              <w:bottom w:val="single" w:sz="8" w:color="2C2C2C"/>
            </w:tcBorders>
            <w:gridSpan w:val="3"/>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2400" w:type="dxa"/>
            <w:vAlign w:val="bottom"/>
            <w:tcBorders>
              <w:bottom w:val="single" w:sz="8" w:color="2C2C2C"/>
            </w:tcBorders>
            <w:gridSpan w:val="9"/>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40" w:type="dxa"/>
            <w:vAlign w:val="bottom"/>
            <w:gridSpan w:val="21"/>
          </w:tcPr>
          <w:p>
            <w:pPr>
              <w:jc w:val="right"/>
              <w:ind w:right="45"/>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gridSpan w:val="16"/>
          </w:tcPr>
          <w:p>
            <w:pPr>
              <w:ind w:left="12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w w:val="96"/>
              </w:rPr>
              <w:t>7. Title and Amount of</w:t>
            </w:r>
          </w:p>
        </w:tc>
        <w:tc>
          <w:tcPr>
            <w:tcW w:w="100" w:type="dxa"/>
            <w:vAlign w:val="bottom"/>
          </w:tcPr>
          <w:p>
            <w:pPr>
              <w:spacing w:after="0"/>
              <w:rPr>
                <w:sz w:val="13"/>
                <w:szCs w:val="13"/>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8. Price of</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8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5"/>
              </w:rPr>
              <w:t>Conversion</w:t>
            </w:r>
          </w:p>
        </w:tc>
        <w:tc>
          <w:tcPr>
            <w:tcW w:w="10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96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400" w:type="dxa"/>
            <w:vAlign w:val="bottom"/>
          </w:tcPr>
          <w:p>
            <w:pPr>
              <w:spacing w:after="0"/>
              <w:rPr>
                <w:sz w:val="10"/>
                <w:szCs w:val="10"/>
                <w:color w:val="auto"/>
              </w:rPr>
            </w:pPr>
          </w:p>
        </w:tc>
        <w:tc>
          <w:tcPr>
            <w:tcW w:w="120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w w:val="98"/>
              </w:rPr>
              <w:t>Securities Underlying</w:t>
            </w:r>
          </w:p>
        </w:tc>
        <w:tc>
          <w:tcPr>
            <w:tcW w:w="100" w:type="dxa"/>
            <w:vAlign w:val="bottom"/>
          </w:tcPr>
          <w:p>
            <w:pPr>
              <w:spacing w:after="0"/>
              <w:rPr>
                <w:sz w:val="10"/>
                <w:szCs w:val="10"/>
                <w:color w:val="auto"/>
              </w:rPr>
            </w:pPr>
          </w:p>
        </w:tc>
        <w:tc>
          <w:tcPr>
            <w:tcW w:w="580" w:type="dxa"/>
            <w:vAlign w:val="bottom"/>
            <w:gridSpan w:val="3"/>
          </w:tcPr>
          <w:p>
            <w:pPr>
              <w:jc w:val="center"/>
              <w:spacing w:after="0" w:line="117" w:lineRule="exact"/>
              <w:rPr>
                <w:sz w:val="20"/>
                <w:szCs w:val="20"/>
                <w:color w:val="auto"/>
              </w:rPr>
            </w:pPr>
            <w:r>
              <w:rPr>
                <w:rFonts w:ascii="Arial" w:cs="Arial" w:eastAsia="Arial" w:hAnsi="Arial"/>
                <w:sz w:val="11"/>
                <w:szCs w:val="11"/>
                <w:b w:val="1"/>
                <w:bCs w:val="1"/>
                <w:color w:val="auto"/>
                <w:w w:val="94"/>
              </w:rPr>
              <w:t>Derivative</w:t>
            </w: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Ownership</w:t>
            </w:r>
          </w:p>
        </w:tc>
        <w:tc>
          <w:tcPr>
            <w:tcW w:w="980" w:type="dxa"/>
            <w:vAlign w:val="bottom"/>
          </w:tcPr>
          <w:p>
            <w:pPr>
              <w:spacing w:after="0" w:line="117" w:lineRule="exact"/>
              <w:rPr>
                <w:sz w:val="20"/>
                <w:szCs w:val="20"/>
                <w:color w:val="auto"/>
              </w:rPr>
            </w:pPr>
            <w:r>
              <w:rPr>
                <w:rFonts w:ascii="Arial" w:cs="Arial" w:eastAsia="Arial" w:hAnsi="Arial"/>
                <w:sz w:val="11"/>
                <w:szCs w:val="11"/>
                <w:b w:val="1"/>
                <w:bCs w:val="1"/>
                <w:color w:val="auto"/>
              </w:rPr>
              <w:t>Indirect 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7"/>
              </w:rPr>
              <w:t>or Exercise</w:t>
            </w:r>
          </w:p>
        </w:tc>
        <w:tc>
          <w:tcPr>
            <w:tcW w:w="1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98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96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tcPr>
          <w:p>
            <w:pPr>
              <w:spacing w:after="0"/>
              <w:rPr>
                <w:sz w:val="10"/>
                <w:szCs w:val="10"/>
                <w:color w:val="auto"/>
              </w:rPr>
            </w:pPr>
          </w:p>
        </w:tc>
        <w:tc>
          <w:tcPr>
            <w:tcW w:w="10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6"/>
              </w:rPr>
              <w:t>Derivative Security</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jc w:val="right"/>
              <w:ind w:right="45"/>
              <w:spacing w:after="0" w:line="117"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Form:</w:t>
            </w:r>
          </w:p>
        </w:tc>
        <w:tc>
          <w:tcPr>
            <w:tcW w:w="980" w:type="dxa"/>
            <w:vAlign w:val="bottom"/>
          </w:tcPr>
          <w:p>
            <w:pPr>
              <w:spacing w:after="0" w:line="117" w:lineRule="exact"/>
              <w:rPr>
                <w:sz w:val="20"/>
                <w:szCs w:val="20"/>
                <w:color w:val="auto"/>
              </w:rPr>
            </w:pPr>
            <w:r>
              <w:rPr>
                <w:rFonts w:ascii="Arial" w:cs="Arial" w:eastAsia="Arial" w:hAnsi="Arial"/>
                <w:sz w:val="11"/>
                <w:szCs w:val="11"/>
                <w:b w:val="1"/>
                <w:bCs w:val="1"/>
                <w:color w:val="auto"/>
                <w:w w:val="92"/>
              </w:rPr>
              <w:t>Ownership (Instr.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jc w:val="right"/>
              <w:ind w:right="65"/>
              <w:spacing w:after="0" w:line="117"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Direct (D)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Disposed of (D)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or Indirect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ind w:left="120"/>
              <w:spacing w:after="0" w:line="117"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3"/>
          </w:tcPr>
          <w:p>
            <w:pPr>
              <w:ind w:left="120"/>
              <w:spacing w:after="0" w:line="117" w:lineRule="exact"/>
              <w:rPr>
                <w:sz w:val="20"/>
                <w:szCs w:val="20"/>
                <w:color w:val="auto"/>
              </w:rPr>
            </w:pPr>
            <w:r>
              <w:rPr>
                <w:rFonts w:ascii="Arial" w:cs="Arial" w:eastAsia="Arial" w:hAnsi="Arial"/>
                <w:sz w:val="11"/>
                <w:szCs w:val="11"/>
                <w:b w:val="1"/>
                <w:bCs w:val="1"/>
                <w:color w:val="auto"/>
                <w:w w:val="97"/>
              </w:rPr>
              <w:t>Amount or</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w w:val="97"/>
              </w:rPr>
              <w:t>Transaction(s)</w:t>
            </w: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0"/>
                <w:szCs w:val="10"/>
                <w:color w:val="auto"/>
              </w:rPr>
            </w:pPr>
          </w:p>
        </w:tc>
        <w:tc>
          <w:tcPr>
            <w:tcW w:w="6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680" w:type="dxa"/>
            <w:vAlign w:val="bottom"/>
            <w:gridSpan w:val="3"/>
          </w:tcPr>
          <w:p>
            <w:pPr>
              <w:ind w:left="120"/>
              <w:spacing w:after="0" w:line="117" w:lineRule="exact"/>
              <w:rPr>
                <w:sz w:val="20"/>
                <w:szCs w:val="20"/>
                <w:color w:val="auto"/>
              </w:rPr>
            </w:pPr>
            <w:r>
              <w:rPr>
                <w:rFonts w:ascii="Arial" w:cs="Arial" w:eastAsia="Arial" w:hAnsi="Arial"/>
                <w:sz w:val="11"/>
                <w:szCs w:val="11"/>
                <w:b w:val="1"/>
                <w:bCs w:val="1"/>
                <w:color w:val="auto"/>
                <w:w w:val="98"/>
              </w:rPr>
              <w:t>Number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720" w:type="dxa"/>
            <w:vAlign w:val="bottom"/>
            <w:gridSpan w:val="2"/>
          </w:tcPr>
          <w:p>
            <w:pPr>
              <w:ind w:left="2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1,148,482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4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Funded</w:t>
            </w:r>
          </w:p>
        </w:tc>
        <w:tc>
          <w:tcPr>
            <w:tcW w:w="620" w:type="dxa"/>
            <w:vAlign w:val="bottom"/>
          </w:tcPr>
          <w:p>
            <w:pPr>
              <w:jc w:val="center"/>
              <w:ind w:lef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0.0001</w:t>
            </w:r>
          </w:p>
        </w:tc>
        <w:tc>
          <w:tcPr>
            <w:tcW w:w="4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05/02/2025</w:t>
            </w:r>
          </w:p>
        </w:tc>
        <w:tc>
          <w:tcPr>
            <w:tcW w:w="980" w:type="dxa"/>
            <w:vAlign w:val="bottom"/>
          </w:tcPr>
          <w:p>
            <w:pPr>
              <w:spacing w:after="0"/>
              <w:rPr>
                <w:sz w:val="11"/>
                <w:szCs w:val="11"/>
                <w:color w:val="auto"/>
              </w:rPr>
            </w:pPr>
          </w:p>
        </w:tc>
        <w:tc>
          <w:tcPr>
            <w:tcW w:w="720" w:type="dxa"/>
            <w:vAlign w:val="bottom"/>
            <w:gridSpan w:val="4"/>
          </w:tcPr>
          <w:p>
            <w:pPr>
              <w:ind w:left="160"/>
              <w:spacing w:after="0" w:line="128" w:lineRule="exact"/>
              <w:rPr>
                <w:sz w:val="20"/>
                <w:szCs w:val="20"/>
                <w:color w:val="auto"/>
              </w:rPr>
            </w:pPr>
            <w:r>
              <w:rPr>
                <w:rFonts w:ascii="Times New Roman" w:cs="Times New Roman" w:eastAsia="Times New Roman" w:hAnsi="Times New Roman"/>
                <w:sz w:val="12"/>
                <w:szCs w:val="12"/>
                <w:color w:val="0000FF"/>
              </w:rPr>
              <w:t>P</w:t>
            </w:r>
          </w:p>
        </w:tc>
        <w:tc>
          <w:tcPr>
            <w:tcW w:w="9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2"/>
                <w:szCs w:val="12"/>
                <w:color w:val="0000FF"/>
              </w:rPr>
              <w:t>1,148,482</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center"/>
              <w:ind w:right="229"/>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1"/>
                <w:szCs w:val="11"/>
                <w:color w:val="auto"/>
              </w:rPr>
            </w:pPr>
          </w:p>
        </w:tc>
        <w:tc>
          <w:tcPr>
            <w:tcW w:w="400" w:type="dxa"/>
            <w:vAlign w:val="bottom"/>
          </w:tcPr>
          <w:p>
            <w:pPr>
              <w:jc w:val="center"/>
              <w:ind w:right="188"/>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center"/>
              <w:ind w:right="65"/>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2,431,763</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640" w:type="dxa"/>
            <w:vAlign w:val="bottom"/>
            <w:tcBorders>
              <w:bottom w:val="single" w:sz="8" w:color="2C2C2C"/>
            </w:tcBorders>
            <w:gridSpan w:val="3"/>
            <w:vMerge w:val="continue"/>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80" w:type="dxa"/>
            <w:vAlign w:val="bottom"/>
            <w:gridSpan w:val="3"/>
            <w:vMerge w:val="restart"/>
          </w:tcPr>
          <w:p>
            <w:pPr>
              <w:jc w:val="center"/>
              <w:ind w:left="74"/>
              <w:spacing w:after="0"/>
              <w:rPr>
                <w:sz w:val="20"/>
                <w:szCs w:val="20"/>
                <w:color w:val="auto"/>
              </w:rPr>
            </w:pPr>
            <w:r>
              <w:rPr>
                <w:rFonts w:ascii="Times New Roman" w:cs="Times New Roman" w:eastAsia="Times New Roman" w:hAnsi="Times New Roman"/>
                <w:sz w:val="15"/>
                <w:szCs w:val="15"/>
                <w:color w:val="0000FF"/>
              </w:rPr>
              <w:t>574,241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continue"/>
          </w:tcPr>
          <w:p>
            <w:pPr>
              <w:spacing w:after="0"/>
              <w:rPr>
                <w:sz w:val="6"/>
                <w:szCs w:val="6"/>
                <w:color w:val="auto"/>
              </w:rPr>
            </w:pPr>
          </w:p>
        </w:tc>
        <w:tc>
          <w:tcPr>
            <w:tcW w:w="620" w:type="dxa"/>
            <w:vAlign w:val="bottom"/>
            <w:vMerge w:val="restart"/>
          </w:tcPr>
          <w:p>
            <w:pPr>
              <w:jc w:val="center"/>
              <w:ind w:lef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0.45</w:t>
            </w:r>
          </w:p>
        </w:tc>
        <w:tc>
          <w:tcPr>
            <w:tcW w:w="40" w:type="dxa"/>
            <w:vAlign w:val="bottom"/>
          </w:tcPr>
          <w:p>
            <w:pPr>
              <w:spacing w:after="0"/>
              <w:rPr>
                <w:sz w:val="6"/>
                <w:szCs w:val="6"/>
                <w:color w:val="auto"/>
              </w:rPr>
            </w:pPr>
          </w:p>
        </w:tc>
        <w:tc>
          <w:tcPr>
            <w:tcW w:w="104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05/02/2025</w:t>
            </w:r>
          </w:p>
        </w:tc>
        <w:tc>
          <w:tcPr>
            <w:tcW w:w="9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2"/>
            <w:vMerge w:val="restart"/>
          </w:tcPr>
          <w:p>
            <w:pPr>
              <w:ind w:left="280"/>
              <w:spacing w:after="0" w:line="128" w:lineRule="exact"/>
              <w:rPr>
                <w:sz w:val="20"/>
                <w:szCs w:val="20"/>
                <w:color w:val="auto"/>
              </w:rPr>
            </w:pPr>
            <w:r>
              <w:rPr>
                <w:rFonts w:ascii="Times New Roman" w:cs="Times New Roman" w:eastAsia="Times New Roman" w:hAnsi="Times New Roman"/>
                <w:sz w:val="12"/>
                <w:szCs w:val="12"/>
                <w:color w:val="0000FF"/>
              </w:rPr>
              <w:t>574,241</w:t>
            </w:r>
          </w:p>
        </w:tc>
        <w:tc>
          <w:tcPr>
            <w:tcW w:w="700" w:type="dxa"/>
            <w:vAlign w:val="bottom"/>
            <w:gridSpan w:val="3"/>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12/13/2023</w:t>
            </w:r>
          </w:p>
        </w:tc>
        <w:tc>
          <w:tcPr>
            <w:tcW w:w="6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10/04/2025</w:t>
            </w:r>
          </w:p>
        </w:tc>
        <w:tc>
          <w:tcPr>
            <w:tcW w:w="520" w:type="dxa"/>
            <w:vAlign w:val="bottom"/>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740" w:type="dxa"/>
            <w:vAlign w:val="bottom"/>
            <w:vMerge w:val="restart"/>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vMerge w:val="continue"/>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80" w:type="dxa"/>
            <w:vAlign w:val="bottom"/>
            <w:gridSpan w:val="3"/>
            <w:vMerge w:val="restart"/>
          </w:tcPr>
          <w:p>
            <w:pPr>
              <w:jc w:val="center"/>
              <w:ind w:left="74"/>
              <w:spacing w:after="0"/>
              <w:rPr>
                <w:sz w:val="20"/>
                <w:szCs w:val="20"/>
                <w:color w:val="auto"/>
              </w:rPr>
            </w:pPr>
            <w:r>
              <w:rPr>
                <w:rFonts w:ascii="Times New Roman" w:cs="Times New Roman" w:eastAsia="Times New Roman" w:hAnsi="Times New Roman"/>
                <w:sz w:val="15"/>
                <w:szCs w:val="15"/>
                <w:color w:val="0000FF"/>
              </w:rPr>
              <w:t>574,241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continue"/>
          </w:tcPr>
          <w:p>
            <w:pPr>
              <w:spacing w:after="0"/>
              <w:rPr>
                <w:sz w:val="6"/>
                <w:szCs w:val="6"/>
                <w:color w:val="auto"/>
              </w:rPr>
            </w:pPr>
          </w:p>
        </w:tc>
        <w:tc>
          <w:tcPr>
            <w:tcW w:w="620" w:type="dxa"/>
            <w:vAlign w:val="bottom"/>
            <w:vMerge w:val="restart"/>
          </w:tcPr>
          <w:p>
            <w:pPr>
              <w:jc w:val="center"/>
              <w:ind w:lef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1.5</w:t>
            </w:r>
          </w:p>
        </w:tc>
        <w:tc>
          <w:tcPr>
            <w:tcW w:w="40" w:type="dxa"/>
            <w:vAlign w:val="bottom"/>
          </w:tcPr>
          <w:p>
            <w:pPr>
              <w:spacing w:after="0"/>
              <w:rPr>
                <w:sz w:val="6"/>
                <w:szCs w:val="6"/>
                <w:color w:val="auto"/>
              </w:rPr>
            </w:pPr>
          </w:p>
        </w:tc>
        <w:tc>
          <w:tcPr>
            <w:tcW w:w="104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05/02/2025</w:t>
            </w:r>
          </w:p>
        </w:tc>
        <w:tc>
          <w:tcPr>
            <w:tcW w:w="9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2"/>
            <w:vMerge w:val="restart"/>
          </w:tcPr>
          <w:p>
            <w:pPr>
              <w:ind w:left="280"/>
              <w:spacing w:after="0" w:line="128" w:lineRule="exact"/>
              <w:rPr>
                <w:sz w:val="20"/>
                <w:szCs w:val="20"/>
                <w:color w:val="auto"/>
              </w:rPr>
            </w:pPr>
            <w:r>
              <w:rPr>
                <w:rFonts w:ascii="Times New Roman" w:cs="Times New Roman" w:eastAsia="Times New Roman" w:hAnsi="Times New Roman"/>
                <w:sz w:val="12"/>
                <w:szCs w:val="12"/>
                <w:color w:val="0000FF"/>
              </w:rPr>
              <w:t>574,241</w:t>
            </w:r>
          </w:p>
        </w:tc>
        <w:tc>
          <w:tcPr>
            <w:tcW w:w="700" w:type="dxa"/>
            <w:vAlign w:val="bottom"/>
            <w:gridSpan w:val="3"/>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12/13/2023</w:t>
            </w:r>
          </w:p>
        </w:tc>
        <w:tc>
          <w:tcPr>
            <w:tcW w:w="6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12/13/2028</w:t>
            </w:r>
          </w:p>
        </w:tc>
        <w:tc>
          <w:tcPr>
            <w:tcW w:w="520" w:type="dxa"/>
            <w:vAlign w:val="bottom"/>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740" w:type="dxa"/>
            <w:vAlign w:val="bottom"/>
            <w:vMerge w:val="restart"/>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vMerge w:val="continue"/>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80" w:type="dxa"/>
            <w:vAlign w:val="bottom"/>
            <w:gridSpan w:val="3"/>
            <w:vMerge w:val="restart"/>
          </w:tcPr>
          <w:p>
            <w:pPr>
              <w:jc w:val="center"/>
              <w:ind w:left="74"/>
              <w:spacing w:after="0"/>
              <w:rPr>
                <w:sz w:val="20"/>
                <w:szCs w:val="20"/>
                <w:color w:val="auto"/>
              </w:rPr>
            </w:pPr>
            <w:r>
              <w:rPr>
                <w:rFonts w:ascii="Times New Roman" w:cs="Times New Roman" w:eastAsia="Times New Roman" w:hAnsi="Times New Roman"/>
                <w:sz w:val="15"/>
                <w:szCs w:val="15"/>
                <w:color w:val="0000FF"/>
              </w:rPr>
              <w:t>709,040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continue"/>
          </w:tcPr>
          <w:p>
            <w:pPr>
              <w:spacing w:after="0"/>
              <w:rPr>
                <w:sz w:val="6"/>
                <w:szCs w:val="6"/>
                <w:color w:val="auto"/>
              </w:rPr>
            </w:pPr>
          </w:p>
        </w:tc>
        <w:tc>
          <w:tcPr>
            <w:tcW w:w="620" w:type="dxa"/>
            <w:vAlign w:val="bottom"/>
            <w:vMerge w:val="restart"/>
          </w:tcPr>
          <w:p>
            <w:pPr>
              <w:jc w:val="center"/>
              <w:ind w:lef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0.27</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10/04/2024</w:t>
            </w:r>
          </w:p>
        </w:tc>
        <w:tc>
          <w:tcPr>
            <w:tcW w:w="6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10/04/2027</w:t>
            </w:r>
          </w:p>
        </w:tc>
        <w:tc>
          <w:tcPr>
            <w:tcW w:w="520" w:type="dxa"/>
            <w:vAlign w:val="bottom"/>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7"/>
              </w:rPr>
              <w:t>709,040</w:t>
            </w:r>
          </w:p>
        </w:tc>
        <w:tc>
          <w:tcPr>
            <w:tcW w:w="740" w:type="dxa"/>
            <w:vAlign w:val="bottom"/>
            <w:vMerge w:val="restart"/>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vMerge w:val="continue"/>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jc w:val="center"/>
              <w:ind w:lef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1.0685</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vMerge w:val="restart"/>
          </w:tcPr>
          <w:p>
            <w:pPr>
              <w:jc w:val="center"/>
              <w:ind w:right="229"/>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03/11/2029</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4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5"/>
                <w:szCs w:val="15"/>
                <w:color w:val="0000FF"/>
              </w:rPr>
              <w:t>12,775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w w:val="96"/>
              </w:rPr>
              <w:t>12,775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980" w:type="dxa"/>
            <w:vAlign w:val="bottom"/>
          </w:tcPr>
          <w:p>
            <w:pPr>
              <w:ind w:left="640"/>
              <w:spacing w:after="0"/>
              <w:rPr>
                <w:sz w:val="20"/>
                <w:szCs w:val="20"/>
                <w:color w:val="auto"/>
              </w:rPr>
            </w:pPr>
            <w:r>
              <w:rPr>
                <w:rFonts w:ascii="Times New Roman" w:cs="Times New Roman" w:eastAsia="Times New Roman" w:hAnsi="Times New Roman"/>
                <w:sz w:val="10"/>
                <w:szCs w:val="10"/>
                <w:color w:val="008000"/>
                <w:w w:val="91"/>
              </w:rPr>
              <w:t>(2)(3)(4)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tcPr>
          <w:p>
            <w:pPr>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0"/>
                <w:szCs w:val="10"/>
                <w:color w:val="008000"/>
              </w:rPr>
              <w:t>(6)(7)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jc w:val="center"/>
              <w:ind w:lef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10</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vMerge w:val="restart"/>
          </w:tcPr>
          <w:p>
            <w:pPr>
              <w:jc w:val="center"/>
              <w:ind w:right="229"/>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07/29/2031</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4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5"/>
                <w:szCs w:val="15"/>
                <w:color w:val="0000FF"/>
              </w:rPr>
              <w:t>10,500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w w:val="96"/>
              </w:rPr>
              <w:t>10,500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980" w:type="dxa"/>
            <w:vAlign w:val="bottom"/>
          </w:tcPr>
          <w:p>
            <w:pPr>
              <w:ind w:left="640"/>
              <w:spacing w:after="0"/>
              <w:rPr>
                <w:sz w:val="20"/>
                <w:szCs w:val="20"/>
                <w:color w:val="auto"/>
              </w:rPr>
            </w:pPr>
            <w:r>
              <w:rPr>
                <w:rFonts w:ascii="Times New Roman" w:cs="Times New Roman" w:eastAsia="Times New Roman" w:hAnsi="Times New Roman"/>
                <w:sz w:val="10"/>
                <w:szCs w:val="10"/>
                <w:color w:val="008000"/>
                <w:w w:val="91"/>
              </w:rPr>
              <w:t>(2)(3)(4)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tcPr>
          <w:p>
            <w:pPr>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0"/>
                <w:szCs w:val="10"/>
                <w:color w:val="008000"/>
              </w:rPr>
              <w:t>(6)(7)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-2981325</wp:posOffset>
            </wp:positionV>
            <wp:extent cx="27305" cy="2989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2989580"/>
                    </a:xfrm>
                    <a:prstGeom prst="rect">
                      <a:avLst/>
                    </a:prstGeom>
                    <a:noFill/>
                  </pic:spPr>
                </pic:pic>
              </a:graphicData>
            </a:graphic>
          </wp:anchor>
        </w:drawing>
      </w:r>
    </w:p>
    <w:p>
      <w:pPr>
        <w:sectPr>
          <w:pgSz w:w="11900" w:h="16899" w:orient="portrait"/>
          <w:cols w:equalWidth="0" w:num="1">
            <w:col w:w="11080"/>
          </w:cols>
          <w:pgMar w:left="460" w:top="21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275590</wp:posOffset>
            </wp:positionH>
            <wp:positionV relativeFrom="page">
              <wp:posOffset>88900</wp:posOffset>
            </wp:positionV>
            <wp:extent cx="7052310" cy="10522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52310" cy="1052258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0"/>
                <w:szCs w:val="10"/>
                <w:color w:val="auto"/>
              </w:rPr>
            </w:pP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spacing w:after="0" w:line="117" w:lineRule="exact"/>
              <w:rPr>
                <w:sz w:val="20"/>
                <w:szCs w:val="20"/>
                <w:color w:val="auto"/>
              </w:rPr>
            </w:pPr>
            <w:r>
              <w:rPr>
                <w:rFonts w:ascii="Arial" w:cs="Arial" w:eastAsia="Arial" w:hAnsi="Arial"/>
                <w:sz w:val="11"/>
                <w:szCs w:val="11"/>
                <w:b w:val="1"/>
                <w:bCs w:val="1"/>
                <w:color w:val="auto"/>
              </w:rPr>
              <w:t>Transaction</w:t>
            </w:r>
          </w:p>
        </w:tc>
        <w:tc>
          <w:tcPr>
            <w:tcW w:w="6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1440" w:type="dxa"/>
            <w:vAlign w:val="bottom"/>
            <w:gridSpan w:val="2"/>
          </w:tcPr>
          <w:p>
            <w:pPr>
              <w:ind w:left="140"/>
              <w:spacing w:after="0" w:line="117"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Ownership</w:t>
            </w: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line="117" w:lineRule="exact"/>
              <w:rPr>
                <w:sz w:val="20"/>
                <w:szCs w:val="20"/>
                <w:color w:val="auto"/>
              </w:rPr>
            </w:pPr>
            <w:r>
              <w:rPr>
                <w:rFonts w:ascii="Arial" w:cs="Arial" w:eastAsia="Arial" w:hAnsi="Arial"/>
                <w:sz w:val="11"/>
                <w:szCs w:val="11"/>
                <w:b w:val="1"/>
                <w:bCs w:val="1"/>
                <w:color w:val="auto"/>
              </w:rPr>
              <w:t>Code (Instr.</w:t>
            </w:r>
          </w:p>
        </w:tc>
        <w:tc>
          <w:tcPr>
            <w:tcW w:w="6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1440" w:type="dxa"/>
            <w:vAlign w:val="bottom"/>
            <w:gridSpan w:val="2"/>
          </w:tcPr>
          <w:p>
            <w:pPr>
              <w:ind w:left="140"/>
              <w:spacing w:after="0" w:line="117"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Form:</w:t>
            </w: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ind w:left="40"/>
              <w:spacing w:after="0" w:line="117"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17"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6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Direct (D)</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Owned</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or Indirect</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Following</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 (Instr. 4)</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restart"/>
          </w:tcPr>
          <w:p>
            <w:pPr>
              <w:ind w:left="80"/>
              <w:spacing w:after="0" w:line="117" w:lineRule="exact"/>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ind w:left="140"/>
              <w:spacing w:after="0" w:line="117"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(Instr. 4)</w:t>
            </w: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20" w:type="dxa"/>
            <w:vAlign w:val="bottom"/>
            <w:gridSpan w:val="3"/>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06/01/2032</w:t>
            </w: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ind w:right="98"/>
              <w:spacing w:after="0"/>
              <w:rPr>
                <w:sz w:val="20"/>
                <w:szCs w:val="20"/>
                <w:color w:val="auto"/>
              </w:rPr>
            </w:pPr>
            <w:r>
              <w:rPr>
                <w:rFonts w:ascii="Times New Roman" w:cs="Times New Roman" w:eastAsia="Times New Roman" w:hAnsi="Times New Roman"/>
                <w:sz w:val="15"/>
                <w:szCs w:val="15"/>
                <w:color w:val="0000FF"/>
              </w:rPr>
              <w:t>13,500</w:t>
            </w:r>
          </w:p>
        </w:tc>
        <w:tc>
          <w:tcPr>
            <w:tcW w:w="620" w:type="dxa"/>
            <w:vAlign w:val="bottom"/>
          </w:tcPr>
          <w:p>
            <w:pPr>
              <w:spacing w:after="0"/>
              <w:rPr>
                <w:sz w:val="14"/>
                <w:szCs w:val="14"/>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13,500</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1120" w:type="dxa"/>
            <w:vAlign w:val="bottom"/>
          </w:tcPr>
          <w:p>
            <w:pPr>
              <w:ind w:left="700"/>
              <w:spacing w:after="0"/>
              <w:rPr>
                <w:sz w:val="20"/>
                <w:szCs w:val="20"/>
                <w:color w:val="auto"/>
              </w:rPr>
            </w:pPr>
            <w:r>
              <w:rPr>
                <w:rFonts w:ascii="Times New Roman" w:cs="Times New Roman" w:eastAsia="Times New Roman" w:hAnsi="Times New Roman"/>
                <w:sz w:val="10"/>
                <w:szCs w:val="10"/>
                <w:color w:val="008000"/>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40" w:type="dxa"/>
            <w:vAlign w:val="bottom"/>
            <w:gridSpan w:val="2"/>
          </w:tcPr>
          <w:p>
            <w:pPr>
              <w:ind w:left="60"/>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06/15/2033</w:t>
            </w: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ind w:right="98"/>
              <w:spacing w:after="0"/>
              <w:rPr>
                <w:sz w:val="20"/>
                <w:szCs w:val="20"/>
                <w:color w:val="auto"/>
              </w:rPr>
            </w:pPr>
            <w:r>
              <w:rPr>
                <w:rFonts w:ascii="Times New Roman" w:cs="Times New Roman" w:eastAsia="Times New Roman" w:hAnsi="Times New Roman"/>
                <w:sz w:val="15"/>
                <w:szCs w:val="15"/>
                <w:color w:val="0000FF"/>
              </w:rPr>
              <w:t>85,000</w:t>
            </w:r>
          </w:p>
        </w:tc>
        <w:tc>
          <w:tcPr>
            <w:tcW w:w="620" w:type="dxa"/>
            <w:vAlign w:val="bottom"/>
          </w:tcPr>
          <w:p>
            <w:pPr>
              <w:spacing w:after="0"/>
              <w:rPr>
                <w:sz w:val="14"/>
                <w:szCs w:val="14"/>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85,000</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1120" w:type="dxa"/>
            <w:vAlign w:val="bottom"/>
          </w:tcPr>
          <w:p>
            <w:pPr>
              <w:ind w:left="700"/>
              <w:spacing w:after="0"/>
              <w:rPr>
                <w:sz w:val="20"/>
                <w:szCs w:val="20"/>
                <w:color w:val="auto"/>
              </w:rPr>
            </w:pPr>
            <w:r>
              <w:rPr>
                <w:rFonts w:ascii="Times New Roman" w:cs="Times New Roman" w:eastAsia="Times New Roman" w:hAnsi="Times New Roman"/>
                <w:sz w:val="10"/>
                <w:szCs w:val="10"/>
                <w:color w:val="008000"/>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40" w:type="dxa"/>
            <w:vAlign w:val="bottom"/>
            <w:gridSpan w:val="2"/>
          </w:tcPr>
          <w:p>
            <w:pPr>
              <w:ind w:left="60"/>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340" w:type="dxa"/>
            <w:vAlign w:val="bottom"/>
            <w:gridSpan w:val="10"/>
          </w:tcPr>
          <w:p>
            <w:pPr>
              <w:ind w:left="60"/>
              <w:spacing w:after="0" w:line="206" w:lineRule="exact"/>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1240" w:type="dxa"/>
            <w:vAlign w:val="bottom"/>
            <w:gridSpan w:val="4"/>
          </w:tcPr>
          <w:p>
            <w:pPr>
              <w:spacing w:after="0" w:line="19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Kreis Leslie W.</w:t>
              </w:r>
            </w:hyperlink>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6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58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40" w:type="dxa"/>
            <w:vAlign w:val="bottom"/>
            <w:gridSpan w:val="10"/>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40" w:type="dxa"/>
            <w:vAlign w:val="bottom"/>
            <w:gridSpan w:val="9"/>
          </w:tcPr>
          <w:p>
            <w:pPr>
              <w:spacing w:after="0" w:line="199"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BIOS Fund III, LP</w:t>
              </w:r>
            </w:hyperlink>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6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58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26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40" w:type="dxa"/>
            <w:vAlign w:val="bottom"/>
            <w:gridSpan w:val="10"/>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40" w:type="dxa"/>
            <w:vAlign w:val="bottom"/>
            <w:gridSpan w:val="9"/>
          </w:tcPr>
          <w:p>
            <w:pPr>
              <w:spacing w:after="0" w:line="199"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BIOS Fund III QP, LP</w:t>
              </w:r>
            </w:hyperlink>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280" w:type="dxa"/>
            <w:vAlign w:val="bottom"/>
            <w:tcBorders>
              <w:top w:val="single" w:sz="8" w:color="0000EE"/>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6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58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26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40" w:type="dxa"/>
            <w:vAlign w:val="bottom"/>
            <w:gridSpan w:val="10"/>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40" w:type="dxa"/>
            <w:vAlign w:val="bottom"/>
            <w:gridSpan w:val="9"/>
          </w:tcPr>
          <w:p>
            <w:pPr>
              <w:spacing w:after="0" w:line="199"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BIOS Fund III NT, LP</w:t>
              </w:r>
            </w:hyperlink>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280" w:type="dxa"/>
            <w:vAlign w:val="bottom"/>
            <w:tcBorders>
              <w:top w:val="single" w:sz="8" w:color="0000EE"/>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6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58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26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40" w:type="dxa"/>
            <w:vAlign w:val="bottom"/>
            <w:gridSpan w:val="10"/>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40" w:type="dxa"/>
            <w:vAlign w:val="bottom"/>
            <w:gridSpan w:val="9"/>
          </w:tcPr>
          <w:p>
            <w:pPr>
              <w:spacing w:after="0" w:line="199"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Bios Equity Partners II, LP</w:t>
              </w:r>
            </w:hyperlink>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280" w:type="dxa"/>
            <w:vAlign w:val="bottom"/>
            <w:tcBorders>
              <w:top w:val="single" w:sz="8" w:color="0000EE"/>
              <w:bottom w:val="single" w:sz="8" w:color="9A9A9A"/>
            </w:tcBorders>
          </w:tcPr>
          <w:p>
            <w:pPr>
              <w:spacing w:after="0"/>
              <w:rPr>
                <w:sz w:val="12"/>
                <w:szCs w:val="12"/>
                <w:color w:val="auto"/>
              </w:rPr>
            </w:pPr>
          </w:p>
        </w:tc>
        <w:tc>
          <w:tcPr>
            <w:tcW w:w="360" w:type="dxa"/>
            <w:vAlign w:val="bottom"/>
            <w:tcBorders>
              <w:top w:val="single" w:sz="8" w:color="0000EE"/>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6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58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26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40" w:type="dxa"/>
            <w:vAlign w:val="bottom"/>
            <w:gridSpan w:val="10"/>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40" w:type="dxa"/>
            <w:vAlign w:val="bottom"/>
            <w:gridSpan w:val="9"/>
          </w:tcPr>
          <w:p>
            <w:pPr>
              <w:spacing w:after="0" w:line="199"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BIOS Equity Partners III, LP</w:t>
              </w:r>
            </w:hyperlink>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280" w:type="dxa"/>
            <w:vAlign w:val="bottom"/>
            <w:tcBorders>
              <w:top w:val="single" w:sz="8" w:color="0000EE"/>
              <w:bottom w:val="single" w:sz="8" w:color="9A9A9A"/>
            </w:tcBorders>
          </w:tcPr>
          <w:p>
            <w:pPr>
              <w:spacing w:after="0"/>
              <w:rPr>
                <w:sz w:val="12"/>
                <w:szCs w:val="12"/>
                <w:color w:val="auto"/>
              </w:rPr>
            </w:pPr>
          </w:p>
        </w:tc>
        <w:tc>
          <w:tcPr>
            <w:tcW w:w="360" w:type="dxa"/>
            <w:vAlign w:val="bottom"/>
            <w:tcBorders>
              <w:top w:val="single" w:sz="8" w:color="0000EE"/>
              <w:bottom w:val="single" w:sz="8" w:color="9A9A9A"/>
            </w:tcBorders>
          </w:tcPr>
          <w:p>
            <w:pPr>
              <w:spacing w:after="0"/>
              <w:rPr>
                <w:sz w:val="12"/>
                <w:szCs w:val="12"/>
                <w:color w:val="auto"/>
              </w:rPr>
            </w:pPr>
          </w:p>
        </w:tc>
        <w:tc>
          <w:tcPr>
            <w:tcW w:w="140" w:type="dxa"/>
            <w:vAlign w:val="bottom"/>
            <w:tcBorders>
              <w:top w:val="single" w:sz="8" w:color="0000EE"/>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4"/>
          </w:tcPr>
          <w:p>
            <w:pPr>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BIOS EQUITY PARTNERS</w:t>
      </w:r>
    </w:p>
    <w:p>
      <w:pPr>
        <w:spacing w:after="0" w:line="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1751 RIVER RUN SUITE 400</w:t>
      </w:r>
    </w:p>
    <w:p>
      <w:pPr>
        <w:sectPr>
          <w:pgSz w:w="11900" w:h="16838" w:orient="portrait"/>
          <w:cols w:equalWidth="0" w:num="1">
            <w:col w:w="11080"/>
          </w:cols>
          <w:pgMar w:left="460" w:top="187" w:right="35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62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1340" w:type="dxa"/>
            <w:vAlign w:val="bottom"/>
            <w:gridSpan w:val="3"/>
          </w:tcPr>
          <w:p>
            <w:pPr>
              <w:spacing w:after="0" w:line="199"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BP Directors, LP</w:t>
              </w:r>
            </w:hyperlink>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top w:val="single" w:sz="8" w:color="0000EE"/>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20" w:type="dxa"/>
            <w:vAlign w:val="bottom"/>
            <w:gridSpan w:val="2"/>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5"/>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80" w:type="dxa"/>
            <w:vAlign w:val="bottom"/>
            <w:tcBorders>
              <w:bottom w:val="single" w:sz="8" w:color="9A9A9A"/>
            </w:tcBorders>
            <w:gridSpan w:val="2"/>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38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62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20" w:type="dxa"/>
            <w:vAlign w:val="bottom"/>
            <w:gridSpan w:val="7"/>
          </w:tcPr>
          <w:p>
            <w:pPr>
              <w:spacing w:after="0" w:line="199" w:lineRule="exact"/>
              <w:rPr>
                <w:rFonts w:ascii="Times New Roman" w:cs="Times New Roman" w:eastAsia="Times New Roman" w:hAnsi="Times New Roman"/>
                <w:sz w:val="19"/>
                <w:szCs w:val="19"/>
                <w:color w:val="0000EE"/>
              </w:rPr>
            </w:pPr>
            <w:hyperlink r:id="rId23">
              <w:r>
                <w:rPr>
                  <w:rFonts w:ascii="Times New Roman" w:cs="Times New Roman" w:eastAsia="Times New Roman" w:hAnsi="Times New Roman"/>
                  <w:sz w:val="19"/>
                  <w:szCs w:val="19"/>
                  <w:color w:val="0000EE"/>
                </w:rPr>
                <w:t>Bios Equity Partners,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top w:val="single" w:sz="8" w:color="0000EE"/>
              <w:bottom w:val="single" w:sz="8" w:color="9A9A9A"/>
            </w:tcBorders>
          </w:tcPr>
          <w:p>
            <w:pPr>
              <w:spacing w:after="0"/>
              <w:rPr>
                <w:sz w:val="12"/>
                <w:szCs w:val="12"/>
                <w:color w:val="auto"/>
              </w:rPr>
            </w:pPr>
          </w:p>
        </w:tc>
        <w:tc>
          <w:tcPr>
            <w:tcW w:w="60" w:type="dxa"/>
            <w:vAlign w:val="bottom"/>
            <w:tcBorders>
              <w:top w:val="single" w:sz="8" w:color="0000EE"/>
              <w:bottom w:val="single" w:sz="8" w:color="9A9A9A"/>
            </w:tcBorders>
          </w:tcPr>
          <w:p>
            <w:pPr>
              <w:spacing w:after="0"/>
              <w:rPr>
                <w:sz w:val="12"/>
                <w:szCs w:val="12"/>
                <w:color w:val="auto"/>
              </w:rPr>
            </w:pPr>
          </w:p>
        </w:tc>
        <w:tc>
          <w:tcPr>
            <w:tcW w:w="22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20" w:type="dxa"/>
            <w:vAlign w:val="bottom"/>
            <w:gridSpan w:val="2"/>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5"/>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80" w:type="dxa"/>
            <w:vAlign w:val="bottom"/>
            <w:tcBorders>
              <w:bottom w:val="single" w:sz="8" w:color="9A9A9A"/>
            </w:tcBorders>
            <w:gridSpan w:val="2"/>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38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62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20" w:type="dxa"/>
            <w:vAlign w:val="bottom"/>
            <w:gridSpan w:val="7"/>
          </w:tcPr>
          <w:p>
            <w:pPr>
              <w:spacing w:after="0" w:line="199" w:lineRule="exact"/>
              <w:rPr>
                <w:rFonts w:ascii="Times New Roman" w:cs="Times New Roman" w:eastAsia="Times New Roman" w:hAnsi="Times New Roman"/>
                <w:sz w:val="19"/>
                <w:szCs w:val="19"/>
                <w:color w:val="0000EE"/>
              </w:rPr>
            </w:pPr>
            <w:hyperlink r:id="rId24">
              <w:r>
                <w:rPr>
                  <w:rFonts w:ascii="Times New Roman" w:cs="Times New Roman" w:eastAsia="Times New Roman" w:hAnsi="Times New Roman"/>
                  <w:sz w:val="19"/>
                  <w:szCs w:val="19"/>
                  <w:color w:val="0000EE"/>
                </w:rPr>
                <w:t>Cavu Management,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top w:val="single" w:sz="8" w:color="0000EE"/>
              <w:bottom w:val="single" w:sz="8" w:color="9A9A9A"/>
            </w:tcBorders>
          </w:tcPr>
          <w:p>
            <w:pPr>
              <w:spacing w:after="0"/>
              <w:rPr>
                <w:sz w:val="12"/>
                <w:szCs w:val="12"/>
                <w:color w:val="auto"/>
              </w:rPr>
            </w:pPr>
          </w:p>
        </w:tc>
        <w:tc>
          <w:tcPr>
            <w:tcW w:w="60" w:type="dxa"/>
            <w:vAlign w:val="bottom"/>
            <w:tcBorders>
              <w:top w:val="single" w:sz="8" w:color="0000EE"/>
              <w:bottom w:val="single" w:sz="8" w:color="9A9A9A"/>
            </w:tcBorders>
          </w:tcPr>
          <w:p>
            <w:pPr>
              <w:spacing w:after="0"/>
              <w:rPr>
                <w:sz w:val="12"/>
                <w:szCs w:val="12"/>
                <w:color w:val="auto"/>
              </w:rPr>
            </w:pPr>
          </w:p>
        </w:tc>
        <w:tc>
          <w:tcPr>
            <w:tcW w:w="22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20" w:type="dxa"/>
            <w:vAlign w:val="bottom"/>
            <w:gridSpan w:val="2"/>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5"/>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80" w:type="dxa"/>
            <w:vAlign w:val="bottom"/>
            <w:tcBorders>
              <w:bottom w:val="single" w:sz="8" w:color="9A9A9A"/>
            </w:tcBorders>
            <w:gridSpan w:val="2"/>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38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62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20" w:type="dxa"/>
            <w:vAlign w:val="bottom"/>
            <w:gridSpan w:val="7"/>
          </w:tcPr>
          <w:p>
            <w:pPr>
              <w:spacing w:after="0" w:line="199" w:lineRule="exact"/>
              <w:rPr>
                <w:rFonts w:ascii="Times New Roman" w:cs="Times New Roman" w:eastAsia="Times New Roman" w:hAnsi="Times New Roman"/>
                <w:sz w:val="19"/>
                <w:szCs w:val="19"/>
                <w:color w:val="0000EE"/>
              </w:rPr>
            </w:pPr>
            <w:hyperlink r:id="rId25">
              <w:r>
                <w:rPr>
                  <w:rFonts w:ascii="Times New Roman" w:cs="Times New Roman" w:eastAsia="Times New Roman" w:hAnsi="Times New Roman"/>
                  <w:sz w:val="19"/>
                  <w:szCs w:val="19"/>
                  <w:color w:val="0000EE"/>
                </w:rPr>
                <w:t>Cavu Advisors, LLC</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top w:val="single" w:sz="8" w:color="0000EE"/>
              <w:bottom w:val="single" w:sz="8" w:color="9A9A9A"/>
            </w:tcBorders>
          </w:tcPr>
          <w:p>
            <w:pPr>
              <w:spacing w:after="0"/>
              <w:rPr>
                <w:sz w:val="12"/>
                <w:szCs w:val="12"/>
                <w:color w:val="auto"/>
              </w:rPr>
            </w:pPr>
          </w:p>
        </w:tc>
        <w:tc>
          <w:tcPr>
            <w:tcW w:w="60" w:type="dxa"/>
            <w:vAlign w:val="bottom"/>
            <w:tcBorders>
              <w:top w:val="single" w:sz="8" w:color="0000EE"/>
              <w:bottom w:val="single" w:sz="8" w:color="9A9A9A"/>
            </w:tcBorders>
          </w:tcPr>
          <w:p>
            <w:pPr>
              <w:spacing w:after="0"/>
              <w:rPr>
                <w:sz w:val="12"/>
                <w:szCs w:val="12"/>
                <w:color w:val="auto"/>
              </w:rPr>
            </w:pPr>
          </w:p>
        </w:tc>
        <w:tc>
          <w:tcPr>
            <w:tcW w:w="220" w:type="dxa"/>
            <w:vAlign w:val="bottom"/>
            <w:tcBorders>
              <w:top w:val="single" w:sz="8" w:color="0000EE"/>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20" w:type="dxa"/>
            <w:vAlign w:val="bottom"/>
            <w:gridSpan w:val="2"/>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5"/>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80" w:type="dxa"/>
            <w:vAlign w:val="bottom"/>
            <w:tcBorders>
              <w:bottom w:val="single" w:sz="8" w:color="9A9A9A"/>
            </w:tcBorders>
            <w:gridSpan w:val="2"/>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-6771640</wp:posOffset>
            </wp:positionV>
            <wp:extent cx="2816225" cy="6844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16225" cy="684403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0"/>
          <w:szCs w:val="20"/>
          <w:color w:val="auto"/>
        </w:rPr>
      </w:pPr>
    </w:p>
    <w:p>
      <w:pPr>
        <w:jc w:val="both"/>
        <w:ind w:left="20" w:right="100" w:firstLine="9"/>
        <w:spacing w:after="0" w:line="259" w:lineRule="auto"/>
        <w:tabs>
          <w:tab w:leader="none" w:pos="137"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a Warrant Exchange Agreement (the "Warrant Exchange Agreement"), dated as of April 26, 2025, between In8bio, Inc. (the "Issuer") and Bios Clinical Opportunity Fund, LP ("Bios COF"), Bios COF purchased from the Issuer in a private placement 1,148,482 pre-funded warrants (the "Pre-Funded Warrants") to purchase one share of Common Stock in exchange for the surrender by Bios COF for cancellation of (i) 574,241 Series A Warrants to purchase one share of Common Stock, (ii) 574,241 Series B Warrants to purchase one share of Common Stock and (iii) payment to the Issuer of $204,774.34 in cash. The closing of the transactions contemplated by the Warrant Exchange Agreement occurred on May 2, 2025 . The Pre-Funded Warrants have an exercise price of $0.0001 per share, will be exercisable immediately and will be exercisable until the Pre-Funded Warrant is exercised in full.</w:t>
      </w:r>
    </w:p>
    <w:p>
      <w:pPr>
        <w:spacing w:after="0" w:line="16" w:lineRule="exact"/>
        <w:rPr>
          <w:rFonts w:ascii="Times New Roman" w:cs="Times New Roman" w:eastAsia="Times New Roman" w:hAnsi="Times New Roman"/>
          <w:sz w:val="11"/>
          <w:szCs w:val="11"/>
          <w:color w:val="008000"/>
        </w:rPr>
      </w:pPr>
    </w:p>
    <w:p>
      <w:pPr>
        <w:ind w:left="20" w:right="120" w:firstLine="9"/>
        <w:spacing w:after="0" w:line="233"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Equity Partners, LP ("Bios Equity I") is the general partner of BP Directors, LP ("Bios Directors"). Bios Equity Partners II, LP ("Bios Equity II") is the general partner of the following entities: Bios Fund II, LP ("Bios Fund II"), Bios Fund II QP, LP ("Bios Fund II QP"), Bios Fund II NT, LP ("Bios Fund II NT") and BIOS Incysus Co-Invest I, LP ("BIOS Incysus"). Bios Equity Partners III, LP ("Bios Equity III") is the general partner of the following entities: Bios Fund III, LP ("Bios Fund III"), Bios Fund III QP, LP ("Bios Fund III QP") and Bios Fund III NT, LP ("Bios Fund III NT"). Bios Capital Management, LP ("Bios Management") and Cavu Management, LP ("Cavu Management") are the general partners of Bios Equity II and Bios Equity III.</w:t>
      </w:r>
    </w:p>
    <w:p>
      <w:pPr>
        <w:spacing w:after="0" w:line="26" w:lineRule="exact"/>
        <w:rPr>
          <w:rFonts w:ascii="Times New Roman" w:cs="Times New Roman" w:eastAsia="Times New Roman" w:hAnsi="Times New Roman"/>
          <w:sz w:val="12"/>
          <w:szCs w:val="12"/>
          <w:color w:val="008000"/>
        </w:rPr>
      </w:pPr>
    </w:p>
    <w:p>
      <w:pPr>
        <w:ind w:left="20" w:firstLine="9"/>
        <w:spacing w:after="0" w:line="233"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Advisors GP, LLC ("Bios Advisors") is the general partner of Bios Management. Cavu Advisors LLC ("Cavu Advisors") is the general partner of Cavu Management. Bios Management and Bios Advisors are entities managed and controlled by Aaron G.L. Fletcher. Cavu Management and Cavu Advisors are entities managed and controlled by Leslie W. Kreis, Jr. Mr. Fletcher, Bios Management, Bios Advisors, Mr. Kreis, Cavu Management and Cavu Advisors each share voting and investment control with respect to the shares held by Bios Directors, Bios Fund II, Bios Fund II QP, Bios Fund II NT, BIOS Incysus, Bios Fund III, Bios Fund III QP and Bios Fund III NT (collectively, the "Bios Equity Entities").</w:t>
      </w:r>
    </w:p>
    <w:p>
      <w:pPr>
        <w:spacing w:after="0" w:line="26" w:lineRule="exact"/>
        <w:rPr>
          <w:rFonts w:ascii="Times New Roman" w:cs="Times New Roman" w:eastAsia="Times New Roman" w:hAnsi="Times New Roman"/>
          <w:sz w:val="12"/>
          <w:szCs w:val="12"/>
          <w:color w:val="008000"/>
        </w:rPr>
      </w:pPr>
    </w:p>
    <w:p>
      <w:pPr>
        <w:ind w:left="20" w:right="220" w:firstLine="9"/>
        <w:spacing w:after="0" w:line="24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 between Mr. Fletcher, Bios Management, Bios Advisors, Mr. Kreis, Cavu Management, Cavu Advisors and the Bios Equity Entities, Mr. Fletcher, Bios Management, Bios Advisors, Mr. Kreis, Cavu Management and Cavu Advisors each may be deemed to beneficially own the shares held directly by the Bios Equity Entities.</w:t>
      </w:r>
    </w:p>
    <w:p>
      <w:pPr>
        <w:spacing w:after="0" w:line="22" w:lineRule="exact"/>
        <w:rPr>
          <w:rFonts w:ascii="Times New Roman" w:cs="Times New Roman" w:eastAsia="Times New Roman" w:hAnsi="Times New Roman"/>
          <w:sz w:val="12"/>
          <w:szCs w:val="12"/>
          <w:color w:val="008000"/>
        </w:rPr>
      </w:pPr>
    </w:p>
    <w:p>
      <w:pPr>
        <w:jc w:val="both"/>
        <w:ind w:left="20" w:right="220" w:firstLine="9"/>
        <w:spacing w:after="0" w:line="236"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Equity COF, LP ("Bios Equity COF") is the general partner of Bios COF. Bios Management is the general partner of Bios Equity COF. Bios Advisors is the general partner of Bios Management. Bios Management and are entities managed and controlled by Mr. Fletcher. Mr. Fletcher, Bios Management and Bios Advisors each share voting and investment control with respect to the shares held by Bios COF. Because of the relationship between Mr. Fletcher, Bios Management, Bios Advisors and Bios Equity COF, Mr. Fletcher, Bios Management and Bios Advisors may be deemed to beneficially own the securities held directly by Bios COF.</w:t>
      </w:r>
    </w:p>
    <w:p>
      <w:pPr>
        <w:spacing w:after="0" w:line="26" w:lineRule="exact"/>
        <w:rPr>
          <w:rFonts w:ascii="Times New Roman" w:cs="Times New Roman" w:eastAsia="Times New Roman" w:hAnsi="Times New Roman"/>
          <w:sz w:val="12"/>
          <w:szCs w:val="12"/>
          <w:color w:val="008000"/>
        </w:rPr>
      </w:pPr>
    </w:p>
    <w:p>
      <w:pPr>
        <w:ind w:left="20" w:right="40" w:firstLine="9"/>
        <w:spacing w:after="0" w:line="24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p>
      <w:pPr>
        <w:spacing w:after="0" w:line="22" w:lineRule="exact"/>
        <w:rPr>
          <w:rFonts w:ascii="Times New Roman" w:cs="Times New Roman" w:eastAsia="Times New Roman" w:hAnsi="Times New Roman"/>
          <w:sz w:val="12"/>
          <w:szCs w:val="12"/>
          <w:color w:val="008000"/>
        </w:rPr>
      </w:pPr>
    </w:p>
    <w:p>
      <w:pPr>
        <w:ind w:left="20" w:right="20" w:firstLine="9"/>
        <w:spacing w:after="0" w:line="24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options granted in consideration for Travis Whitfill's services as director of the Issuer while affiliated with the reporting persons. Mr. Whitfill has agreed that he will hold any equity based awards granted to Mr. Whitfill in connection with his services as a director of the Issuer while affiliated with the reporting persons merely as a nominee for Bios Directors. Mr. Whitfill is not currently an affiliate of any of the reporting persons.</w:t>
      </w:r>
    </w:p>
    <w:p>
      <w:pPr>
        <w:spacing w:after="0" w:line="22"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All of the shares subject to the reported options have fully vested.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50" w:lineRule="exact"/>
        <w:rPr>
          <w:sz w:val="20"/>
          <w:szCs w:val="20"/>
          <w:color w:val="auto"/>
        </w:rPr>
      </w:pPr>
    </w:p>
    <w:p>
      <w:pPr>
        <w:jc w:val="both"/>
        <w:ind w:left="20"/>
        <w:spacing w:after="0" w:line="289" w:lineRule="auto"/>
        <w:rPr>
          <w:sz w:val="20"/>
          <w:szCs w:val="20"/>
          <w:color w:val="auto"/>
        </w:rPr>
      </w:pPr>
      <w:r>
        <w:rPr>
          <w:rFonts w:ascii="Times New Roman" w:cs="Times New Roman" w:eastAsia="Times New Roman" w:hAnsi="Times New Roman"/>
          <w:sz w:val="11"/>
          <w:szCs w:val="11"/>
          <w:color w:val="008000"/>
        </w:rPr>
        <w:t>This Form 4 has been split into two filings because there are more than 10 reporting persons in total, and the SEC's EDGAR filing system limits a single Form 4 to a maximum of 10 reporting persons. The other Form 4 relating to the same event is being filed by Mr. Kreis as the designated filer. As the result of the transactions reported herein, together with other transactions by the Issuer, the reporting persons are no longer subject to Section 16 as of May 2, 2025.</w:t>
      </w:r>
    </w:p>
    <w:p>
      <w:pPr>
        <w:sectPr>
          <w:pgSz w:w="11900" w:h="16838" w:orient="portrait"/>
          <w:cols w:equalWidth="0" w:num="1">
            <w:col w:w="10940"/>
          </w:cols>
          <w:pgMar w:left="460" w:top="128" w:right="499" w:bottom="0" w:gutter="0" w:footer="0" w:header="0"/>
        </w:sectPr>
      </w:pPr>
    </w:p>
    <w:p>
      <w:pPr>
        <w:spacing w:after="0" w:line="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Leslie W. Kreis, Jr.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-5080</wp:posOffset>
            </wp:positionV>
            <wp:extent cx="12992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Schwarz,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0877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Bios Fund III, LP By: Bios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-5080</wp:posOffset>
            </wp:positionV>
            <wp:extent cx="13303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3032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Partners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3347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347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By: Bios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3487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487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its general partner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0636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63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Advisors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165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658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partner 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3214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6013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6013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ectPr>
          <w:pgSz w:w="11900" w:h="16838" w:orient="portrait"/>
          <w:cols w:equalWidth="0" w:num="2">
            <w:col w:w="8720" w:space="80"/>
            <w:col w:w="2140"/>
          </w:cols>
          <w:pgMar w:left="460" w:top="128" w:right="499" w:bottom="0" w:gutter="0" w:footer="0" w:header="0"/>
          <w:type w:val="continuous"/>
        </w:sectPr>
      </w:pPr>
    </w:p>
    <w:bookmarkStart w:id="3" w:name="page4"/>
    <w:bookmarkEnd w:id="3"/>
    <w:p>
      <w:pPr>
        <w:ind w:left="6580"/>
        <w:spacing w:after="0"/>
        <w:rPr>
          <w:sz w:val="20"/>
          <w:szCs w:val="20"/>
          <w:color w:val="auto"/>
        </w:rPr>
      </w:pPr>
      <w:r>
        <w:rPr>
          <w:rFonts w:ascii="Times New Roman" w:cs="Times New Roman" w:eastAsia="Times New Roman" w:hAnsi="Times New Roman"/>
          <w:sz w:val="15"/>
          <w:szCs w:val="15"/>
          <w:color w:val="0000FF"/>
        </w:rPr>
        <w:t>Bios Fund III QP,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1855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Equity Partners III,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188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94297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4297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042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741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090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249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Fund III NT,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1944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9443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Equity Partners III,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188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9429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94297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042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741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090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2491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Equity Partners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2147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Cavu 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322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Cavu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947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its general partner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598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Schwarz,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0877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Equity Partners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2465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Cavu 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322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Cavu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947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its general partner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598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Schwarz,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0877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BP Directors, LP By: Bios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31127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1127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Partners,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141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By: 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8745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874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9753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7536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Advisors,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2715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02362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236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60134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0134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Equity Partners, LP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3544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5445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0426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Cavu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9476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its general partner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598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Schwarz,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0877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Cavu Management, LP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28714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Advisors,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271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0236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236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60134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0134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Cavu 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0883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8839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2491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700" w:space="80"/>
            <w:col w:w="1199"/>
          </w:cols>
          <w:pgMar w:left="480" w:top="128" w:right="1440" w:bottom="1440" w:gutter="0" w:footer="0" w:header="0"/>
        </w:sectPr>
      </w:pPr>
    </w:p>
    <w:p>
      <w:pPr>
        <w:jc w:val="right"/>
        <w:ind w:right="959"/>
        <w:spacing w:after="0"/>
        <w:tabs>
          <w:tab w:leader="none" w:pos="22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right="3199" w:firstLine="9"/>
        <w:spacing w:after="0" w:line="331" w:lineRule="auto"/>
        <w:tabs>
          <w:tab w:leader="none" w:pos="12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13" Type="http://schemas.openxmlformats.org/officeDocument/2006/relationships/hyperlink" Target="http://www.sec.gov/cgi-bin/browse-edgar?action=getcompany&amp;CIK=0001813316" TargetMode="External"/><Relationship Id="rId14" Type="http://schemas.openxmlformats.org/officeDocument/2006/relationships/hyperlink" Target="http://www.sec.gov/cgi-bin/browse-edgar?action=getcompany&amp;CIK=0001740279" TargetMode="External"/><Relationship Id="rId17" Type="http://schemas.openxmlformats.org/officeDocument/2006/relationships/hyperlink" Target="http://www.sec.gov/cgi-bin/browse-edgar?action=getcompany&amp;CIK=0001791917" TargetMode="External"/><Relationship Id="rId18" Type="http://schemas.openxmlformats.org/officeDocument/2006/relationships/hyperlink" Target="http://www.sec.gov/cgi-bin/browse-edgar?action=getcompany&amp;CIK=0001791916" TargetMode="External"/><Relationship Id="rId19" Type="http://schemas.openxmlformats.org/officeDocument/2006/relationships/hyperlink" Target="http://www.sec.gov/cgi-bin/browse-edgar?action=getcompany&amp;CIK=0001791910" TargetMode="External"/><Relationship Id="rId20" Type="http://schemas.openxmlformats.org/officeDocument/2006/relationships/hyperlink" Target="http://www.sec.gov/cgi-bin/browse-edgar?action=getcompany&amp;CIK=0001813313" TargetMode="External"/><Relationship Id="rId21" Type="http://schemas.openxmlformats.org/officeDocument/2006/relationships/hyperlink" Target="http://www.sec.gov/cgi-bin/browse-edgar?action=getcompany&amp;CIK=0001831976" TargetMode="External"/><Relationship Id="rId22" Type="http://schemas.openxmlformats.org/officeDocument/2006/relationships/hyperlink" Target="http://www.sec.gov/cgi-bin/browse-edgar?action=getcompany&amp;CIK=0001813311" TargetMode="External"/><Relationship Id="rId23" Type="http://schemas.openxmlformats.org/officeDocument/2006/relationships/hyperlink" Target="http://www.sec.gov/cgi-bin/browse-edgar?action=getcompany&amp;CIK=0001813314" TargetMode="External"/><Relationship Id="rId24" Type="http://schemas.openxmlformats.org/officeDocument/2006/relationships/hyperlink" Target="http://www.sec.gov/cgi-bin/browse-edgar?action=getcompany&amp;CIK=0001813270" TargetMode="External"/><Relationship Id="rId25" Type="http://schemas.openxmlformats.org/officeDocument/2006/relationships/hyperlink" Target="http://www.sec.gov/cgi-bin/browse-edgar?action=getcompany&amp;CIK=00018133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2025-05-07T20:58:21Z</dcterms:created>
  <dcterms:modified xsi:type="dcterms:W3CDTF">2025-05-07T20:58:21Z</dcterms:modified>
</cp:coreProperties>
</file>