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nab-20251231.htm"/>
      <w:bookmarkStart w:id="1" w:name="ksinab20251231"/>
      <w:bookmarkEnd w:id="0"/>
      <w:bookmarkEnd w:id="1"/>
      <w:r>
        <w:rPr/>
        <w:t> </w:t>
      </w:r>
    </w:p>
    <w:p>
      <w:pPr>
        <w:pStyle w:val="TextBody"/>
        <w:pBdr>
          <w:bottom w:val="double" w:sz="4" w:space="1" w:color="000000"/>
        </w:pBdr>
        <w:bidi w:val="0"/>
        <w:jc w:val="center"/>
        <w:rPr>
          <w:rFonts w:ascii="Times New Roman" w:hAnsi="Times New Roman"/>
          <w:sz w:val="20"/>
        </w:rPr>
      </w:pPr>
      <w:r>
        <w:rPr>
          <w:rFonts w:ascii="Times New Roman" w:hAnsi="Times New Roman"/>
          <w:b/>
          <w:color w:val="000000"/>
          <w:sz w:val="2"/>
        </w:rPr>
        <w:t>tm</w:t>
      </w:r>
      <w:r>
        <w:rPr>
          <w:rFonts w:ascii="Times New Roman" w:hAnsi="Times New Roman"/>
          <w:color w:val="000000"/>
          <w:sz w:val="20"/>
        </w:rPr>
        <w:t xml:space="preserve"> </w:t>
      </w:r>
    </w:p>
    <w:p>
      <w:pPr>
        <w:pStyle w:val="TextBody"/>
        <w:bidi w:val="0"/>
        <w:spacing w:before="40" w:after="283"/>
        <w:jc w:val="center"/>
        <w:rPr>
          <w:rFonts w:ascii="Times New Roman" w:hAnsi="Times New Roman"/>
          <w:sz w:val="20"/>
        </w:rPr>
      </w:pPr>
      <w:r>
        <w:rPr>
          <w:rFonts w:ascii="Times New Roman" w:hAnsi="Times New Roman"/>
          <w:b/>
          <w:color w:val="000000"/>
          <w:sz w:val="32"/>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2"/>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36"/>
        </w:rPr>
        <w:t>FORM 10-K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spacing w:before="60" w:after="283"/>
        <w:jc w:val="left"/>
        <w:rPr>
          <w:rFonts w:ascii="Times New Roman" w:hAnsi="Times New Roman"/>
          <w:b/>
          <w:color w:val="000000"/>
          <w:sz w:val="16"/>
        </w:rPr>
      </w:pPr>
      <w:r>
        <w:rPr>
          <w:rFonts w:ascii="Times New Roman" w:hAnsi="Times New Roman"/>
          <w:b/>
          <w:color w:val="000000"/>
          <w:sz w:val="16"/>
        </w:rPr>
        <w:t>(Mark One)</w:t>
      </w:r>
    </w:p>
    <w:tbl>
      <w:tblPr>
        <w:tblW w:w="9962" w:type="dxa"/>
        <w:jc w:val="left"/>
        <w:tblInd w:w="0" w:type="dxa"/>
        <w:tblLayout w:type="fixed"/>
        <w:tblCellMar>
          <w:top w:w="28" w:type="dxa"/>
          <w:left w:w="28" w:type="dxa"/>
          <w:bottom w:w="28" w:type="dxa"/>
          <w:right w:w="28" w:type="dxa"/>
        </w:tblCellMar>
      </w:tblPr>
      <w:tblGrid>
        <w:gridCol w:w="331"/>
        <w:gridCol w:w="9631"/>
      </w:tblGrid>
      <w:tr>
        <w:trPr/>
        <w:tc>
          <w:tcPr>
            <w:tcW w:w="331" w:type="dxa"/>
            <w:tcBorders/>
            <w:vAlign w:val="center"/>
          </w:tcPr>
          <w:p>
            <w:pPr>
              <w:pStyle w:val="TableContents"/>
              <w:bidi w:val="0"/>
              <w:spacing w:before="0" w:after="283"/>
              <w:jc w:val="left"/>
              <w:rPr>
                <w:sz w:val="4"/>
                <w:szCs w:val="4"/>
              </w:rPr>
            </w:pPr>
            <w:r>
              <w:rPr>
                <w:sz w:val="4"/>
                <w:szCs w:val="4"/>
              </w:rPr>
            </w:r>
          </w:p>
        </w:tc>
        <w:tc>
          <w:tcPr>
            <w:tcW w:w="96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color w:val="000000"/>
                <w:sz w:val="20"/>
              </w:rPr>
              <w:t>ANNUAL REPORT PURSUANT TO SECTION 13 OR 15(d) OF THE SECURITIES EXCHANGE ACT OF 1934</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60" w:after="283"/>
              <w:jc w:val="both"/>
              <w:rPr>
                <w:rFonts w:ascii="Times New Roman" w:hAnsi="Times New Roman"/>
                <w:sz w:val="20"/>
              </w:rPr>
            </w:pPr>
            <w:r>
              <w:rPr>
                <w:rFonts w:ascii="Times New Roman" w:hAnsi="Times New Roman"/>
                <w:b/>
                <w:color w:val="000000"/>
                <w:sz w:val="20"/>
              </w:rPr>
              <w:t>TRANSITION REPORT PURSUANT TO SECTION 13 OR 15(d) OF THE SECURITIES EXCHANGE ACT OF 1934 FOR THE TRANSITION PERIOD FROM __________ TO __________</w:t>
            </w:r>
            <w:r>
              <w:rPr>
                <w:rFonts w:ascii="Times New Roman" w:hAnsi="Times New Roman"/>
                <w:color w:val="000000"/>
                <w:sz w:val="20"/>
              </w:rPr>
              <w:t xml:space="preserve"> </w:t>
            </w:r>
          </w:p>
        </w:tc>
      </w:tr>
    </w:tbl>
    <w:p>
      <w:pPr>
        <w:pStyle w:val="TextBody"/>
        <w:bidi w:val="0"/>
        <w:spacing w:before="60" w:after="283"/>
        <w:jc w:val="center"/>
        <w:rPr>
          <w:rFonts w:ascii="Times New Roman" w:hAnsi="Times New Roman"/>
          <w:sz w:val="20"/>
        </w:rPr>
      </w:pPr>
      <w:r>
        <w:rPr>
          <w:rFonts w:ascii="Times New Roman" w:hAnsi="Times New Roman"/>
          <w:b/>
          <w:color w:val="000000"/>
          <w:sz w:val="20"/>
        </w:rPr>
        <w:t>Commission File Number 001-39692</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rFonts w:ascii="Times New Roman" w:hAnsi="Times New Roman"/>
          <w:b/>
          <w:color w:val="000000"/>
          <w:sz w:val="44"/>
        </w:rPr>
      </w:pPr>
      <w:r>
        <w:rPr>
          <w:rFonts w:ascii="Times New Roman" w:hAnsi="Times New Roman"/>
          <w:b/>
          <w:color w:val="000000"/>
          <w:sz w:val="44"/>
        </w:rPr>
        <w:t>IN8BIO,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pPr>
      <w:r>
        <w:rPr/>
        <w:t> </w:t>
      </w:r>
    </w:p>
    <w:tbl>
      <w:tblPr>
        <w:tblW w:w="3692" w:type="dxa"/>
        <w:jc w:val="left"/>
        <w:tblInd w:w="0" w:type="dxa"/>
        <w:tblLayout w:type="fixed"/>
        <w:tblCellMar>
          <w:top w:w="28" w:type="dxa"/>
          <w:left w:w="28" w:type="dxa"/>
          <w:bottom w:w="28" w:type="dxa"/>
          <w:right w:w="28" w:type="dxa"/>
        </w:tblCellMar>
      </w:tblPr>
      <w:tblGrid>
        <w:gridCol w:w="2446"/>
        <w:gridCol w:w="1246"/>
      </w:tblGrid>
      <w:tr>
        <w:trPr/>
        <w:tc>
          <w:tcPr>
            <w:tcW w:w="24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82-5462585</w:t>
            </w:r>
          </w:p>
        </w:tc>
      </w:tr>
      <w:tr>
        <w:trPr/>
        <w:tc>
          <w:tcPr>
            <w:tcW w:w="24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46"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sz w:val="20"/>
              </w:rPr>
            </w:pPr>
            <w:r>
              <w:rPr>
                <w:rFonts w:ascii="Times New Roman" w:hAnsi="Times New Roman"/>
                <w:b/>
                <w:color w:val="000000"/>
                <w:sz w:val="20"/>
              </w:rPr>
              <w:t>350 5th Avenue, Suite 5330</w:t>
            </w:r>
            <w:r>
              <w:rPr>
                <w:rFonts w:ascii="Times New Roman" w:hAnsi="Times New Roman"/>
                <w:color w:val="000000"/>
                <w:sz w:val="20"/>
              </w:rPr>
              <w:t xml:space="preserve"> </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New York, New York</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10118</w:t>
            </w:r>
          </w:p>
        </w:tc>
      </w:tr>
      <w:tr>
        <w:trPr/>
        <w:tc>
          <w:tcPr>
            <w:tcW w:w="24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Registrant’s telephone number, including area code: (646) 600-6438</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Securities registered pursuant to Section 12(b) of the Act:</w:t>
      </w:r>
    </w:p>
    <w:p>
      <w:pPr>
        <w:pStyle w:val="TextBody"/>
        <w:bidi w:val="0"/>
        <w:jc w:val="left"/>
        <w:rPr/>
      </w:pPr>
      <w:r>
        <w:rPr/>
        <w:t> </w:t>
      </w:r>
    </w:p>
    <w:tbl>
      <w:tblPr>
        <w:tblW w:w="8350" w:type="dxa"/>
        <w:jc w:val="left"/>
        <w:tblInd w:w="0" w:type="dxa"/>
        <w:tblLayout w:type="fixed"/>
        <w:tblCellMar>
          <w:top w:w="28" w:type="dxa"/>
          <w:left w:w="28" w:type="dxa"/>
          <w:bottom w:w="28" w:type="dxa"/>
          <w:right w:w="28" w:type="dxa"/>
        </w:tblCellMar>
      </w:tblPr>
      <w:tblGrid>
        <w:gridCol w:w="3286"/>
        <w:gridCol w:w="146"/>
        <w:gridCol w:w="145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INAB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 xml:space="preserve">Securities registered pursuant to Section 12(g) of the Act: </w:t>
      </w:r>
      <w:r>
        <w:rPr>
          <w:rFonts w:ascii="Times New Roman" w:hAnsi="Times New Roman"/>
          <w:b/>
          <w:color w:val="000000"/>
          <w:sz w:val="16"/>
        </w:rPr>
        <w:t>None</w:t>
      </w:r>
      <w:r>
        <w:rPr>
          <w:rFonts w:ascii="Times New Roman" w:hAnsi="Times New Roman"/>
          <w:color w:val="000000"/>
          <w:sz w:val="20"/>
        </w:rPr>
        <w:t xml:space="preserve"> </w:t>
      </w:r>
    </w:p>
    <w:p>
      <w:pPr>
        <w:pStyle w:val="TextBody"/>
        <w:bidi w:val="0"/>
        <w:spacing w:before="40" w:after="283"/>
        <w:jc w:val="both"/>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 ☐ No</w:t>
      </w:r>
      <w:r>
        <w:rPr>
          <w:rFonts w:ascii="Times New Roman" w:hAnsi="Times New Roman"/>
          <w:color w:val="000000"/>
          <w:sz w:val="20"/>
        </w:rPr>
        <w:t xml:space="preserve"> ☒ </w:t>
      </w:r>
    </w:p>
    <w:p>
      <w:pPr>
        <w:pStyle w:val="TextBody"/>
        <w:bidi w:val="0"/>
        <w:spacing w:before="40" w:after="283"/>
        <w:jc w:val="both"/>
        <w:rPr>
          <w:rFonts w:ascii="Times New Roman" w:hAnsi="Times New Roman"/>
          <w:sz w:val="20"/>
        </w:rPr>
      </w:pPr>
      <w:r>
        <w:rPr>
          <w:rFonts w:ascii="Times New Roman" w:hAnsi="Times New Roman"/>
          <w:color w:val="000000"/>
          <w:sz w:val="16"/>
        </w:rPr>
        <w:t>Indicate by check mark if the Registrant is not required to file reports pursuant to Section 13 or 15(d) of the Act. Yes ☐ No</w:t>
      </w:r>
      <w:r>
        <w:rPr>
          <w:rFonts w:ascii="Times New Roman" w:hAnsi="Times New Roman"/>
          <w:color w:val="000000"/>
          <w:sz w:val="20"/>
        </w:rPr>
        <w:t xml:space="preserve"> ☒ </w:t>
      </w:r>
    </w:p>
    <w:p>
      <w:pPr>
        <w:pStyle w:val="TextBody"/>
        <w:bidi w:val="0"/>
        <w:spacing w:before="40" w:after="283"/>
        <w:jc w:val="both"/>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40" w:after="283"/>
        <w:jc w:val="both"/>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r>
        <w:rPr>
          <w:rFonts w:ascii="Times New Roman" w:hAnsi="Times New Roman"/>
          <w:color w:val="000000"/>
          <w:sz w:val="20"/>
        </w:rPr>
        <w:t xml:space="preserve"> </w:t>
      </w:r>
    </w:p>
    <w:p>
      <w:pPr>
        <w:pStyle w:val="TextBody"/>
        <w:bidi w:val="0"/>
        <w:spacing w:before="4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both"/>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both"/>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 xml:space="preserve">☐ </w:t>
      </w:r>
    </w:p>
    <w:p>
      <w:pPr>
        <w:pStyle w:val="TextBody"/>
        <w:bidi w:val="0"/>
        <w:spacing w:before="40" w:after="283"/>
        <w:jc w:val="both"/>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 xml:space="preserve">☐ </w:t>
      </w:r>
    </w:p>
    <w:p>
      <w:pPr>
        <w:pStyle w:val="TextBody"/>
        <w:bidi w:val="0"/>
        <w:spacing w:before="4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40" w:after="283"/>
        <w:jc w:val="both"/>
        <w:rPr>
          <w:rFonts w:ascii="Times New Roman" w:hAnsi="Times New Roman"/>
          <w:sz w:val="20"/>
        </w:rPr>
      </w:pPr>
      <w:r>
        <w:rPr>
          <w:rFonts w:ascii="Times New Roman" w:hAnsi="Times New Roman"/>
          <w:color w:val="000000"/>
          <w:sz w:val="16"/>
        </w:rPr>
        <w:t>The aggregate market value of the voting and non-voting common equity held by non-affiliates of the Registrant, based on the closing price of $2.09 per share of the Registrant’s common stock as reported on the Nasdaq Stock Market LLC on June 30, 2025, the last business day of the Registrant’s most recently completed second quarter was $7.6</w:t>
      </w:r>
      <w:r>
        <w:rPr>
          <w:rFonts w:ascii="Times New Roman" w:hAnsi="Times New Roman"/>
          <w:color w:val="000000"/>
          <w:sz w:val="20"/>
        </w:rPr>
        <w:t xml:space="preserve"> </w:t>
      </w:r>
      <w:r>
        <w:rPr>
          <w:rFonts w:ascii="Times New Roman" w:hAnsi="Times New Roman"/>
          <w:color w:val="000000"/>
          <w:sz w:val="16"/>
        </w:rPr>
        <w:t>million. This calculation excludes shares of the registrant’s common stock held by current executive officers, directors and stockholders that the registrant has concluded are affiliates of the registrant. This determination of affiliate status is not a determination for other purposes.</w:t>
      </w:r>
    </w:p>
    <w:p>
      <w:pPr>
        <w:pStyle w:val="TextBody"/>
        <w:bidi w:val="0"/>
        <w:spacing w:before="40" w:after="283"/>
        <w:jc w:val="both"/>
        <w:rPr>
          <w:rFonts w:ascii="Times New Roman" w:hAnsi="Times New Roman"/>
          <w:sz w:val="20"/>
        </w:rPr>
      </w:pPr>
      <w:r>
        <w:rPr>
          <w:rFonts w:ascii="Times New Roman" w:hAnsi="Times New Roman"/>
          <w:color w:val="000000"/>
          <w:sz w:val="16"/>
        </w:rPr>
        <w:t>The number of shares of Registrant’s Common Stock outstanding as of March 9, 2026 was 9,847,089.</w:t>
      </w:r>
      <w:r>
        <w:rPr>
          <w:rFonts w:ascii="Times New Roman" w:hAnsi="Times New Roman"/>
          <w:color w:val="000000"/>
          <w:sz w:val="20"/>
        </w:rPr>
        <w:t xml:space="preserve"> </w:t>
      </w:r>
    </w:p>
    <w:p>
      <w:pPr>
        <w:pStyle w:val="TextBody"/>
        <w:bidi w:val="0"/>
        <w:spacing w:before="40" w:after="40"/>
        <w:jc w:val="center"/>
        <w:rPr>
          <w:rFonts w:ascii="Times New Roman" w:hAnsi="Times New Roman"/>
          <w:sz w:val="20"/>
        </w:rPr>
      </w:pPr>
      <w:r>
        <w:rPr>
          <w:rFonts w:ascii="Times New Roman" w:hAnsi="Times New Roman"/>
          <w:b/>
          <w:color w:val="000000"/>
          <w:sz w:val="17"/>
        </w:rPr>
        <w:t>DOCUMENTS INCORPORATED BY REFERENCE</w:t>
      </w:r>
      <w:r>
        <w:rPr>
          <w:rFonts w:ascii="Times New Roman" w:hAnsi="Times New Roman"/>
          <w:color w:val="000000"/>
          <w:sz w:val="20"/>
        </w:rPr>
        <w:t xml:space="preserve"> </w:t>
      </w:r>
    </w:p>
    <w:p>
      <w:pPr>
        <w:pStyle w:val="TextBody"/>
        <w:bidi w:val="0"/>
        <w:spacing w:before="0" w:after="40"/>
        <w:jc w:val="both"/>
        <w:rPr>
          <w:rFonts w:ascii="Times New Roman" w:hAnsi="Times New Roman"/>
          <w:color w:val="000000"/>
          <w:sz w:val="16"/>
        </w:rPr>
      </w:pPr>
      <w:r>
        <w:rPr>
          <w:rFonts w:ascii="Times New Roman" w:hAnsi="Times New Roman"/>
          <w:color w:val="000000"/>
          <w:sz w:val="16"/>
        </w:rPr>
        <w:t>Portions of the definitive proxy statement for the 2026 Annual Meeting of Stockholders of the Registrant, or the Proxy Statement, are incorporated by reference into Part III of this Annual Report on Form 10-K. The Proxy Statement will be filed with the Securities and Exchange Commission within 120 days of the Registrant’s fiscal year ended December 31, 2025.</w:t>
      </w:r>
    </w:p>
    <w:p>
      <w:pPr>
        <w:pStyle w:val="TextBody"/>
        <w:pBdr>
          <w:bottom w:val="double" w:sz="4" w:space="1" w:color="000000"/>
        </w:pBdr>
        <w:bidi w:val="0"/>
        <w:jc w:val="left"/>
        <w:rPr/>
      </w:pPr>
      <w:r>
        <w:rPr/>
        <w:t> </w:t>
      </w:r>
    </w:p>
    <w:p>
      <w:pPr>
        <w:pStyle w:val="TextBody"/>
        <w:bidi w:val="0"/>
        <w:jc w:val="left"/>
        <w:rPr/>
      </w:pPr>
      <w:r>
        <w:rPr/>
        <w:t> </w:t>
      </w:r>
    </w:p>
    <w:p>
      <w:pPr>
        <w:pStyle w:val="TextBody"/>
        <w:bidi w:val="0"/>
        <w:spacing w:before="240" w:after="283"/>
        <w:jc w:val="left"/>
        <w:rPr>
          <w:rFonts w:ascii="Arial" w:hAnsi="Arial"/>
          <w:color w:val="000000"/>
          <w:sz w:val="14"/>
        </w:rPr>
      </w:pPr>
      <w:r>
        <w:rPr>
          <w:rFonts w:ascii="Arial" w:hAnsi="Arial"/>
          <w:color w:val="000000"/>
          <w:sz w:val="14"/>
        </w:rPr>
        <w:t>261071999 v3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46</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resolved_staff_comments">
              <w:r>
                <w:rPr>
                  <w:rStyle w:val="InternetLink"/>
                  <w:rFonts w:ascii="Times New Roman" w:hAnsi="Times New Roman"/>
                  <w:color w:val="0000FF"/>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181818"/>
                <w:sz w:val="20"/>
              </w:rPr>
            </w:pPr>
            <w:r>
              <w:rPr>
                <w:rFonts w:ascii="Times New Roman" w:hAnsi="Times New Roman"/>
                <w:color w:val="181818"/>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ther_info">
              <w:r>
                <w:rPr>
                  <w:rStyle w:val="InternetLink"/>
                  <w:rFonts w:ascii="Times New Roman" w:hAnsi="Times New Roman"/>
                  <w:color w:val="0000FF"/>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ant_fees_servic">
              <w:r>
                <w:rPr>
                  <w:rStyle w:val="InternetLink"/>
                  <w:rFonts w:ascii="Times New Roman" w:hAnsi="Times New Roman"/>
                  <w:color w:val="0000FF"/>
                  <w:sz w:val="20"/>
                  <w:u w:val="single"/>
                </w:rPr>
                <w:t>Principal Accountant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v">
              <w:r>
                <w:rPr>
                  <w:rStyle w:val="InternetLink"/>
                  <w:rFonts w:ascii="Times New Roman" w:hAnsi="Times New Roman"/>
                  <w:b/>
                  <w:color w:val="0000FF"/>
                  <w:sz w:val="20"/>
                  <w:u w:val="single"/>
                </w:rPr>
                <w:t>PART IV</w:t>
              </w:r>
            </w:hyperlink>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and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pPr>
            <w:r>
              <w:rPr/>
              <w:t> </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In this report, unless otherwise stated or the context otherwise indicates, the terms “IN8bio, Inc.,” “the Company,” “we,” “us,” “our” and similar references refer to IN8bio, Inc. “IN8BIO,” “INEIGHTBIO,” “Cancer Zero,” the IN8BIO logo, DeltEx and other trademarks, trade names or service marks of IN8bio, Inc. appearing in this Annual Report are the property of IN8bio, Inc. All other trademarks, trade names and service marks appearing in this Annual Report are the property of their respective owners. Solely for convenience, the trademarks and trade names in this report may be referred to without the ® and  symbols, but such references should not be construed as any indicator that their respective owners will not assert their rights thereto. The images found on pages 9, 10, 15, 21, 27 and 29 of this Annual Report were created with biorender.com.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otherwise indicated, all information in this Annual Report on Form 10-K gives effect to the 1-for-30 reverse stock split of our common stock that became effective on June 5, 2025, and all references to shares of common stock outstanding and per share amounts give effect to the reverse stock split.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Annual Report on Form 10-K, or this Annual Report, contains statements that may constitute “forward-looking statements” within the meaning of Section 27A of the Securities Act of 1933, as amended, or the Securities Act, and Section 21E of the Securities Exchange Act of 1934, as amended, or the Exchange Act, that involve substantial risks and uncertainties. All statements contained in this Annual Report on Form 10-K other than statements of historical fact, including statements regarding our future results of operations and financial position, our business strategy and plans, and our objectives for future operations, are forward-looking statements. The words “believes,” “expects,” “intends,” “estimates,” “projects,” “anticipates,” “will,” “plan,” “may,” “should,” or similar language are intended to identify forward-looking statements. These forward-looking statements include statements concerning the following: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mitigate the substantial doubt to continue as a going concern;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estimates regarding expenses, future revenue, capital requirements and needs for additional financing;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plans to develop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timing, progress and results of our current and future preclinical studies and clinical trials and our research and development programs;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take advantage of abbreviated regulatory pathways for any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successfully acquire or in-license additional product candidates on reasonable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and establish collaborations or obtain additional funding;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obtain regulatory approval of our current and future product candidates, including our ability to file investigational new drug applications to commence additional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potential market size and the rate and degree of market acceptance of such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continued reliance on third parties to conduct clinical trials of our product candidates, and for the manufacture of our product candidates for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implementation of our business model and strategic plans for our business and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intellectual property position and the duration of our patent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our intellectual property or other proprietary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government and third-party payor coverage and reimbursement;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in the markets we serve;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government operations, laws and regulations and liabilities thereunder;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need to hire additional personnel and our ability to attract and retain such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developments relating to our competitors and our industry;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regarding the impact of international tariffs, public health crises and geopolitical tensions, such as wars and terrorism, on our business, our industry and the economy;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contribute to eliminate cancer and achieve cancer-free status in any or all patients;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factors that may impact our financial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Annual Report. A summary of selected risks associated with our business are set forth below.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on information available to us as of the date of this Annual Report.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forward-looking statements made in this Annual Report relate only to events as of the date on which the statements are made.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120" w:after="283"/>
        <w:jc w:val="left"/>
        <w:rPr>
          <w:rFonts w:ascii="Times New Roman" w:hAnsi="Times New Roman"/>
          <w:sz w:val="20"/>
        </w:rPr>
      </w:pPr>
      <w:bookmarkStart w:id="3" w:name="item_1_business"/>
      <w:bookmarkEnd w:id="3"/>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are a leading clinical-stage biopharmaceutical company focused on the discovery, development and commercialization of gamma-delta T cellular therapy product candidates and gamma-delta T cell engagers ("TCEs") for cancer and autoimmune diseases. Gamma-delta T cells are a specialized population of T cells that possess unique properties. They are naturally occurring immune cells that can intrinsically regulate immune responses and have the ability to differentiate between healthy and diseased tissue. These cells serve as a functional bridge between innate and adaptive immunity, contributing to direct tumor-killing as well as immune cell recruitment and activation to drive deeper, more comprehensive immune responses. Multiple studies have demonstrated the robust tumor-killing ability of gamma-delta T cells and superior outcomes in cancer patients with elevated levels of gamma-delta T cells. Recent literature published in 2024 demonstrated that gamma-delta T cell levels are predictive of better survival outcomes even in melanoma patients being treated with checkpoint inhibitors and in leukemia patients being treated with chimeric antigen receptor T cell (“CAR-T”) therapies. The pivotal role of gamma-delta T cells in immune function and activation against diseases such as cancer underscores their therapeutic potential across a wide range of solid and hematologic cancers.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We develop </w:t>
      </w:r>
      <w:r>
        <w:rPr>
          <w:rFonts w:ascii="Times New Roman" w:hAnsi="Times New Roman"/>
          <w:i/>
          <w:color w:val="000000"/>
          <w:sz w:val="20"/>
        </w:rPr>
        <w:t>ex vivo</w:t>
      </w:r>
      <w:r>
        <w:rPr>
          <w:rFonts w:ascii="Times New Roman" w:hAnsi="Times New Roman"/>
          <w:color w:val="000000"/>
          <w:sz w:val="20"/>
        </w:rPr>
        <w:t xml:space="preserve"> expanded and activated gamma-delta T cell candidates and TCEs based upon our deep expertise in gamma-delta T cell biology, proprietary genetic engineering, and cell-type specific manufacturing capabilities, which we refer to collectively as our DeltEx</w:t>
      </w:r>
      <w:r>
        <w:rPr>
          <w:rFonts w:ascii="Times New Roman" w:hAnsi="Times New Roman"/>
          <w:color w:val="000000"/>
          <w:sz w:val="13"/>
        </w:rPr>
        <w:t>TM</w:t>
      </w:r>
      <w:r>
        <w:rPr>
          <w:rFonts w:ascii="Times New Roman" w:hAnsi="Times New Roman"/>
          <w:color w:val="000000"/>
          <w:sz w:val="20"/>
        </w:rPr>
        <w:t xml:space="preserve"> platform. Our platform employs allogeneic, autologous, induced pluripotent stem cell ("iPSC") and genetically modified cell therapy approaches, as well as TCEs that are designed to effectively identify and eradicate tumor or target cells. We believe we are the most clinically advanced gamma-delta T cell-focused company and we are utilizing our suite of DeltEx platform technologies to potentially eliminate cancer cells to achieve our mission we refer to as Cancer Zero</w:t>
      </w:r>
      <w:r>
        <w:rPr>
          <w:rFonts w:ascii="Times New Roman" w:hAnsi="Times New Roman"/>
          <w:color w:val="000000"/>
          <w:sz w:val="13"/>
        </w:rPr>
        <w:t>TM</w:t>
      </w:r>
      <w:r>
        <w:rPr>
          <w:rFonts w:ascii="Times New Roman" w:hAnsi="Times New Roman"/>
          <w:color w:val="000000"/>
          <w:sz w:val="20"/>
        </w:rPr>
        <w:t xml:space="preserve"> ─ the safe elimination of all cancer cells in every patient battling the disease. We believe this lofty aspiration will one day be achievable and that it is our responsibility to directly contribute to global health efforts by pursuing scientific research that will advance the treatment of cancer and other diseases with unmet medical needs.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Our DeltEx platform is designed to overcome many of the challenges associated with the expansion, genetic engineering, and scalable manufacturing of gamma-delta T cells. This approach allows us to expand the cells </w:t>
      </w:r>
      <w:r>
        <w:rPr>
          <w:rFonts w:ascii="Times New Roman" w:hAnsi="Times New Roman"/>
          <w:i/>
          <w:color w:val="000000"/>
          <w:sz w:val="20"/>
        </w:rPr>
        <w:t>ex vivo</w:t>
      </w:r>
      <w:r>
        <w:rPr>
          <w:rFonts w:ascii="Times New Roman" w:hAnsi="Times New Roman"/>
          <w:color w:val="000000"/>
          <w:sz w:val="20"/>
        </w:rPr>
        <w:t xml:space="preserve"> to administer a potentially therapeutic dose to patients, harnessing the unique properties of gamma-delta T cells, including their ability to broadly recognize cellular stress signals on tumor cells. We believe that our unique corporate and scientific insights into the advanced manufacturing and biology of gamma-delta T cells provide us with an innovative platform for treating cancer that capitalizes on the particular properties of gamma-delta T cells. We currently have two novel programs in the clinic that have demonstrated durable complete remission in difficult to treat cancers. We have used our DeltEx platform to create our pipeline of innovative allogeneic, autologous, iPSC and/or genetically modified product candidates designed to effectively target and potentially eradicate disease and improve patient outcomes.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To date, we have conducted two primary investigator-sponsored Phase 1 clinical trials evaluating our gamma-delta T cell technologies in cancer patients, which have both completed primary enrollment. INB-100 is assessing our DeltEx Allogeneic (“Allo”) gamma-delta T cell therapy in adult patients with high-risk leukemias undergoing haploidentical stem cell transplantation (“HSCT”). INB-200, evaluated our DeltEx Drug Resistant Immunotherapy (“DRI”) in patients with newly diagnosed glioblastoma (“GBM”). Both trials have demonstrated encouraging clinical activity, including long-term durable remissions, with patients remaining alive and in remission or progression-free for more than four years.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INB-100, our first allogeneic DeltEx product candidate, was developed to evaluate the safety and tolerability of donor-derived, expanded and activated gamma-delta T cells that do not undergo additional genetic modification. The Phase 1 trial (NCT03533816) of INB-100 has completed primary enrollment and a recommended Phase 2 dose (“RP2D”) was determined. An expansion cohort at the RP2D is currently underway at the Kansas University Cancer Center (“KUCC”) and The James Comprehensive Cancer Center at The Ohio State University. In February 2025, we presented updated data at the 2025 Transplantation &amp; Cellular Therapy ("TCT") Meeting, demonstrating that 100% of acute myeloid leukemia (“AML”) patients across both original and expansion cohorts remained in complete remission (“CR”), with a median follow-up of 20.1 months. These AML patients also demonstrated one-year progression-free survival (“PFS”) and overall survival (“OS”) rates that exceeded real-world control data from the Center for International Blood and Marrow Transplant Research (“CIBMTR”) and historical patient outcomes from the KUCC, where the study is being conducted. Patients treated with INB-100 are demonstrating prolonged and durable remissions, supported by gamma-delta T cell expansion and persistence beyond one year. In 2024, we held a meeting with the U.S. Food and Drug Administration (“FDA”) and received regulatory guidance regarding a Phase 2 trial of INB-100 for the treatment of AML, with relapse-free survival as the primary endpoint in a randomized controlled trial. To further support and de-risk this registrational pathway, we enrolled and treated patients in an expansion cohort of at least 15 additional patients, to confirm the improvements in relapse free and OS outcomes observed to date. We expect to complete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patient treatment in the expansion cohort in early 2026 and to report long-term follow-up results at a medical meeting in late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DeltEx DRI technology is an innovative, proprietary platform that genetically engineers gamma-delta T cells to enable synergistic combinations with conventional standard-of-care (“SOC”) chemotherapies for the treatment of solid tumors. Our proprietary genetic engineering leverages the tumor’s own chemotherapy resistance mechanisms to protect our DeltEx DRI gamma-delta T cells from the cytotoxic effects of such chemotherapies, enabling combination therapies designed to enhance tumor killing and potentially improve patient outcomes. Our lead DeltEx DRI product candidate, INB-200, was developed for newly diagnosed GBM. Patient dosing in the investigator-sponsored Phase 1 trial of INB-200 (NCT04165941) has been completed and we continue to follow patients for PFS and OS. In May 2025, we delivered an oral plenary presentation at the American Society of Clinical Oncology ("ASCO") Annual Meeting presenting longer-term patient follow-up data. We continue to work towards the publication of the Phase 1 INB-200 data in a peer-reviewed journal.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INB-400 is our corporate-sponsored investigational new drug application (“IND”) for the Phase 2, multi-center clinical trial evaluating the DeltEx DRI technology in newly diagnosed GBM (NCT05664243). Treatment of enrolled patients has been completed and the IND remains open. In September 2024, following a pipeline review, we suspended further enrollment in the Phase 2 trial of INB-400 to conserve capital. The trial was designed to further evaluate genetically modified DRI gamma-delta T cells in newly diagnosed GBM patients in multiple centers across the United States.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At the 2025 Annual Meeting of the Society of Neuro-Oncology (“SNO”), we presented consolidated data from the INB-200 (Phase 1) and INB-400 (Phase 2) trials in both poster and oral presentations. Patients across both trials who received multiple repeated doses of our DeltEx DRI gamma-delta T cells (N=14) demonstrated substantial improvements in median progression-free survival (“mPFS”) and median overall survival (“mOS”) across multiple participating clinical centers. These results were evaluated in the context of a contemporaneously enrolled control group of patients at the same clinical centers with the same treating physicians who received SOC therapy alone. The SOC control cohort reported an mPFS of 6.6 months and a mOS of 13.2 months despite a higher number of patients in the SOC control cohort receiving gross total resections. These control data are consistent with historical benchmarks in newly diagnosed GBM, including mPFS of 6.9 months and mOS of 14.6 months published in the </w:t>
      </w:r>
      <w:r>
        <w:rPr>
          <w:rFonts w:ascii="Times New Roman" w:hAnsi="Times New Roman"/>
          <w:i/>
          <w:color w:val="000000"/>
          <w:sz w:val="20"/>
        </w:rPr>
        <w:t>New England Journal of Medicine</w:t>
      </w:r>
      <w:r>
        <w:rPr>
          <w:rFonts w:ascii="Times New Roman" w:hAnsi="Times New Roman"/>
          <w:color w:val="000000"/>
          <w:sz w:val="20"/>
        </w:rPr>
        <w:t xml:space="preserve"> ("NEJM") in 2005. This demonstrates both the aggressive nature of GBM, even with SOC treatment, and the significant need for new treatment options. In the data, updated through December 31, 2025, patients who received repeated doses of DeltEx DRI gamma-delta T cells reported an mPFS of 13.0 months and a mOS not reached (17.2+ months), with overall survival continuing to climb. We expect to provide a further clinical update, including additional mOS data from the total data set, at medical meetings in mid- and late-2026.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believe our DeltEx DRI gamma-delta T cell therapeutic approach is demonstrating clinical activity and may have potential applicability across multiple solid tumor types. In April 2023, we received Orphan Drug Designation from the FDA for both the autologous and allogeneic DeltEx DRI INB-400 product candidates, covering a broad range of malignant glioma indications, including relapsed and newly diagnosed GBM. We believe there may be potential regulatory designation pathways available for the autologous DeltEx DRI program in newly diagnosed GBM and intend to seek further guidance from the FDA regarding potential development and regulatory pathways in 2026. Following such regulatory guidance, we expect to evaluate potential funding sources and strategic opportunities to support continued development of this program toward potential commercialization.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Most recently we introduced INB-600, our proprietary, internally developed TCE platform. This platform represents a potentially revolutionary advancement in immunotherapy, harnessing the unique power of gamma-delta T cells through a differentiated mechanism intended to optimize effector function and targeted cytotoxicity. To date, we have observed novel properties suggesting that the TCE can significantly expand and activate gamma-delta T cells, with the potential to drive sustained and potent anti-tumor or anti-target immune responses. This unique capability may not only enhance the immediate cytotoxic effects through in vivo expansion of effector gamma-delta T cells, but also promote a more durable and long-lasting immune response, essential for combating both solid tumors and resistant leukemias/lymphomas as well as sustained target depletion for potential applications in autoimmune diseases. The dual activation and expansion of Vd1+ and Vd2+ gamma-delta T cell subsets further broadens our therapeutic potential, combining the power of the rapid antigen processing of Vd2+ cells with the increased cellular stability and tissue penetrating properties of Vd1+ cells as an innate immune force multiplier. Importantly, unlike traditional CD3-directed T cell engagers that broadly activate T cells, our gamma-delta TCE is designed to signal through the gamma-delta T cell receptor (“TCR”), selectively activating gamma-delta T cells. This differentiated mechanism may provide a potential safety advantage, as gamma-delta T cells are not typically associated with high levels of cytokines such as IL-6 or TNF-alpha that are linked to cytokine release syndrome (“CRS”) observed with certain alpha-beta T cell directed therapies. We believe INB-600 positions us with a promising platform with potential applicability from solid tumors to autoimmune diseases, supporting our goal to leverage gamma-delta T cell biology for targeted immune system modulation and disease treatment.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have demonstrated that INB-619, a CD19 targeted gamma-delta TCE, can efficiently and completely eliminate targeted B cells in a dose-dependent manner. Data presented at The American College of Rheumatology Convergence 2025 meeting (“ACR Convergence 2025”) highlighted the potential of INB-619 in B cell-driven autoimmune diseases such as systemic lupus erythematosus (“SLE”) and demonstrated deep B cell depletion through selective activation and expansion of gamma-delta T cells. INB-619 was evaluated in comparison to commercial FDA-approved B cell depletors, blinatumomab (CD19 targeted) and mosunetuzumab (CD20 targeted), and demonstrated equivalent in vitro potency and complete B cell elimination. Notably, INB-619 exhibited a favorable cytokine profile with minimal to no detectable levels of CRS-associated cytokines including IL-6, a validated clinical CRS biomarker, while both approved therapies resulted in significantly higher levels of CRS cytokines. This data positions INB-619 as a promising candidate for autoimmune indications, potentially enabling deeper B cell depletion, immune reset and an enhanced safety profile, while the selective gamma-delta T cell approach addresses potential limitations like CD3-induced T cell exhaustion and the toxicities seen with other CD3-based TCE approaches.</w:t>
      </w:r>
    </w:p>
    <w:p>
      <w:pPr>
        <w:pStyle w:val="TextBody"/>
        <w:bidi w:val="0"/>
        <w:jc w:val="both"/>
        <w:rPr>
          <w:rFonts w:ascii="Times New Roman" w:hAnsi="Times New Roman"/>
          <w:sz w:val="20"/>
        </w:rPr>
      </w:pPr>
      <w:r>
        <w:rPr>
          <w:rFonts w:ascii="Times New Roman" w:hAnsi="Times New Roman"/>
          <w:color w:val="000000"/>
          <w:sz w:val="20"/>
        </w:rPr>
        <w:t xml:space="preserve">We also have a portfolio of preclinical programs within our DeltEx pipeline that currently remain paused in development due to financial market conditions and pipeline prioritization. These include INB-300, a targeted non-signaling gamma-delta T cell based chimeric antigen receptor (“nsCAR”) construct, which is applicable to both solid and liquid tumors, and INB-500, which encompasses our ability to produce gamma-delta T cells from iPSCs. iPSCs represent a significant step toward next generation approaches of cellular manufacturing for true allogeneic and potentially "off-the-shelf" innate cellular therapies. We presented additional preclinical data for INB-300, demonstrating our proof-of-concept </w:t>
      </w:r>
      <w:r>
        <w:rPr>
          <w:rFonts w:ascii="Times New Roman" w:hAnsi="Times New Roman"/>
          <w:i/>
          <w:color w:val="000000"/>
          <w:sz w:val="20"/>
        </w:rPr>
        <w:t>in vitro</w:t>
      </w:r>
      <w:r>
        <w:rPr>
          <w:rFonts w:ascii="Times New Roman" w:hAnsi="Times New Roman"/>
          <w:color w:val="000000"/>
          <w:sz w:val="20"/>
        </w:rPr>
        <w:t xml:space="preserve"> studies, against the leukemia antigen targets CD33 and CD123, at the American Association for Cancer Research ("AACR") Annual Meeting in 2024. These data demonstrated the ability of our nsCAR constructs to distinguish between tumor tissue and healthy tissue.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statements have been prepared in conformity with generally accepted accounting principles which contemplate continuation of the Company on a going concern basis. The going concern basis assumes that assets are realized, and liabilities are extinguished in the ordinary course of business at amounts disclosed in the financial statements. We have not yet generated product sales and, as a result, have experienced operating losses since inception. We expect to incur additional losses in the future as we advance our product candidates through clinical trials, seek to expand our product candidate portfolio through developing additional product candidates, grow our clinical, regulatory and quality capabilities, and incur costs associated with operating as a public company. The actual amount of cash that we will need to operate is subject to many factors.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our business strategy, we expect that our existing cash of $27.1 million as of December 31, 2025, is not anticipated to fund our projected operating expenses and capital expenditure requirements after April 2027, and accordingly, there is substantial doubt about the Company’s ability to continue to operate as a going concern. We continue to take cash preservation measures to defer or reduce costs in the near term in order to preserve capital and increase financial flexibility. These cash preservation measures may impact our ability and the timing to execute our strategy, including our ability to achieve the anticipated milestones and the timing of patient enrollment and/or regulatory filings for our preclinical and clinical programs. For more information, see “Going Concern” in Part II, “Item 7. Management’s Discussion and Analysis of Financial Condition and Results of Operations,” below, for a further discussion of our liquidity and the conditions that raise substantial doubt regarding our ability to continue as a going concern.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Pipeline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chart shows the developmental status and the next anticipated milestones of our clinical and preclinical product candidates, all of which are wholly owned. The timing of the next anticipated milestones below and the related discussion throughout this Business section are estimates based upon the receipt of additional capital to fund our programs. For more information, see “Going Concern” in Part II, “Item 7. Management’s Discussion and Analysis of Financial Condition and Results of Operations,” below.</w:t>
      </w:r>
    </w:p>
    <w:p>
      <w:pPr>
        <w:pStyle w:val="TextBody"/>
        <w:bidi w:val="0"/>
        <w:spacing w:before="120" w:after="283"/>
        <w:jc w:val="both"/>
        <w:rPr/>
      </w:pPr>
      <w:r>
        <w:rPr/>
        <w:t> </w:t>
      </w:r>
    </w:p>
    <w:p>
      <w:pPr>
        <w:pStyle w:val="TextBody"/>
        <w:bidi w:val="0"/>
        <w:spacing w:before="120" w:after="283"/>
        <w:jc w:val="center"/>
        <w:rPr/>
      </w:pPr>
      <w:r>
        <w:rPr/>
        <w:drawing>
          <wp:inline distT="0" distB="0" distL="0" distR="0">
            <wp:extent cx="6486525" cy="3648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486525" cy="3648075"/>
                    </a:xfrm>
                    <a:prstGeom prst="rect">
                      <a:avLst/>
                    </a:prstGeom>
                  </pic:spPr>
                </pic:pic>
              </a:graphicData>
            </a:graphic>
          </wp:inline>
        </w:drawing>
      </w:r>
    </w:p>
    <w:p>
      <w:pPr>
        <w:pStyle w:val="TextBody"/>
        <w:bidi w:val="0"/>
        <w:jc w:val="both"/>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1. Pipeline Chart</w:t>
      </w:r>
    </w:p>
    <w:p>
      <w:pPr>
        <w:pStyle w:val="TextBody"/>
        <w:bidi w:val="0"/>
        <w:spacing w:before="0" w:after="12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Our Strategy</w:t>
      </w:r>
    </w:p>
    <w:p>
      <w:pPr>
        <w:pStyle w:val="TextBody"/>
        <w:bidi w:val="0"/>
        <w:spacing w:before="0" w:after="120"/>
        <w:jc w:val="both"/>
        <w:rPr>
          <w:rFonts w:ascii="Times New Roman" w:hAnsi="Times New Roman"/>
          <w:sz w:val="20"/>
        </w:rPr>
      </w:pPr>
      <w:r>
        <w:rPr>
          <w:rFonts w:ascii="Times New Roman" w:hAnsi="Times New Roman"/>
          <w:color w:val="000000"/>
          <w:sz w:val="20"/>
        </w:rPr>
        <w:t>We are dedicated to leveraging our DeltEx platform to develop next generation gamma-delta T cell therapies that we believe can dramatically improve outcomes for cancer patients in our efforts to achieve our mission of Cancer Zero</w:t>
      </w:r>
      <w:r>
        <w:rPr>
          <w:rFonts w:ascii="Times New Roman" w:hAnsi="Times New Roman"/>
          <w:color w:val="000000"/>
          <w:sz w:val="13"/>
        </w:rPr>
        <w:t>TM</w:t>
      </w:r>
      <w:r>
        <w:rPr>
          <w:rFonts w:ascii="Times New Roman" w:hAnsi="Times New Roman"/>
          <w:color w:val="000000"/>
          <w:sz w:val="20"/>
        </w:rPr>
        <w:t>. To achieve this goal, our strategy, which is dependent on our ability to raise additional capital or successfully deploy other strategic options, is as follows:</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i/>
          <w:color w:val="000000"/>
          <w:sz w:val="20"/>
        </w:rPr>
        <w:t xml:space="preserve">Continue to complete the expansion cohort in the Phase 1 trial of our clinical product candidate INB-100, while exploring opportunities to advance our other candidates including INB-400. </w:t>
      </w:r>
      <w:r>
        <w:rPr>
          <w:rFonts w:ascii="Times New Roman" w:hAnsi="Times New Roman"/>
          <w:color w:val="000000"/>
          <w:sz w:val="20"/>
        </w:rPr>
        <w:t>We are conducting a Phase 1 dose escalation clinical trial of INB-100, our DeltEx Allo product candidate in patients with hematologic malignancies undergoing allogeneic HSCT. We currently expect to report initial long-term follow up data from the Phase 1 clinical trial including patients in the expansion cohort at a medical meeting in late 2026. We have completed patient treatment in our INB-200 and INB-400 programs, which comprise our autologous DeltEx DRI programs developed for the treatment of newly diagnosed GBM. In September 2024, we suspended enrollment in our Phase 2, multi-center clinical trial of INB-400, a company-sponsored clinical program evaluating our autologous DeltEx DRI product candidate in newly diagnosed GBM. We continue to monitor patients who were enrolled and treated and we expect to provide a further clinical update, including additional mOS data from the total data set, at medical meetings in mid- and late-2026. We will seek guidance from the FDA on potential regulatory pathways toward registration and we will evaluate opportunities to fund and/or partner this program.</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Advance INB-619 into clinical development, subject to animal data and receiving authorization from FDA pursuant to company-sponsored INDs.</w:t>
      </w:r>
      <w:r>
        <w:rPr>
          <w:color w:val="000000"/>
        </w:rPr>
        <w:t xml:space="preserve"> </w:t>
      </w:r>
      <w:r>
        <w:rPr>
          <w:rFonts w:ascii="Times New Roman" w:hAnsi="Times New Roman"/>
          <w:color w:val="000000"/>
          <w:sz w:val="20"/>
        </w:rPr>
        <w:t xml:space="preserve">INB-619 is our proprietary, internally developed CD19 targeting TCE program. Gamma-delta T cells have demonstrated advantageous properties in the clinic, including low rates of CRS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immune effector cell–associated neurotoxicity syndrome (“ICANS”). Our TCE platform has unique features that we believe may widen the therapeutic window and address some of the challenges with the development of conventional T cell engagers. This program positions us with a promising candidate for a range of potential applications, from solid tumors to autoimmune diseases, offering a novel approach to immune system modulation and disease treatment. We expect to present preliminary animal model data in 2026, with a goal of submitting an IND in 2027.</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Advance and continue to scale our manufacturing. </w:t>
      </w:r>
      <w:r>
        <w:rPr>
          <w:rFonts w:ascii="Times New Roman" w:hAnsi="Times New Roman"/>
          <w:color w:val="000000"/>
          <w:sz w:val="20"/>
        </w:rPr>
        <w:t>We have established an automated, closed-system, reproducible, scalable manufacturing platform. We will continue to focus on expanding manufacturing capacity and capabilities along with advanced manufacturing methods to support our ongoing and anticipated clinical development. In addition to using collaborators such as the Cellular Therapy Laboratory at the University of Alabama at Birmingham ("UAB") and the Dunbar CAR-T Cell Program at the University of Louisville, we plan to expand our internal manufacturing capabilities as well as potential collaborations with contract development and manufacturing organizations (“CDMOs”) as we seek a path towards registration. We will leverage our company know-how and collaborators for product delivery, logistics and capacity expansion across our parallel processes.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Independently develop and commercialize our product candidates where we believe we can maximize their value and benefit to patients. </w:t>
      </w:r>
      <w:r>
        <w:rPr>
          <w:rFonts w:ascii="Times New Roman" w:hAnsi="Times New Roman"/>
          <w:color w:val="000000"/>
          <w:sz w:val="20"/>
        </w:rPr>
        <w:t>Given the broad applicability of our DeltEx gamma-delta T cell pipeline across multiple cancer and autoimmune indications, we plan to maximize its value by retaining development and commercialization rights to the product candidates, indications, and geographies that we believe we can commercialize successfully on our own, pending regulatory approval. We plan to collaborate on candidates that show promising utility in disease indications, patient populations or geographies that we believe would be better served by the resources, specific expertise or commercial abilities of other biopharmaceutical companies or partners.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Continue to build value through expansion and continuation of our intellectual property portfolio in relevant geographies. </w:t>
      </w:r>
      <w:r>
        <w:rPr>
          <w:rFonts w:ascii="Times New Roman" w:hAnsi="Times New Roman"/>
          <w:color w:val="000000"/>
          <w:sz w:val="20"/>
        </w:rPr>
        <w:t>As of December 31, 2025, our intellectual property portfolio consisted of 11 patent families that broadly protect our DeltEx platform and our product candidates, both through composition of matter and method of use. Our patents and pending applications broadly cover the use of allogeneic gamma-delta T cells in HSCT, including in the treatment of AML and other cancers. Our patents also broadly cover genetic modifications to gamma-delta T cells that convey chemotherapy resistance, including our DeltEx DRI cells, and their use in multiple solid and liquid tumors. Our future product candidates could incorporate additional proprietary genetic alterations designed to make them resistant to other chemotherapies utilized to treat multiple types of solid tumor cancers. Our patents also cover the method of generating these genetically engineered cells from patients or donors and their use in multiple solid and liquid tumors. Finally, we have patent families that cover the composition of our nsCAR constructs in gamma-delta T cells, as well as our iPSC platform and gamma-delta TCE platform.</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Gamma-Delta T Cells: Leveraging the Nexus of the Immune System</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Rise of Cell Therapy and Subsequent Fall – Rising Again from the Ashes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has been significant innovation in the treatment of cancer, including novel cellular therapies, radiotherapies and TCEs. Immuno-oncology utilizes the immune system to identify and kill cancer and/or target cells. Such therapies can either prevent the tumor’s ability to suppress immune attack or to directly utilize immune cells to kill specifically targeted cells. The immune system consists of complex and highly evolved groups of cells that have the ability to target dangerous pathogens and damaged or sick tissue to keep the body safe. The system is generally comprised of two functional branches, the innate or early immune response and the adaptive or memory immune response. Gamma-delta T cells bridge between these systems and are endowed with at least two independent recognition systems to sense tumor cells and to initiate anticancer killing by recruiting and activating multiple immune cell types.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innate and adaptive immune responses both play critical roles in the fight against cancer. While both systems possess critical functions, the most effective tumor-killing occurs when they work in concert. As shown in Figure 2 below, gamma-delta T cells sit at the nexus of the two systems and possess a powerful combination of both innate and adaptive cell properties. They can directly kill without prior antigen priming, similar to certain innate cells, such as natural killer (“NK”) cells, but can also function to present antigen directly to drive cytokine release and to target neoantigens through antigen mediated cell killing.</w:t>
      </w:r>
    </w:p>
    <w:p>
      <w:pPr>
        <w:pStyle w:val="TextBody"/>
        <w:bidi w:val="0"/>
        <w:spacing w:before="0" w:after="160"/>
        <w:jc w:val="center"/>
        <w:rPr/>
      </w:pPr>
      <w:r>
        <w:rPr/>
        <w:drawing>
          <wp:inline distT="0" distB="0" distL="0" distR="0">
            <wp:extent cx="5943600" cy="3314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331470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2. Gamma-Delta T Cells: Innate and Adaptive Immune System Characteristics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Most cell therapy approaches utilize either the adaptive immune system, such as alpha-beta T cells, or the innate immune system, such as NK cells. These approaches have demonstrated certain inherent limitations, particularly with allogeneic approaches against solid tumors, which has contributed to a severe downturn in sector-wide enthusiasm. Recent clinical data has demonstrated that the depth and durability of responses have often fallen short of initial expectations. Consequently, pharmaceutical companies have shifted their focus towards </w:t>
      </w:r>
      <w:r>
        <w:rPr>
          <w:rFonts w:ascii="Times New Roman" w:hAnsi="Times New Roman"/>
          <w:i/>
          <w:color w:val="000000"/>
          <w:sz w:val="20"/>
        </w:rPr>
        <w:t>in vivo</w:t>
      </w:r>
      <w:r>
        <w:rPr>
          <w:rFonts w:ascii="Times New Roman" w:hAnsi="Times New Roman"/>
          <w:color w:val="000000"/>
          <w:sz w:val="20"/>
        </w:rPr>
        <w:t xml:space="preserve"> CAR-T approaches with multiple partnerships and acquisitions occurring in recent years. These </w:t>
      </w:r>
      <w:r>
        <w:rPr>
          <w:rFonts w:ascii="Times New Roman" w:hAnsi="Times New Roman"/>
          <w:i/>
          <w:color w:val="000000"/>
          <w:sz w:val="20"/>
        </w:rPr>
        <w:t>in vivo</w:t>
      </w:r>
      <w:r>
        <w:rPr>
          <w:rFonts w:ascii="Times New Roman" w:hAnsi="Times New Roman"/>
          <w:color w:val="000000"/>
          <w:sz w:val="20"/>
        </w:rPr>
        <w:t xml:space="preserve"> approaches, however, remain early stage, with unproven safety and only a small number of patients having been treated. We believe that, when used appropriately, the unique properties of gamma-delta T cells suggest that their therapeutic use could overcome many of the challenges observed with alpha-beta and NK cellular therapies. Simplistically, gamma-delta T cells are a combination of both immune worlds, with the memory and persistence features of the adaptive immune cells along with the recognition, killing and safety features of the innate immune cells. To date, our clinical data across multiple trials support the potential of this approach. Allogeneic gamma-delta T cells in patients with high-risk leukemia and autologous, genetically modified gamma-delta T cells in patients with glioblastoma have both demonstrated durable, long-term progression-free remissions, with some patients exceeding four years in two very different and difficult-to-treat indications.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Inherent Limitations of Current Cell Therapy Approaches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common approach in cell therapy involves the use of genetically engineered CARs on a T or NK cell that enable it to recognize a specific protein or antigen that may be present on the surface of tumor cells. The CAR bypasses the normal biology of T and NK cells, by driving their activation through the binding of the CAR-directed antigen. While effective for direct antigen recognition, the inherent heterogeneity of many tumors means that it is unlikely that any single antigen will be expressed by all tumor cells.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Since 2017, the FDA has approved multiple CAR-T and cellular therapies, which have been transformative in the treatment of certain hematological cancers and are now estimated to generate over $6 to 7 billion in annual sales in 2026. Of late, as we have moved into more complex and difficult-to-treat cancers, multiple cell therapy products in development have succumbed to significant toxicities and/or failed to demonstrate robust and durable tumor remissions. This general lack of efficacy in certain tumors underscores the limited therapeutic window and inherent challenges of CAR-T approaches. Many of the limitations of CAR-T cell therapies are related to the fundamental dynamics of complex, heterogeneous tumors and T cell biology. This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includes (i) the potential inability to effectively target the entire tumor using a single antigen CAR due to tumor heterogeneity, (ii) the potential inability to effectively penetrate the tumor microenvironment ("TME"), due to physical barriers such as tumor bulk, (iii) the lack of tumor antigens, which are ubiquitously and uniquely expressed on tumor cells resulting in off-tumor toxicities, (iv) potential limited T cell function due to the immunosuppressive TME, including regulatory T cells ("Tregs"), and other immune-suppressive cells, (v) limited ability to efficiently deliver cells directly to the tumor site to generate a high effector to target ("E:T") ratio, (vi) the rapid immune rejection of human leukocyte antigen (“HLA”) mismatched, allogeneic cells and (vii) the inability to combine with effective chemotherapeutic regimens due to the chemosensitivity of immune cells. Additional challenges that have potentially hampered widespread adoption of existing CAR-T technologies include scalability, safety and cost.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recent years, multiple programs have also attempted to leverage natural killer CAR based therapies ("CAR-NK") to amplify the innate immune response to cancer with limited success. NK cells are innate immune cells that possess the ability to detect and kill cancer cells by recognizing common antigens without highly selective adapted receptors towards specific antigens. Their cytotoxicity is mainly dependent on the balance between activating and inhibitory signals, such as killer cell immunoglobulin-like receptors ("KIRs"), which can be overcome with the addition of CARs to allow for their use in cell therapy. CAR-NKs are attractive over alpha-beta CARs for two primary reasons: (i) CAR-NKs do not express the cytokine IL-6, one of the major drivers of CRS, which can lead to substantial morbidity and mortality with traditional immune CAR-T therapies; and (ii) CAR-NKs are not major histocompatibility complex ("MHC"), restricted and can be infused from a donor to a patient without complex and expensive genetic engineering to prevent graft versus host disease ("GvHD").</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Despite these advantages, the development of CAR-NKs has faced several key challenges — in particular, manufacturing difficulties and limited scalability, their sensitivity to cryopreservation leading to a loss of viability and cytotoxicity, a limited ability to efficiently introduce genetic modifications, and lower cell persistence. Importantly, against solid tumors, the addition of a CAR to overcome KIR inhibition in an NK cell overrides their endogenous ability to target multiple receptors and results in a single antigen targeting CAR with the same limitation towards relapse due to tumor heterogeneity and ultimately antigen escape as a traditional CAR-T. In recent years, CAR-NK and allogeneic CAR-T cell clinical data proved to be disappointing due to the lack of deep and durable tumor responses. This is often due to a lack of persistence of allogeneic cellular therapies where reconstitution of the hosts immune system, specifically the NK cells, following transient lymphodepletion results in rapid elimination of the allogeneic therapy in a process known as host-vs-graft. Further, data published in the </w:t>
      </w:r>
      <w:r>
        <w:rPr>
          <w:rFonts w:ascii="Times New Roman" w:hAnsi="Times New Roman"/>
          <w:i/>
          <w:color w:val="000000"/>
          <w:sz w:val="20"/>
        </w:rPr>
        <w:t>Journal of Translational Medicine</w:t>
      </w:r>
      <w:r>
        <w:rPr>
          <w:rFonts w:ascii="Times New Roman" w:hAnsi="Times New Roman"/>
          <w:color w:val="000000"/>
          <w:sz w:val="20"/>
        </w:rPr>
        <w:t xml:space="preserve"> in early 2024 demonstrated that NK cells that enter the solid tumor microenvironment can be rapidly reprogramed into dysfunctional tissue resident cells that lack effector function and anti-tumor activity. These observations have resulted in significant pipeline changes and the termination of most oncology programs by major biotechnology and pharmaceutical companies developing CAR-T, CAR-NK or even iNK cell therapies over the past few years.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inherent and engineered limitations of these therapies, particularly in the solid tumor setting, creates substantial opportunity for improved and differentiated cell therapies for cancer and autoimmune disease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Why Gamma-Delta T Cells?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Gamma-delta T cells are a unique subset of immune cells that sit at the nexus of the innate and adaptive immune systems and possess properties of both, performing diverse immune functions including protection against tumors. This combination of features conveys functional abilities that make them ideally suited for use in cell therapy against cancer. They typically account for up to 10% of T cells but can undergo rapid activation and expansion in response to diseased or damaged tissue. As gamma-delta T cells bridge between the innate and adaptive immune response, they are thought to have greater persistence than NK cells. Our own histopathological data from the INB-200 clinical trial has repeatedly demonstrated both an increase in the number of gamma-delta T cells and their continued presence in the TME, following infusion(s) of our DeltEx DRI modified gamma-delta T cells. The University of Pennsylvania published data in the journal Nature in February 2022 that demonstrated decade-long leukemia remissions in two patients with chronic lymphocytic leukemia. The data showed persistence of highly activated CD4+ CAR-T cells including a large population of gamma-delta CAR-T cells that prominently expanded in one patient along with CD8+ CAR T cells. Surprising data from our own INB-100 program in leukemia patients undergoing HSCT had demonstrated for the first time the </w:t>
      </w:r>
      <w:r>
        <w:rPr>
          <w:rFonts w:ascii="Times New Roman" w:hAnsi="Times New Roman"/>
          <w:i/>
          <w:color w:val="000000"/>
          <w:sz w:val="20"/>
        </w:rPr>
        <w:t>in vivo</w:t>
      </w:r>
      <w:r>
        <w:rPr>
          <w:rFonts w:ascii="Times New Roman" w:hAnsi="Times New Roman"/>
          <w:color w:val="000000"/>
          <w:sz w:val="20"/>
        </w:rPr>
        <w:t xml:space="preserve"> expansion and long-term persistence of allogeneic gamma-delta T cells for as long as 365 days.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Gamma-delta T cells are multifunctional with a complex receptor repertoire including the semi-invariant TCR which allows them to distinguish between healthy and diseased or stressed tissue. This distinct mode of antigen recognition is a critical feature that distinguishes them from not only alpha-beta T cells but also B cells and NK cells. Gamma-delta T cells can kill effectively, both by direct cellular killing as well as the recruitment of additional immune cell types to induce killing. Importantly, gamma-delta T cells can kill in situations where other immune cells cannot, such as alpha-beta T cells through the downregulation of MHC expression or NK cells through inhibition by matched KIR.</w:t>
      </w:r>
    </w:p>
    <w:p>
      <w:pPr>
        <w:pStyle w:val="TextBody"/>
        <w:bidi w:val="0"/>
        <w:jc w:val="both"/>
        <w:rPr/>
      </w:pPr>
      <w:r>
        <w:rPr/>
        <w:t> </w:t>
      </w:r>
    </w:p>
    <w:p>
      <w:pPr>
        <w:pStyle w:val="TextBody"/>
        <w:bidi w:val="0"/>
        <w:spacing w:before="0" w:after="160"/>
        <w:jc w:val="center"/>
        <w:rPr/>
      </w:pPr>
      <w:r>
        <w:rPr/>
        <w:drawing>
          <wp:inline distT="0" distB="0" distL="0" distR="0">
            <wp:extent cx="6486525" cy="3324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486525" cy="3324225"/>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3. “Nature’s CAR-T Cell”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Gamma-delta T cells have been referred to as “Nature’s CAR-T cells” because their complex antigen recognition allows them to naturally and effectively target and eliminate diseased tissues, such as tumor tissue. As shown in Figure 3, their diverse receptor repertoire may enable them to recognize and target the array of heterogeneous antigens expressed by solid tumors, which has been a significant challenge to existing single-antigen targeting CAR technologies using NK and alpha-beta T cells.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Gamma-delta T cells also have the inherent ability to recognize a broad array of cellular stress signals, leading to both direct tumor cell killing as well as activation of a multifaceted immune response. Gamma-delta T cells have been observed to directly recognize and respond to a variety of MHC-like stress-induced self-antigens expressed by malignant cells without previously having the antigen presented, similar to NK cells. This recognition of stress antigens is achieved through a combination of gamma-delta TCRs, natural killer receptors ("NKRs"), such as NKG2D, DNAM-1, and toll-like receptors ("TLRs"). This diversity of receptors is central to gamma-delta T cells’ ability to identify healthy versus diseased tissue and may also contribute to their ability to effectively target cells, such as tumor cells with high variability and/or heterogeneity, thereby reducing antigen escape as shown in Figure 4 below.</w:t>
      </w:r>
    </w:p>
    <w:p>
      <w:pPr>
        <w:pStyle w:val="TextBody"/>
        <w:bidi w:val="0"/>
        <w:spacing w:before="0" w:after="160"/>
        <w:jc w:val="center"/>
        <w:rPr/>
      </w:pPr>
      <w:r>
        <w:rPr/>
        <w:drawing>
          <wp:inline distT="0" distB="0" distL="0" distR="0">
            <wp:extent cx="6257925" cy="27241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257925" cy="272415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4. Innate Immune Cell Receptors of Gamma-Delta T Cells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highlights key potential advantages of gamma-delta T cells in comparison to other cell therapies for cancer:</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i/>
          <w:color w:val="000000"/>
          <w:sz w:val="20"/>
        </w:rPr>
        <w:t>Differentiate between healthy and cancer cells</w:t>
      </w:r>
      <w:r>
        <w:rPr>
          <w:rFonts w:ascii="Times New Roman" w:hAnsi="Times New Roman"/>
          <w:i/>
          <w:color w:val="000000"/>
          <w:sz w:val="20"/>
        </w:rPr>
        <w:t>.</w:t>
      </w:r>
      <w:r>
        <w:rPr>
          <w:color w:val="000000"/>
        </w:rPr>
        <w:t xml:space="preserve"> </w:t>
      </w:r>
      <w:r>
        <w:rPr>
          <w:rFonts w:ascii="Times New Roman" w:hAnsi="Times New Roman"/>
          <w:color w:val="000000"/>
          <w:sz w:val="20"/>
        </w:rPr>
        <w:t>By using a combination of signaling receptors, including gamma-delta TCR, NKG2D, DNAM-1, and TLR, among others, gamma-delta T cells can safely distinguish between safe and dangerous tissues, such as cancerous tissues, within the body.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Broad tumor recognition overcomes surface antigen heterogeneity</w:t>
      </w:r>
      <w:r>
        <w:rPr>
          <w:rFonts w:ascii="Times New Roman" w:hAnsi="Times New Roman"/>
          <w:i/>
          <w:color w:val="000000"/>
          <w:sz w:val="20"/>
        </w:rPr>
        <w:t>.</w:t>
      </w:r>
      <w:r>
        <w:rPr>
          <w:color w:val="000000"/>
        </w:rPr>
        <w:t xml:space="preserve"> </w:t>
      </w:r>
      <w:r>
        <w:rPr>
          <w:rFonts w:ascii="Times New Roman" w:hAnsi="Times New Roman"/>
          <w:color w:val="000000"/>
          <w:sz w:val="20"/>
        </w:rPr>
        <w:t>The tumor contains cells that express a variety of antigen targets at different levels of expression. The complex and polyclonal binding abilities of gamma-delta TCR and NKG2D receptor allow them to broadly target diseased tissue and cover the heterogeneity of the tumor.</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Recruit and activate additional immune effector cells</w:t>
      </w:r>
      <w:r>
        <w:rPr>
          <w:rFonts w:ascii="Times New Roman" w:hAnsi="Times New Roman"/>
          <w:color w:val="000000"/>
          <w:sz w:val="20"/>
        </w:rPr>
        <w:t>. Gamma-delta T cells broaden the immune response both through secretion of effector cytokines and chemokines that recruit and stimulate immune cells at the tumor. Gamma-delta T cells can elicit dendritic cell ("DC") maturation by conveying danger associated molecular patterns ("DAMPs"), and pathogen associated molecular patterns ("PAMPs") to such cells. Certain subtypes of gamma-delta T cells also function directly as professional antigen presenting cells ("APCs"), that activate and instruct alpha-beta T cells, similar to other innate immune cells like DCs, in order to elicit a potent and selective adaptive immune response.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Safety advantages over other cell therapies</w:t>
      </w:r>
      <w:r>
        <w:rPr>
          <w:rFonts w:ascii="Times New Roman" w:hAnsi="Times New Roman"/>
          <w:color w:val="000000"/>
          <w:sz w:val="20"/>
        </w:rPr>
        <w:t>. Gamma-delta T cells do not recognize allogeneic MHC restricted antigens and thereby can be obtained from a partially matched or even unmatched donor, which may allow these cells to be used "off-the-shelf". Gamma-delta T cells also do not significantly secrete IL-6 or TNF-alpha (“TNF-a”) drivers of CRS, which has been a fatal complication in CAR-T and CD3 TCEs in acute leukemias.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How Gamma-Delta T Cells Kill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biology of gamma-delta T cells is complex, with multiple mechanistic approaches to effectively recognize, target and directly kill tumor cells, as shown in Figure 5 below. This allows them to drive towards deeper immune responses through immune cell recruitment and activation, cytokine release and antigen presentation:</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i/>
          <w:color w:val="000000"/>
          <w:sz w:val="20"/>
        </w:rPr>
        <w:t>Induction of cellular apoptosis</w:t>
      </w:r>
      <w:r>
        <w:rPr>
          <w:rFonts w:ascii="Times New Roman" w:hAnsi="Times New Roman"/>
          <w:i/>
          <w:color w:val="000000"/>
          <w:sz w:val="20"/>
        </w:rPr>
        <w:t>.</w:t>
      </w:r>
      <w:r>
        <w:rPr>
          <w:color w:val="000000"/>
        </w:rPr>
        <w:t xml:space="preserve"> </w:t>
      </w:r>
      <w:r>
        <w:rPr>
          <w:rFonts w:ascii="Times New Roman" w:hAnsi="Times New Roman"/>
          <w:color w:val="000000"/>
          <w:sz w:val="20"/>
        </w:rPr>
        <w:t>Fas ligand ("CD95L") and tumor necrosis factor-related apoptosis-inducing ligand ("TRAIL") are both well-known triggers of cell death. These proteins are expressed on gamma-delta T cells, which allows them to engage the death receptors on target cells, leading to the direct destruction of cancer and/or targeted cells.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Secretion of cell-killing enzymes and proteins</w:t>
      </w:r>
      <w:r>
        <w:rPr>
          <w:rFonts w:ascii="Times New Roman" w:hAnsi="Times New Roman"/>
          <w:i/>
          <w:color w:val="000000"/>
          <w:sz w:val="20"/>
        </w:rPr>
        <w:t xml:space="preserve">. </w:t>
      </w:r>
      <w:r>
        <w:rPr>
          <w:rFonts w:ascii="Times New Roman" w:hAnsi="Times New Roman"/>
          <w:color w:val="000000"/>
          <w:sz w:val="20"/>
        </w:rPr>
        <w:t>Gamma-delta T cells secrete granzymes, cell killing enzymes, that are typical of killer cells and cytotoxic T cells, and perforin, a protein that opens a hole in the target cell, allowing for the entry of granzymes. This can lead to apoptosis, or programmed cell death, in the same manner as NK cells.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Antibody-dependent cellular cytotoxicity</w:t>
      </w:r>
      <w:r>
        <w:rPr>
          <w:rFonts w:ascii="Times New Roman" w:hAnsi="Times New Roman"/>
          <w:i/>
          <w:color w:val="000000"/>
          <w:sz w:val="20"/>
        </w:rPr>
        <w:t>.</w:t>
      </w:r>
      <w:r>
        <w:rPr>
          <w:color w:val="000000"/>
        </w:rPr>
        <w:t xml:space="preserve"> </w:t>
      </w:r>
      <w:r>
        <w:rPr>
          <w:rFonts w:ascii="Times New Roman" w:hAnsi="Times New Roman"/>
          <w:color w:val="000000"/>
          <w:sz w:val="20"/>
        </w:rPr>
        <w:t>Antibody-dependent cellular cytotoxicity ("ADCC"), is cell-mediated cell killing, an efficient killing mechanism employed by the immune system. ADCC is triggered by the recognition of tumor-targeting antibodies through the CD16 expressed on gamma-delta T cells, similar to NK cells. This mechanism could allow the combination of gamma-delta T cell therapy with FDA-approved monoclonal antibody therapeutics, such as Rituxan, designed to enhance the effect of the antibody.</w:t>
      </w:r>
    </w:p>
    <w:p>
      <w:pPr>
        <w:pStyle w:val="TextBody"/>
        <w:bidi w:val="0"/>
        <w:jc w:val="both"/>
        <w:rPr/>
      </w:pPr>
      <w:r>
        <w:rPr/>
        <w:t> </w:t>
      </w:r>
    </w:p>
    <w:p>
      <w:pPr>
        <w:pStyle w:val="TextBody"/>
        <w:bidi w:val="0"/>
        <w:jc w:val="center"/>
        <w:rPr/>
      </w:pPr>
      <w:r>
        <w:rPr/>
        <w:t> </w:t>
      </w:r>
    </w:p>
    <w:p>
      <w:pPr>
        <w:pStyle w:val="TextBody"/>
        <w:bidi w:val="0"/>
        <w:jc w:val="center"/>
        <w:rPr/>
      </w:pPr>
      <w:r>
        <w:rPr/>
        <w:drawing>
          <wp:inline distT="0" distB="0" distL="0" distR="0">
            <wp:extent cx="5410200" cy="3228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10200" cy="3228975"/>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5. Multiple Cell-Killing Mechanisms of Activated Gamma-Delta T Cells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Opportunities for Gamma-Delta T Cells in Cancer</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The therapeutic potential of gamma-delta T cells is supported by observations over 30 years demonstrating a significant clinical correlation between naturally occurring high levels of gamma-delta T cells and better survival outcomes in both hematologic and solid tumor cancers. Our scientific founder and Chief Scientific Officer, Dr. Lamb, was the first person to report an association between high levels of gamma-delta T cells and improved survival in leukemia patients undergoing allogeneic HSCT. His work, published in </w:t>
      </w:r>
      <w:r>
        <w:rPr>
          <w:rFonts w:ascii="Times New Roman" w:hAnsi="Times New Roman"/>
          <w:i/>
          <w:color w:val="000000"/>
          <w:sz w:val="20"/>
        </w:rPr>
        <w:t>J. Hematotherapy</w:t>
      </w:r>
      <w:r>
        <w:rPr>
          <w:rFonts w:ascii="Times New Roman" w:hAnsi="Times New Roman"/>
          <w:color w:val="000000"/>
          <w:sz w:val="20"/>
        </w:rPr>
        <w:t xml:space="preserve"> in 1996, and expanded on in a publication in </w:t>
      </w:r>
      <w:r>
        <w:rPr>
          <w:rFonts w:ascii="Times New Roman" w:hAnsi="Times New Roman"/>
          <w:i/>
          <w:color w:val="000000"/>
          <w:sz w:val="20"/>
        </w:rPr>
        <w:t xml:space="preserve">Cytotherapy </w:t>
      </w:r>
      <w:r>
        <w:rPr>
          <w:rFonts w:ascii="Times New Roman" w:hAnsi="Times New Roman"/>
          <w:color w:val="000000"/>
          <w:sz w:val="20"/>
        </w:rPr>
        <w:t>in 1999, found that the disease-free survival rate of HSCT patients who received T cell depleted ("TCD"), grafts from a partially matched donor increased in those with high levels of gamma-delta T cells. These findings have been supported by reported studies from other scientists. In 2007, Dr. Lamb and his collaborators found that the association between post-transplant gamma-delta T cells and survival as depicted in Figure 6 below, extended to at least seven years, and that 71% of patients with high levels of gamma-delta T cells survived up to seven years compared to 20% of patients with low levels of gamma-delta T cells.</w:t>
      </w:r>
    </w:p>
    <w:p>
      <w:pPr>
        <w:pStyle w:val="TextBody"/>
        <w:bidi w:val="0"/>
        <w:spacing w:before="0" w:after="160"/>
        <w:jc w:val="center"/>
        <w:rPr/>
      </w:pPr>
      <w:r>
        <w:rPr/>
        <w:drawing>
          <wp:inline distT="0" distB="0" distL="0" distR="0">
            <wp:extent cx="4905375" cy="3019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905375" cy="3019425"/>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6. Correlation of Naturally Occurring Gamma</w:t>
        <w:noBreakHyphen/>
        <w:t>Delta T cells and Long</w:t>
        <w:noBreakHyphen/>
        <w:t>Term Survival in Leukemia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 Stanford University analysis of tumor-infiltrating immune cells in approximately 18,000 human tumor samples found that among all the subtypes of immune cells analyzed, the presence of gamma-delta T cells as tumor infiltrating lymphocytes ("TILs"), was the most highly correlated with overall survival, as shown in Figure 7 below. Patients with solid tumors containing gamma-delta T cells were significantly more likely to improve and potentially survive than those without gamma-delta T cells present.</w:t>
      </w:r>
    </w:p>
    <w:p>
      <w:pPr>
        <w:pStyle w:val="TextBody"/>
        <w:bidi w:val="0"/>
        <w:spacing w:before="240" w:after="160"/>
        <w:jc w:val="center"/>
        <w:rPr/>
      </w:pPr>
      <w:r>
        <w:rPr/>
        <w:drawing>
          <wp:inline distT="0" distB="0" distL="0" distR="0">
            <wp:extent cx="5362575" cy="4057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362575" cy="405765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7. Prognostic Association of Tumor Infiltrating Lymphocytes and Survival Outcomes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More recent studies continue to support these historical observations correlating gamma-delta T cell levels with improved patient outcomes, even when the primary therapy is another modality such as checkpoint inhibitors or CAR-T therapy. In 2024, a paper published in </w:t>
      </w:r>
      <w:r>
        <w:rPr>
          <w:rFonts w:ascii="Times New Roman" w:hAnsi="Times New Roman"/>
          <w:i/>
          <w:color w:val="000000"/>
          <w:sz w:val="20"/>
        </w:rPr>
        <w:t>Nature Cancer</w:t>
      </w:r>
      <w:r>
        <w:rPr>
          <w:rFonts w:ascii="Times New Roman" w:hAnsi="Times New Roman"/>
          <w:color w:val="000000"/>
          <w:sz w:val="20"/>
        </w:rPr>
        <w:t xml:space="preserve"> demonstrated that gamma-delta T cells were associated with better responses in melanoma patients being treated with immune checkpoint inhibitors, especially in those patients that had low neoantigen levels. This is contrary to conventional dogma whereby checkpoint inhibitors are thought to have greater efficacy in those cancers with high neoantigen load and mutational burden. The authors postulate that gamma-delta T cells are probably an important constituent of tumor-infiltrating lymphocyte populations, allowing surveillance of tumors and are associated with a better prognosis. In a separate study published in </w:t>
      </w:r>
      <w:r>
        <w:rPr>
          <w:rFonts w:ascii="Times New Roman" w:hAnsi="Times New Roman"/>
          <w:i/>
          <w:color w:val="000000"/>
          <w:sz w:val="20"/>
        </w:rPr>
        <w:t>Cell Reports Medicine</w:t>
      </w:r>
      <w:r>
        <w:rPr>
          <w:rFonts w:ascii="Times New Roman" w:hAnsi="Times New Roman"/>
          <w:color w:val="000000"/>
          <w:sz w:val="20"/>
        </w:rPr>
        <w:t xml:space="preserve">, the authors utilized single-cell analysis to examine cellular dynamics in patients treated with CD19 CAR-T cells. It was validated that CAR+ gamma-delta T cell expansion is correlated with treatment efficacy in both B-ALL and DLBCL. The authors noted that two patients who experienced a “massive” </w:t>
      </w:r>
      <w:r>
        <w:rPr>
          <w:rFonts w:ascii="Times New Roman" w:hAnsi="Times New Roman"/>
          <w:i/>
          <w:color w:val="000000"/>
          <w:sz w:val="20"/>
        </w:rPr>
        <w:t xml:space="preserve">in vivo </w:t>
      </w:r>
      <w:r>
        <w:rPr>
          <w:rFonts w:ascii="Times New Roman" w:hAnsi="Times New Roman"/>
          <w:color w:val="000000"/>
          <w:sz w:val="20"/>
        </w:rPr>
        <w:t>expansion of CAR+ gamma-delta T cells had a more sustained clinical response and that these trends were also observed for CAR- gamma-delta T cells.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While gamma-delta T cells have demonstrated clinical association with specific tumor responses, there have been significant hurdles to developing them as cell therapies and TCEs, particularly for solid tumors. Gamma-delta T cells comprise less than 10% of all lymphocytes found in the body, and as such have been challenging to manufacture or target </w:t>
      </w:r>
      <w:r>
        <w:rPr>
          <w:rFonts w:ascii="Times New Roman" w:hAnsi="Times New Roman"/>
          <w:i/>
          <w:color w:val="000000"/>
          <w:sz w:val="20"/>
        </w:rPr>
        <w:t>in vivo</w:t>
      </w:r>
      <w:r>
        <w:rPr>
          <w:rFonts w:ascii="Times New Roman" w:hAnsi="Times New Roman"/>
          <w:color w:val="000000"/>
          <w:sz w:val="20"/>
        </w:rPr>
        <w:t xml:space="preserve">, or in the body, in quantities sufficient to meet the significant levels generally required for efficacious therapies. In addition, as cancer progresses, the levels of gamma-delta T cells are further reduced, making it challenging to engage them </w:t>
      </w:r>
      <w:r>
        <w:rPr>
          <w:rFonts w:ascii="Times New Roman" w:hAnsi="Times New Roman"/>
          <w:i/>
          <w:color w:val="000000"/>
          <w:sz w:val="20"/>
        </w:rPr>
        <w:t>in vivo</w:t>
      </w:r>
      <w:r>
        <w:rPr>
          <w:rFonts w:ascii="Times New Roman" w:hAnsi="Times New Roman"/>
          <w:color w:val="000000"/>
          <w:sz w:val="20"/>
        </w:rPr>
        <w:t>. Finally, gamma-delta T cells are critical in identifying stress antigens on diseased tissue, such as tumor cells. These signals can be dramatically upregulated by chemotherapy, which stresses both the chemotherapy-sensitive and chemotherapy-resistant tumor cells, making them readily identifiable by gamma-delta T cells. Chemotherapy can both kill the immuno-suppressive cells and induce tumor cell death to “de-bulk” the tumor. This opens the TME to effector cells, such as gamma-delta T cells. However, chemotherapy also depletes and damages immune cells, including gamma-delta T cells, limiting their ability to seek and kill tumor cells.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Preclinical Studies Have Demonstrated a Role for Gamma-Delta T Cells in Cancer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clinical observations described above are supported by a broad base of preclinical research. Gamma-delta T cells have been shown to play a significant role in tumor immunosurveillance. Preclinical studies have demonstrated that genetically engineered mice deficient in gamma-delta T cells were highly susceptible to carcinogen-induced skin cancers. Similarly, prostate cancer growth was accelerated in mice deficient for gamma-delta T cells compared to fully immunocompetent mice. Gamma-delta T cells have been detected in a variety of human tumor types, including GBM, neuroblastoma and lung cancer, demonstrating that gamma-delta T cells infiltrated such solid tumors and thus may have an important correlation with anti-cancer activity. Prior data, including our own unpublished studies, have indicated that levels of gamma-delta T cells were diminished as cancer progresses and were depleted in end-stage disease.</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Our Approach</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We develop gamma-delta T cell therapies based upon our deep expertise in gamma-delta T cell biology, proprietary genetic engineering, and cell-type specific manufacturing capabilities, which we refer to collectively as our DeltEx platform. Our platform is designed to overcome many of the challenges associated with expansion, genetic engineering, scalable manufacturing and targeting of gamma-delta T cells. This allows us to expand the cells </w:t>
      </w:r>
      <w:r>
        <w:rPr>
          <w:rFonts w:ascii="Times New Roman" w:hAnsi="Times New Roman"/>
          <w:i/>
          <w:color w:val="000000"/>
          <w:sz w:val="20"/>
        </w:rPr>
        <w:t>ex vivo</w:t>
      </w:r>
      <w:r>
        <w:rPr>
          <w:rFonts w:ascii="Times New Roman" w:hAnsi="Times New Roman"/>
          <w:color w:val="000000"/>
          <w:sz w:val="20"/>
        </w:rPr>
        <w:t xml:space="preserve"> to administer a potentially therapeutic dose to patients, harnessing the unique properties of gamma-delta T cells, including their ability to broadly recognize cellular stress signals on tumor cells. DeltEx has enabled our deep pipeline of innovative allogeneic, autologous, iPSC, genetically modified product candidates, and/or TCEs that are designed to effectively target and potentially eradicate disease to improve patient outcomes. Key elements of our platform include:</w:t>
      </w:r>
    </w:p>
    <w:p>
      <w:pPr>
        <w:pStyle w:val="TextBody"/>
        <w:bidi w:val="0"/>
        <w:spacing w:before="0" w:after="0"/>
        <w:jc w:val="both"/>
        <w:rPr>
          <w:color w:val="000000"/>
        </w:rPr>
      </w:pPr>
      <w:r>
        <w:rPr>
          <w:color w:val="000000"/>
        </w:rPr>
        <w:t>•</w:t>
      </w:r>
    </w:p>
    <w:p>
      <w:pPr>
        <w:pStyle w:val="TextBody"/>
        <w:bidi w:val="0"/>
        <w:spacing w:before="0" w:after="0"/>
        <w:jc w:val="both"/>
        <w:rPr/>
      </w:pPr>
      <w:r>
        <w:rPr>
          <w:rFonts w:ascii="Times New Roman" w:hAnsi="Times New Roman"/>
          <w:b/>
          <w:i/>
          <w:color w:val="000000"/>
          <w:sz w:val="20"/>
        </w:rPr>
        <w:t>Expertise in ex vivo-expanded activated gamma-delta T cells.</w:t>
      </w:r>
      <w:r>
        <w:rPr>
          <w:color w:val="000000"/>
        </w:rPr>
        <w:t xml:space="preserve"> </w:t>
      </w:r>
      <w:r>
        <w:rPr>
          <w:rFonts w:ascii="Times New Roman" w:hAnsi="Times New Roman"/>
          <w:color w:val="000000"/>
          <w:sz w:val="20"/>
        </w:rPr>
        <w:t xml:space="preserve">Gamma-delta T cells, while critical to immune function and disease response, account for only a small percentage of our immune cells. Our approach leverages our scientific expertise in gamma-delta T cell biology to perform precise cell-type specific </w:t>
      </w:r>
      <w:r>
        <w:rPr>
          <w:rFonts w:ascii="Times New Roman" w:hAnsi="Times New Roman"/>
          <w:i/>
          <w:color w:val="000000"/>
          <w:sz w:val="20"/>
        </w:rPr>
        <w:t>ex vivo</w:t>
      </w:r>
      <w:r>
        <w:rPr>
          <w:color w:val="000000"/>
        </w:rPr>
        <w:t xml:space="preserve"> </w:t>
      </w:r>
      <w:r>
        <w:rPr>
          <w:rFonts w:ascii="Times New Roman" w:hAnsi="Times New Roman"/>
          <w:color w:val="000000"/>
          <w:sz w:val="20"/>
        </w:rPr>
        <w:t>expansion. This enables us to take peripheral blood from the patient and selectively expand the low numbers of gamma-delta T cells to generate a sufficient dose for treatment of solid tumors. Our expertise allows us to expand the desired subtypes of the gamma-delta T cell population, perform specific genetic modifications, and complete a quality review of these cells before returning precisely controlled doses to patients. This precision, control and quality provides significant advantages and we believe it uniquely enables us to potentially develop therapeutic cellular therapy candidates at scale.</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 xml:space="preserve">Intelligent gamma-delta T cell genetic engineering. </w:t>
      </w:r>
      <w:r>
        <w:rPr>
          <w:rFonts w:ascii="Times New Roman" w:hAnsi="Times New Roman"/>
          <w:color w:val="000000"/>
          <w:sz w:val="20"/>
        </w:rPr>
        <w:t>We have developed proprietary methods of engineering gamma-delta T cells that are designed to take advantage of their inherent biology. Our engineering is designed to increase their ability to survive chemotherapy or to identify cancer cells while maintaining their natural ability to broadly recognize, engage and kill these cells while preserving healthy tissue. This enables the cells to be delivered concurrently with chemotherapies that activate the DNA damage response ("DDR"), pathway to generate an immune signal that should be expressed on all cells throughout the tumor and recognized by gamma-delta T cells. This intelligent engineering is broadly applicable across multiple solid tumor indications. Our approaches have overcome the historical problems in genetically modifying gamma-delta T cells, and we were the first company to advance a Phase 1 clinical trial using genetically modified gamma-delta T cells. To date, we believe our data in newly diagnosed GBM is among the most significant for a cellular therapy in the solid tumor setting.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Next generation gamma-delta T cell manufacturing</w:t>
      </w:r>
      <w:r>
        <w:rPr>
          <w:rFonts w:ascii="Times New Roman" w:hAnsi="Times New Roman"/>
          <w:color w:val="000000"/>
          <w:sz w:val="20"/>
        </w:rPr>
        <w:t>. We have devoted significant time and resources to process development and manufacturing to improve the quality and reproducibility of our processes. Through our intellectual property and scientific know-how, we have designed and implemented a manufacturing process, including proprietary programs, which is designed to be reliable and scalable. We have automated our manufacturing processes, which are currently operating at clinical scale, in systems designed to minimize touchpoints and potential contamination and increase throughput. Our cell-type specific manufacturing platform is designed to support rapid development of our DeltEx product candidates through clinical trials and the regulatory approval process. Our manufacturing allows us to scale, while maintaining quality controls, which would be challenging with manual lab-scale processes. We have optimized transduction and cell expansion in processes we believe can be rapidly scaled for commercial supply in a controlled environment at a reasonable cost, if any of our product candidates are successfully developed and approved by the FDA. We have also demonstrated successful cryopreservation and delivery of our thawed product candidates to patients in our clinical trials, while maintaining cell viability and functionality.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i/>
          <w:color w:val="000000"/>
          <w:sz w:val="20"/>
        </w:rPr>
        <w:t>Unique T cell engager properties.</w:t>
      </w:r>
      <w:r>
        <w:rPr>
          <w:color w:val="000000"/>
        </w:rPr>
        <w:t xml:space="preserve"> </w:t>
      </w:r>
      <w:r>
        <w:rPr>
          <w:rFonts w:ascii="Times New Roman" w:hAnsi="Times New Roman"/>
          <w:color w:val="000000"/>
          <w:sz w:val="20"/>
        </w:rPr>
        <w:t xml:space="preserve">We have developed a unique gamma-delta T cell-based TCE that possesses properties that, to our knowledge, have not previously been demonstrated. Our TCE technology is a pan-gamma-delta TCE that engages and expands both the Vd1+ and Vd2+ TCR populations. The unique properties of these cells may enable deeper therapeutic responses with a potentially improved safety profile. Specifically, gamma-delta T cells secrete lower amounts of cytokines such as IL-6 and TNF-a, which may reduce the incidence of CRS, currently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significant limitation of both alpha-beta CAR-T and CD3-based TCEs. Functionally, our TCEs are designed to operate similarly to in vivo CAR-Ts by expanding T cell populations and facilitating target engagement to trigger T cell killing. The manufacturing process, however, is much less complex and costly than conventional cellular therapies. As a biologic therapy, our TCEs allow for repeat dosing and avoid the need for lymphodepleting chemotherapy, which could be important in autoimmune indications.</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Scientific Basis for Vd2+ Versus Vd1+ Gamma-Delta T Cells as Therapy for Solid Tumors</w:t>
      </w:r>
    </w:p>
    <w:p>
      <w:pPr>
        <w:pStyle w:val="TextBody"/>
        <w:bidi w:val="0"/>
        <w:jc w:val="both"/>
        <w:rPr>
          <w:rFonts w:ascii="Times New Roman" w:hAnsi="Times New Roman"/>
          <w:sz w:val="20"/>
        </w:rPr>
      </w:pPr>
      <w:r>
        <w:rPr>
          <w:rFonts w:ascii="Times New Roman" w:hAnsi="Times New Roman"/>
          <w:color w:val="000000"/>
          <w:sz w:val="20"/>
        </w:rPr>
        <w:t xml:space="preserve">There are several diverse subsets of gamma-delta T cells. The most predominant circulating subsets are the Vd2+, and the Vd1+. These cell types have specific features that impact their therapeutic potential across different indications. Vd2+ cells comprise approximately 2 to 10% of the circulating cell population. The Vd1+ cells are a minor (&lt;2%) circulating subset, but abundant in specific tissues, such as the intestines, the skin and other organ systems. While both subsets express NKG2D receptors that recognize stress ligands, only the Vd2+ subset can function as a professional APC, which can process and present antigens, recruit and activate additional immune cell types, a function that has not been documented for the Vd1+ T cell compartment and may make the Vg9Vd2 subset more attractive for use in solid tumor cancers. Our early clinical programs focused on developing therapeutic candidates using Vd2+ cells, due to certain advantages over the Vd1+ subset in certain indications, but there is a utility for the Vd1+ subset as well. Vd1+ cells have previously shown to be tissue resident, have a lower predisposition towards exhaustion and greater persistence in the autologous setting. This increased persistence in the allogeneic setting (other than allogeneic HSCT) may be irrelevant as host immune system recovery could result in their rejection by host NK cells which recover following lymphodepletion within approximately 15 to 30 days. Additionally, Th1 effector Vd1+ cells may potentially be reprogrammed to a tumor promoting Th17, or IL-17 secreting, subtype after entering the microenvironment of certain tumors. While current </w:t>
      </w:r>
      <w:r>
        <w:rPr>
          <w:rFonts w:ascii="Times New Roman" w:hAnsi="Times New Roman"/>
          <w:i/>
          <w:color w:val="000000"/>
          <w:sz w:val="20"/>
        </w:rPr>
        <w:t>ex vivo</w:t>
      </w:r>
      <w:r>
        <w:rPr>
          <w:rFonts w:ascii="Times New Roman" w:hAnsi="Times New Roman"/>
          <w:color w:val="000000"/>
          <w:sz w:val="20"/>
        </w:rPr>
        <w:t xml:space="preserve"> expansion methods for Vd1+ cells, including with our INB-600 TCE platform, have not resulted in pro-tumorigenic Th17-type responses to date, the potential for reprogramming of therapeutic Vd1+ cells within the TME remains a theoretic possibility. In contrast, Vd2+ cells are not known to produce Th17 or pro-tumoral subtypes.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gamma-delta T cell company and are agnostic to Vd2+ versus Vd1+ subtypes. We believe each has a role and indications in which they may make sense based on the tumor biology and desired cellular mechanism of action. Our CSO, Dr. Lamb was in fact the first to publish a protocol for the expansion and manufacturing of Vd1+ gamma-delta T cells in 2001. We are currently advancing programs utilizing both Vd2+ and Vd1+ cells, using our cell-type specific expansion protocols and through our INB-600 platform of TCEs. For the first time that we are aware of, our INB-600 TCE program has the potential to target both the Vd1+ and Vd2+ subpopulations simultaneously. We have developed our DeltEx platform to enable us to expand, activate and genetically modify gamma-delta T cells at scale, producing cells which are viable, functional and can be cryopreserved while maintaining their cytotoxicity.</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Our Product Candidates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INB-100 for the Treatment of Patients with Hematological Malignancies Undergoing HSCT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INB-100 is an allogeneic DeltEx product candidate created from healthy donors, consisting of expanded activated gamma-delta T cells, with the goal of testing the safety of allogeneic gamma-delta T cells to boost gamma-delta T cell levels and improve overall survival in patients with hematological malignancies who have undergone allogeneic HSCT. We believe that supplementing the patient’s immune system with allogeneic gamma-delta T cells will lead to reduced incidence of relapse and improved survival in these patients as we are now achieving persistent blood levels of gamma-delta T cells that have previously been demonstrated to be associated with higher rates of overall survival. </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Hematological Malignancies Overview</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Hematological malignancies are characterized by an abnormal and excessive proliferation of malignant hematopoietic cells in the marrow. In some patients, these cancerous cells proliferate rapidly, requiring urgent treatment. These include AML, ALL, chronic myeloid leukemia ("CML") in blast phase and myelodysplastic syndromes ("MDS"). There are few curative treatment options for these patients once they have progressed on standard-of-care first line therapies. One of the most effective is allogeneic HSCT, where the patient’s blood forming cells, including cancerous cells, are first destroyed using chemotherapy, radiation or a combination of both. The patient then receives new bone marrow stem cells from a healthy donor to "reset" and repopulate their hematopoietic system. Unfortunately, residual leukemic cells often exist, resulting in a leukemic relapse rate of approximately 25% within the first 100 days and up to 50% at one year.</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Our Solution — INB-100 for the Treatment of Patients with Hematological Malignancies Undergoing HSCT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Multiple retrospective studies of leukemia patients treated with alpha-beta T cell depletion ("TCD") allogeneic HSCT showed that high levels of gamma-delta T cells were associated with a significantly higher rate of disease-free survival. In a foundational study led by Dr. Lamb, patients with high levels of gamma-delta T cells had a disease-free survival rate at seven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years of over 70% compared to less than 20% for patients with low levels of gamma-delta T cells, which has been supported by subsequent studies. The majority of this effect was observed within six months of treatment. The primary cause of death for patients with low or normal levels of gamma-delta T cells was leukemic relapse. Often, leukemic relapse is due to a loss of MHC in any residual cancerous cells and gamma-delta T cells may offer a solution as their killing through stress signaling is independent of MHC. Approximately 60% of the patients with elevated gamma-delta T cells who relapsed were still surviving at the time of the publication compared to only 2%, or one patient, with low levels of gamma-delta T cells.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Phase 1 Clinical Trial of INB-100</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are collaborating with Joseph McGuirk, D.O. at the KUCC and Sarah Wall, MD of The Ohio State University Comprehensive Cancer Center to conduct an investigator-sponsored Phase 1 dose escalation clinical trial of INB-100 to assess the safety and tolerability of INB-100 in patients with hematologic malignancies who are undergoing allogeneic haploidentical HSCT. The primary endpoints of this trial are safety and tolerability, and secondary endpoints include rates of acute and chronic GvHD, relapse rate and overall survival. Following completion of the dose escalation phase in 2023, a decision was made to declare dose level 2 our RP2D and add an expansion cohort of at least an additional 15 patients, for a total of at least 25 treated patients.</w:t>
      </w:r>
    </w:p>
    <w:p>
      <w:pPr>
        <w:pStyle w:val="TextBody"/>
        <w:bidi w:val="0"/>
        <w:jc w:val="both"/>
        <w:rPr>
          <w:rFonts w:ascii="Times New Roman" w:hAnsi="Times New Roman"/>
          <w:color w:val="000000"/>
          <w:sz w:val="20"/>
        </w:rPr>
      </w:pPr>
      <w:r>
        <w:rPr>
          <w:rFonts w:ascii="Times New Roman" w:hAnsi="Times New Roman"/>
          <w:color w:val="000000"/>
          <w:sz w:val="20"/>
        </w:rPr>
        <w:t>INB-100 is prepared from donor peripheral blood cells, while in parallel, patients undergo HSCT using donor bone marrow. INB-100 cells are administered post-engraftment with the goal of providing immunity during the period of immune cell reconstitution and long-term residual gamma-delta T cells that can scavenge any residual leukemic cells that may remain.</w:t>
      </w:r>
    </w:p>
    <w:p>
      <w:pPr>
        <w:pStyle w:val="TextBody"/>
        <w:bidi w:val="0"/>
        <w:jc w:val="both"/>
        <w:rPr/>
      </w:pPr>
      <w:r>
        <w:rPr/>
        <w:t> </w:t>
      </w:r>
    </w:p>
    <w:p>
      <w:pPr>
        <w:pStyle w:val="TextBody"/>
        <w:bidi w:val="0"/>
        <w:jc w:val="center"/>
        <w:rPr/>
      </w:pPr>
      <w:r>
        <w:rPr/>
        <w:drawing>
          <wp:inline distT="0" distB="0" distL="0" distR="0">
            <wp:extent cx="6486525" cy="3714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486525" cy="3714750"/>
                    </a:xfrm>
                    <a:prstGeom prst="rect">
                      <a:avLst/>
                    </a:prstGeom>
                  </pic:spPr>
                </pic:pic>
              </a:graphicData>
            </a:graphic>
          </wp:inline>
        </w:drawing>
      </w:r>
    </w:p>
    <w:p>
      <w:pPr>
        <w:pStyle w:val="TextBody"/>
        <w:bidi w:val="0"/>
        <w:jc w:val="both"/>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8. INB-100 Administration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depicted in Figure 8 above, patients are initially treated using a standard HSCT protocol, originally developed at Johns Hopkins University (the "Hopkins protocol"), under which these patients undergo non-myeloablative or reduced intensity conditioning ("RIC") regimen using chemotherapeutic agents that destroy their tumor cells as well as their healthy immune cells and post-transplant cyclophosphamide to reduce GvHD. They then undergo allogeneic bone marrow transplant. Prior to the bone marrow transplant, donors undergo leukapheresis to provide the starting material for INB-100 at least seven days prior to transplant. The INB-100 starting material will then be manufactured and cryopreserved. After approximately 15 to 20 days, hematopoietic stem cells from the donor engraft in the patient’s bone marrow and begin reconstituting the immune system. While the Hopkins protocol has decreased the risk of GvHD, there is also a reduced anti-leukemic effect. Accordingly, the rate of leukemic relapse is approximately 25% within the first 100 days and up to 50% at one year and even greater in those patients with high-risk and/or complex cytogenetics. Data presented at the American Society of Hematology (“ASH") 2023 annual meeting, in a 2,200 patient study by the EBMT, demonstrates that leukemic relapse in AML patients receiving haploidentical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stem cell transplantation with post-transplant cyclophosphamide continues to fall between 40-50%. Within five days of neutrophil engraftment, our INB-100 product candidate is thawed and administered as a single weight-based dose, leading to an increase in the levels of gamma-delta T cells and potentially providing greater anti-leukemic effect and delaying relapse.</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The swimmers plot in Figure 9 below depicts the patient outcomes in the INB-100 Phase 1 trial as of our last clinical update. We believe the relapse free survival data as of January 17, 2025 (the "Cutoff Date"), which was presented at the 2025 TCT Meeting in February 2025, combined with the tolerability profile of INB-100, are encouraging for the treatment of older, high-risk leukemia patients with complex disease. As of the Cutoff Date, 100% of patients with AML remain relapse-free after receiving their dose of INB-100 after a median follow-up of 20.1 months. A total of 17 patients with leukemic diagnoses were enrolled as of the Cutoff Date and as previously reported, three patients had relapsed and, of those, two had died due to disease progression. The patients who relapsed to date, included other leukemic diagnoses (ALL, MDS, and MDS/MPN overlap with concurrent TP53 mutations). Across the initial 10 patient cohort, median morphologic CR was 18.8 months across all patients and 23.3 months for AML patients as of the Cutoff Date. Further, gamma-delta T cells demonstrated </w:t>
      </w:r>
      <w:r>
        <w:rPr>
          <w:rFonts w:ascii="Times New Roman" w:hAnsi="Times New Roman"/>
          <w:i/>
          <w:color w:val="000000"/>
          <w:sz w:val="20"/>
        </w:rPr>
        <w:t>in vivo</w:t>
      </w:r>
      <w:r>
        <w:rPr>
          <w:rFonts w:ascii="Times New Roman" w:hAnsi="Times New Roman"/>
          <w:color w:val="000000"/>
          <w:sz w:val="20"/>
        </w:rPr>
        <w:t xml:space="preserve"> expansion and long-term persistence through 365 days, a first for any donor-derived, allogeneic cellular therapy product. Along with our investigators, we believe patient outcomes in the trial to date are surpassing that of similar leukemia patients, including those with AML undergoing haploidentical transplantation without receiving INB-100. The enrollment and treatment of the 15 patient expansion cohort is expected to be completed in early 2026 and we continue to monitor patients for long-term follow up, relapse free survival and overall survival. We expect to report long-term follow up of all patients including those in the expansion cohort at a medical meeting in late 2026. </w:t>
      </w:r>
    </w:p>
    <w:p>
      <w:pPr>
        <w:pStyle w:val="TextBody"/>
        <w:bidi w:val="0"/>
        <w:jc w:val="center"/>
        <w:rPr/>
      </w:pPr>
      <w:r>
        <w:rPr/>
        <w:drawing>
          <wp:inline distT="0" distB="0" distL="0" distR="0">
            <wp:extent cx="6486525" cy="29908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486525" cy="2990850"/>
                    </a:xfrm>
                    <a:prstGeom prst="rect">
                      <a:avLst/>
                    </a:prstGeom>
                  </pic:spPr>
                </pic:pic>
              </a:graphicData>
            </a:graphic>
          </wp:inline>
        </w:drawing>
      </w:r>
    </w:p>
    <w:p>
      <w:pPr>
        <w:pStyle w:val="TextBody"/>
        <w:bidi w:val="0"/>
        <w:jc w:val="both"/>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9. Summary of Patients Treated in INB-100 Phase 1 Trial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color w:val="000000"/>
          <w:sz w:val="20"/>
        </w:rPr>
      </w:pPr>
      <w:r>
        <w:rPr>
          <w:rFonts w:ascii="Times New Roman" w:hAnsi="Times New Roman"/>
          <w:color w:val="000000"/>
          <w:sz w:val="20"/>
        </w:rPr>
        <w:t>As shown in Figure 10 below, this data compares favorably with real world data from AML patients retrieved from CIBMTR national database demonstrating a 32.2% relapse rate (n=679) and 25.3% mortality rate (n=684) at one-year and comparative data from the KUCC demonstrating a one-year 42.6% relapse rate (n=31) and 33.3% mortality (n=36, 2016-2024). We believe the high relapse and mortality rates at the KUCC compared to the CIBMTR data as it is a center of excellence for transplantation and is a major tertiary referral center for the Midwest region. Patients referred to and treated at the center are likely sicker and have more complex disease.</w:t>
      </w:r>
    </w:p>
    <w:p>
      <w:pPr>
        <w:pStyle w:val="TextBody"/>
        <w:bidi w:val="0"/>
        <w:spacing w:before="80" w:after="160"/>
        <w:jc w:val="center"/>
        <w:rPr/>
      </w:pPr>
      <w:r>
        <w:rPr/>
        <w:drawing>
          <wp:inline distT="0" distB="0" distL="0" distR="0">
            <wp:extent cx="6486525" cy="25527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486525" cy="255270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10. Summary of Patients Treated in INB-100 vs. Real World Data</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As of January 17, 2025, there were eight AML patients in this INB-100 trial who have remained in CR for periods greater than one year, four for greater than two years and one nearing their five-year anniversary in remission. Notably, at the 2024 ASH Annual Meeting held in December 2024, data was presented that demonstrated that patients in both Cohorts 1 and 2 had </w:t>
      </w:r>
      <w:r>
        <w:rPr>
          <w:rFonts w:ascii="Times New Roman" w:hAnsi="Times New Roman"/>
          <w:i/>
          <w:color w:val="000000"/>
          <w:sz w:val="20"/>
        </w:rPr>
        <w:t>in vivo</w:t>
      </w:r>
      <w:r>
        <w:rPr>
          <w:rFonts w:ascii="Times New Roman" w:hAnsi="Times New Roman"/>
          <w:color w:val="000000"/>
          <w:sz w:val="20"/>
        </w:rPr>
        <w:t xml:space="preserve"> expansion and persistence of gamma-delta T cells that resulted in elevated gamma-delta T cell levels up to one-year post-transplant as shown in Figure 11 below. </w:t>
      </w:r>
    </w:p>
    <w:p>
      <w:pPr>
        <w:pStyle w:val="TextBody"/>
        <w:bidi w:val="0"/>
        <w:spacing w:before="80" w:after="160"/>
        <w:jc w:val="center"/>
        <w:rPr/>
      </w:pPr>
      <w:r>
        <w:rPr/>
        <w:drawing>
          <wp:inline distT="0" distB="0" distL="0" distR="0">
            <wp:extent cx="5038725" cy="3667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038725" cy="3667125"/>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11. Summary of Patients Treated in INB-100 gamma-delta T cell persistence and expansion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INB-100 continues to demonstrate a manageable safety profile to-date, with no dose-limiting toxicities, no treatment-related Grade 3 or greater adverse events, and no CRS, or ICANS. Approximately 56% of patients across all time points have sustained steroid responsive Grade 1/2 GvHD that has been mostly resolved with steroids therapy. No events of Grade 3 or greater GvHD, CRS or ICANS has been observed. Three patients have reported mild chronic GvHD.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2024, we held a meeting with the FDA and received regulatory guidance regarding a Phase 2 trial of INB-100 for the treatment of AML, with relapse-free survival as the primary endpoint in a randomized controlled trial. AML represents one of the most common leukemias, with approximately 21,000 newly diagnosed patients annually, which is also widely treated with allogeneic HSCT. While the AML treatment landscape is expanding and becoming increasing complex, patient outcomes remain extremely limited, particularly following relapse after transplantation. We, together with our investigators, believe that patient outcomes observed in the trial to-date are surpassing those of comparable leukemia patients, including patients undergoing haploidentical transplantation who did not receive INB-100. </w:t>
      </w:r>
    </w:p>
    <w:p>
      <w:pPr>
        <w:pStyle w:val="TextBody"/>
        <w:bidi w:val="0"/>
        <w:spacing w:before="240" w:after="120"/>
        <w:jc w:val="left"/>
        <w:rPr>
          <w:rFonts w:ascii="Times New Roman" w:hAnsi="Times New Roman"/>
          <w:sz w:val="20"/>
        </w:rPr>
      </w:pPr>
      <w:r>
        <w:rPr>
          <w:rFonts w:ascii="Times New Roman" w:hAnsi="Times New Roman"/>
          <w:b/>
          <w:i/>
          <w:color w:val="000000"/>
          <w:sz w:val="20"/>
        </w:rPr>
        <w:t>INB-100 Preclinical Studies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0"/>
        </w:rPr>
        <w:t>Animal studies and indirect evidence from human allogeneic transplant studies suggest that gamma-delta T cells can facilitate engraftment, which may translate into faster reconstitution of the immune system. In a murine allogeneic transplant model, donor gamma-delta T cells facilitated the engraftment of TCD donor bone marrow. When TCD donor marrow was supplemented with up to 3x10</w:t>
      </w:r>
      <w:r>
        <w:rPr>
          <w:rFonts w:ascii="Times New Roman" w:hAnsi="Times New Roman"/>
          <w:color w:val="000000"/>
          <w:sz w:val="13"/>
        </w:rPr>
        <w:t xml:space="preserve">6 </w:t>
      </w:r>
      <w:r>
        <w:rPr>
          <w:rFonts w:ascii="Times New Roman" w:hAnsi="Times New Roman"/>
          <w:color w:val="000000"/>
          <w:sz w:val="20"/>
        </w:rPr>
        <w:t>gamma-delta T cells prior to infusion into mismatched recipients, donor chimerism increased by approximately 40%. A separate study revealed similar findings in MHC-mismatched mice, and later demonstrated that the gamma-delta T cell dose necessary to facilitate engraftment did not result in lethal murine GvHD. Improved engraftment was also observed in lethally irradiated rats reconstituted with 1x10</w:t>
      </w:r>
      <w:r>
        <w:rPr>
          <w:rFonts w:ascii="Times New Roman" w:hAnsi="Times New Roman"/>
          <w:color w:val="000000"/>
          <w:sz w:val="13"/>
        </w:rPr>
        <w:t>8</w:t>
      </w:r>
      <w:r>
        <w:rPr>
          <w:rFonts w:ascii="Times New Roman" w:hAnsi="Times New Roman"/>
          <w:color w:val="000000"/>
          <w:sz w:val="20"/>
        </w:rPr>
        <w:t xml:space="preserve"> alpha-beta T cell depleted bone marrow, suggesting that gamma-delta T cells are able to facilitate improved engraftment even in the absence of alpha-beta T cells. In this study, all rats engrafted with a mean of 92% (± 4%) donor cells and showed no clinical evidence of GvHD. Studies comparing patients who received alpha-beta TCD grafts with those receiving pan-TCD grafts also show a positive association between the number of gamma-delta T cells in the graft and less time to engraftment.</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Both murine and human studies suggest that gamma-delta T cells are not primary initiators of GvHD and may in fact modulate the GvHD activity of alpha-beta T cells. Indeed, large doses of expanded gamma-delta T cells have been infused into lethally irradiated MHC-disparate mice without causing GvHD. Although it has been observed that gamma-delta T cells have activated GvHD response, the investigators reporting this study found no direct evidence that GvHD was initiated by gamma-delta T cells. In two separate human trials, it was observed that gamma-delta T cells were not substantially activated in the </w:t>
      </w:r>
      <w:r>
        <w:rPr>
          <w:rFonts w:ascii="Times New Roman" w:hAnsi="Times New Roman"/>
          <w:i/>
          <w:color w:val="000000"/>
          <w:sz w:val="20"/>
        </w:rPr>
        <w:t xml:space="preserve">in vitro </w:t>
      </w:r>
      <w:r>
        <w:rPr>
          <w:rFonts w:ascii="Times New Roman" w:hAnsi="Times New Roman"/>
          <w:color w:val="000000"/>
          <w:sz w:val="20"/>
        </w:rPr>
        <w:t>allogeneic mixed lymphocyte culture. Several studies post-HSCT have shown transient increases in gamma-delta T cells, but have not associated this finding with GvHD. Studies comparing outcomes of patients that received alpha-beta T cell depleted grafts with pan-T cell depleted grafts all showed a lower incidence of GvHD in the alpha-beta T cell depleted group, suggesting that infusion of gamma-delta T cells in the graft does not subject the recipient to increased risk of GvHD. Whether gamma-delta T cells are truly less likely to contribute to the development of GvHD or the contribution of any residual alpha-beta T cells in the graft remains untested. However, from the above reasoning, it is logical to propose that in future studies, gamma-delta T cells might indeed be introduced in the setting of allogeneic HSCT, specifically to provide innate anti-tumor effect with only minimal risk of GvHD.</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INB-200 and 400 for the Treatment of Solid Tumors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INB-200 is a genetically modified, autologous gamma-delta T cell product to be administered in combination with the current standard-of-care ("Stupp regimen") with temozolomide (“TMZ”) chemotherapy, in newly diagnosed GBM, where mPFS has remained at 6 to 7 months since 2005. We engineered INB-200 to be resistant from being killed by certain types of alkylating chemotherapies, including TMZ. Alkylating chemotherapies function by creating DNA damage and strand breaks that lead to cell suicide or apoptosis. The protein O-6-Methylguanine-DNA Methyltransferase ("MGMT"), is a primary DNA repair protein capable of repairing damage to DNA caused by certain chemotherapies that prevents cell death. Through the introduction of a gene encoding MGMT into gamma-delta T cells, these genetically modified DeltEx DRI cells are designed to survive concurrent dosing with chemotherapy and remain functional. In preclinical studies in patient-derived xenografts, published in the Nature portfolio journal </w:t>
      </w:r>
      <w:r>
        <w:rPr>
          <w:rFonts w:ascii="Times New Roman" w:hAnsi="Times New Roman"/>
          <w:i/>
          <w:color w:val="000000"/>
          <w:sz w:val="20"/>
        </w:rPr>
        <w:t>Scientific Reports</w:t>
      </w:r>
      <w:r>
        <w:rPr>
          <w:rFonts w:ascii="Times New Roman" w:hAnsi="Times New Roman"/>
          <w:color w:val="000000"/>
          <w:sz w:val="20"/>
        </w:rPr>
        <w:t xml:space="preserve"> in October 2021, INB-200 demonstrated antitumor activity, including long-term survival and eradication of the tumor as evidenced by histopathology.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initially developed INB-200 to treat patients with newly diagnosed GBM. The protocol for the investigator-sponsored Phase 1 trial of INB-200 (NCT04165941) at the Heersink School of Medicine and O’Neal Comprehensive Cancer Center at UAB was designed to evaluate single and multi-dose schedules of a fixed number cell dose of the DeltEx DRI gamma-delta T cell therapy. Patient dosing in the trial has been completed, and we continue to follow patients for PFS and OS. In May 2025, we delivered an oral plenary presentation at the ASCO Annual Meeting presenting longer-term patient follow-up data. We continue to work towards the publication of the INB-200 data in a peer-reviewed journal.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INB-400 is our corporate-sponsored investigational new drug application (“IND”) for the Phase 2, multi-center clinical trial evaluating our DeltEx DRI technology in newly diagnosed GBM. Treatment of all enrolled patients has been completed and the IND remains open. In September 2024, following a pipeline prioritization review, we suspended further enrollment in the Phase 2 trial of INB-400 to conserve capital. The trial was designed to further evaluate genetically modified, DRI gamma-delta T cells in newly diagnosed GBM patients across multiple centers in the United States. At the 2025 SNO Annual Meeting, we presented consolidated data from the INB-200 (Phase 1) and INB-400 (Phase 2) trials in both poster and oral presentations. Patients across both trials who received multiple repeated doses of our DeltEx DRI gamma-delta T cells (N=14) demonstrated substantial improvements in mPFS and mOS across multiple participating clinical centers. These results were evaluated in the context of a contemporaneously enrolled control group of patients at the same clinical centers with the same treating physicians who received SOC therapy alone. The SOC control cohort reported an mPFS of 6.6 months and a mOS of 13.2 months, consistent with historical benchmarks in newly diagnosed GBM, including mPFS of 6.9 months and mOS of 14.6 months published in the NEJM in 2005. This demonstrates both the aggressive nature of GBM, even with SOC treatment, and the significant need for new treatment options. This data was updated through December 31, 2025, and patients who received repeated doses of DeltEx DRI gamma-delta T cells reported an mPFS of 13.0 months and a mOS of 17.2+ months, with overall survival continuing to grow, despite fewer treated patients receiving gross total resections. We believe that our DeltEx DRI approach has the potential to address this significant unmet need in newly diagnosed GBM and expect to provide further clinical updates, including additional mOS data from the total data set, at medical meetings in mid- and late- 2026.</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GBM Overview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GBM is a particularly aggressive form of brain cancer, in which tumor cells invade the surrounding neural tissue, rendering a cure with surgical resection and chemotherapy unlikely. The incidence of GBM in the United States is estimated to be approximately 3.5 in 100,000 individuals, with almost 14,500 new cases having been estimated in 2023 by the National Brain Tumor Society ("NBTS"). Surgical resection followed by radiation and TMZ has been the current standard-of-care since 2005, but it is only able to control tumor growth in approximately 30% of patients. Based on current standard-of-care, tumor recurrence typically occurs within six or seven months after initial diagnosis and treatment. A third-party trial published in 2017 indicated that older newly diagnosed GBM patients with unmethylated MGMT treated with radiation therapy and TMZ had median progression free survival of only 4.8 months (95% CI (4.3-5.6)) while mOS for GBM patients remains about 16 months irrespective of tumor methylation status. Ultimately, virtually all patients will relapse, creating a significant unmet medical need with a potential global market opportunity greater than $4 billion.</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Our Solution — INB-200 and INB-400 for the Treatment of Newly Diagnosed GBM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Chemotherapy, a mainstay of solid tumor treatment, can deplete and damage immune cells, limiting their ability to seek and kill tumors. Despite these limitations, chemotherapy continues to be used in standard-of-care regimens because of its ability to rapidly and directly kill tumors. Chemotherapy, however, can also result in the selection of residual tumor cells that are chemotherapy resistant and lead to disease recurrence. Studies show that the injury response to DNA damage from chemotherapy in tumor cells can promote anti-tumor immune activity and impact subsequent tumor rejection. These positive immune effects are obstructed by the lymphodepleting properties of chemotherapy, which can severely reduce the number of immune cells, such as gamma-delta T cells, that can seek out and kill the residual tumor cells. We have leveraged our proprietary genetic modifications of gamma-delta T cells to protect the cells from chemotherapy-induced damage, allowing for their concurrent delivery with chemotherapy. This could potentially enable our candidates to recognize and kill residual tumor cells, including chemotherapy-resistant cells and cancer stem-cells, by attacking at the time when the tumor is experiencing maximum chemotherapy-induced stress and vulnerability.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engineered INB-200 and INB-400 using a lentiviral vector to introduce the gene for MGMT, which is the primary protein capable of repairing DNA damage caused by alkylating chemotherapeutic drugs, such as TMZ. Tumor cells that over-express MGMT are resistant to TMZ and the current standard-of-care in GBM. By introducing MGMT into our DeltEx gamma-delta T cells, these genetically modified cells are designed to avoid TMZ-induced cell death. There is also considerable preclinical support for the use of gamma-delta T cells for the treatment of GBM.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is a significant unmet need as most patients with GBM die within 15 to 16 months of diagnosis and the five-year survival rate is approximately 5%. Over 80% of treated GBM patients recur within 2cm of the original resection site, suggesting that recurrence is not due to metastases, but due to local microscopic residual tumor cells that were not surgically resectable and that may be resistant to radiotherapy and chemotherapy. We believe that to have a clinically meaningful impact to patient outcomes, we must be able to target three categories of cells within the tumor: (i) cells sensitive to radiotherapy and chemotherapy; (ii) cells resistant to chemotherapy and (iii) cancer stem-like cells that are able to avoid immune detection and continue seeding tumor persistence.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gamma-delta T cell technology has the potential to be a more durable therapy due to limited resistance mechanisms developed in response to it. By combining our DeltEx DRI therapeutic candidate concurrently with alkylating chemotherapies,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approach can promote the upregulation of stress ligands across all three of these categories, making the GBM cells identifiable by our gamma-delta T cells. CAR-T therapies or any targeted therapy that targets a single antigen is prone to loss of efficacy over time as tumor cells lose, downregulate, or shed the tumor target in response to persistent stimulation. Unlike other CAR-T therapies that are reliant on a single tumor target to ensure tumor cell engagement, our technology generates a stressor that upregulates ligands, i.e., NKG2D ligands, that then activate the gamma-delta T cells. These ligands comprise an intrinsic stress mechanism that is upregulated with hypoxia, DNA instability or any condition that generates circumstances that may limit cell viability. Therefore, there is less likelihood of loss of NKG2D ligands as it is impossible to eliminate all stressors that lead to upregulation of NKG2D ligands that activate gamma-delta T cells. Our unique approach seeks to increase tumor antigen density on the surface of tumor cells to drive activation of immune responses and via an antigen that is tumor agnostic. By pairing our therapy with TMZ we are harnessing the ability of TMZ to upregulate multiple NKG2D ligands to ensure the gamma-delta T cells have the appropriate activation signals already in place to maximize their activity.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believe newly diagnosed GBM may be the ideal indication to assess the potential of INB-200 and INB-400 to drive clinical antitumor activity due to the intrinsic role that TMZ plays in its therapy and with the ability to ensure targeted therapeutic delivery to the tumor site. A third-party paper analyzing the impact of pre-conditioning on the TME to enhance solid tumor CAR-T cell therapy indicated that single-antigen targeting CAR-Ts have been hampered by tumor antigen escape, immune suppression, and lack of T cell trafficking. The inability to infiltrate the tumor site by intravenously delivered CAR-T was due largely to the trapping of adoptively transferred cells in first-pass tissues, such as the lung and liver rather than trafficking to the targeted tumor sites. We believe our approach minimizes the risk of tumor antigen escape because TMZ causes the upregulation of cellular stress signals, consisting of multiple polyclonal ligands that can be recognized by the gamma-delta T cell. Furthermore, our DeltEx DRI approach in newly diagnosed GBM was specifically designed to overcome challenges of systemic T cell localization. The administration of DeltEx DRI cells in INB-200 and INB-400, through an intracranial catheter, directly to the tumor resection site ensures access of the cells to the tumor site and may increase the E:T ratio, and permits localizing the therapy to the specific target area, improving the antitumor activity of cell therapies over intravenous delivery. In the past, other novel modalities, such as treatment with adeno-associated virus (“AAVs”) or small interfering RNA ("siRNAs"), demonstrated early clinical response by also targeting locally deliverable organ systems such as the eye or liver. Newly diagnosed GBM patients have a more intact immune system that does not have the immune suppression resulting from multiple rounds of earlier chemotherapy and/or radiation as do relapsed populations in whom the CAR-T therapies have been assessed. All immune therapies require an adequate baseline immune activity to maximize their effect. Hence, introducing this therapy earlier, in a newly diagnosed population, may ensure that the patients have more robust immune systems available to fully mobilize upon tumor cell destruction caused by gamma-delta cell therapy. </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INB-200 — Phase 1 Clinical Trial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conducted an investigator-sponsored Phase 1 repeat dose escalation trial of INB-200 at UAB. We have completed enrollment and patient dosing of the Phase 1 trial with 13 patients evaluable for dose-limiting toxicity with newly diagnosed GBM who have completed standard induction therapy with TMZ chemotherapy and radiotherapy and are eligible to initiate maintenance therapy with TMZ. We believe that the survival data along with histopathology and radiographic data are indicative of positive treatment effects, which highlight the potential of our genetically modified, chemotherapy-resistant gamma-delta T cells as a potential first-in-class therapy for patients with solid tumor cancers such as GBM.</w:t>
      </w:r>
    </w:p>
    <w:p>
      <w:pPr>
        <w:pStyle w:val="TextBody"/>
        <w:bidi w:val="0"/>
        <w:spacing w:before="0" w:after="120"/>
        <w:jc w:val="both"/>
        <w:rPr>
          <w:rFonts w:ascii="Times New Roman" w:hAnsi="Times New Roman"/>
          <w:sz w:val="20"/>
        </w:rPr>
      </w:pPr>
      <w:r>
        <w:rPr>
          <w:rFonts w:ascii="Times New Roman" w:hAnsi="Times New Roman"/>
          <w:color w:val="000000"/>
          <w:sz w:val="20"/>
        </w:rPr>
        <w:t>The primary endpoint of this trial was to assess the safety and tolerability of expanded and activated autologous MGMT genetically modified gamma-delta T cell infusion. Safety was assessed with single and multiple infusions of 1x10</w:t>
      </w:r>
      <w:r>
        <w:rPr>
          <w:rFonts w:ascii="Times New Roman" w:hAnsi="Times New Roman"/>
          <w:color w:val="000000"/>
          <w:sz w:val="13"/>
        </w:rPr>
        <w:t>7</w:t>
      </w:r>
      <w:r>
        <w:rPr>
          <w:rFonts w:ascii="Times New Roman" w:hAnsi="Times New Roman"/>
          <w:color w:val="000000"/>
          <w:sz w:val="20"/>
        </w:rPr>
        <w:t xml:space="preserve"> DeltEx DRI gamma-delta T cells administered through an intracranial catheter (Rickham catheter) placed in the resection cavity of the tumor. Secondary endpoints include overall survival, time to progression and response. We also assess biologic activity, including serum and cellular cytokines, immune cell composition, biomarkers, and cell-free DNA both peripherally and from the cerebral spinal fluid, if available. This clinical strategy takes advantage of maximizing gamma-delta T cell cytotoxicity by administering it along with TMZ chemotherapy. The tumor is experiencing maximum stress, increased immunogenicity and expressing high levels of NKG2D ligands required to stimulate the gamma-delta T cells as a result of treatment with TMZ. Further, the natural lymphodepletion achieved by standard-of-care TMZ ensures that the chemo-resistant gamma-delta cells remain enriched in the vicinity of tumor to eliminate or slow growth of residual tumor.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Eligible patients received standard-of-care therapy, which includes surgical resection of the GBM tumor, post-surgical induction TMZ and radiation therapy, followed by maintenance TMZ in combination with INB-200, as shown in Figure 12 below. During resection, an intracranial catheter is placed for injection of the INB-200 product which allows us to bypass the restrictions of the blood brain barrier. Blood cells for genetic modification are taken from the patient by leukapheresis several weeks following resection, after the patient’s immune system has been allowed to recover from the immunosuppressive environment created by resident tumor. Gamma-delta T cells are then isolated, genetically modified and expanded into the INB-200 product candidate, and then cryopreserved. No more than six weeks post-surgery, patients are treated with induction therapy consisting of daily radiation and TMZ for six weeks followed by a four-week break. Following the four-week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corticosteroid use is usually tapered, and the patient begins a maintenance phase of TMZ for the first five days of each 28-day cycle for up to six cycles.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INB-400 (Autologous and Allogeneic): Phase 2 Clinical Trials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INB-400 is our corporate-sponsored Phase 2, multi-center clinical trial evaluating our DeltEx DRI technology in newly diagnosed GBM. Treatment of all enrolled patients has been completed and the IND remains open. In September 2024, following a pipeline prioritization review, we suspended further enrollment in the Phase 2 trial of INB-400. The trial was designed to further evaluate genetically modified, DRI gamma-delta T cells in newly diagnosed GBM patients across multiple centers in the United States. Based on the data generated to date, we believe we have identified a strong signal of activity with the autologous therapy in the newly diagnosed GBM setting. Clinical sites remain open, as several patients were enrolled and completed treatment across multiple centers. We will continue to follow these patients for safety and survival outcomes and expect to report additional mOS results in mid- and late-2026. Subject to feedback from the FDA regarding a potential pathway for regulatory approval, we may seek to amend the protocol under the existing IND and could potentially re-initiate patient enrollment.</w:t>
      </w:r>
    </w:p>
    <w:p>
      <w:pPr>
        <w:pStyle w:val="TextBody"/>
        <w:bidi w:val="0"/>
        <w:jc w:val="center"/>
        <w:rPr/>
      </w:pPr>
      <w:r>
        <w:rPr/>
        <w:t> </w:t>
      </w:r>
    </w:p>
    <w:p>
      <w:pPr>
        <w:pStyle w:val="TextBody"/>
        <w:bidi w:val="0"/>
        <w:spacing w:before="0" w:after="120"/>
        <w:jc w:val="center"/>
        <w:rPr/>
      </w:pPr>
      <w:r>
        <w:rPr/>
        <w:drawing>
          <wp:inline distT="0" distB="0" distL="0" distR="0">
            <wp:extent cx="5381625" cy="30480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381625" cy="304800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12. INB-200 and INB-400 Administration Protocol</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The decision to combine DeltEx DRI gamma-delta T cells in the newly diagnosed GBM setting as an adjunct to standard-of-care therapy was driven by biology, data, and the desire to overcome challenges as outlined above. One of our initial goals was to eventually treat cancer patients with an allogeneic therapy against a solid tumor. The brain proved to be a potentially attractive site as it was historically considered one of the few immune-privileged organs that would not have significant NK cells that could reject a graft. Further, greater than 90% of newly diagnosed GBM patients receive a surgical resection, allowing the insertion of the catheter to bypass the blood brain barrier and to avoid questions about cell distribution and localization into the tumor microenvironment. Cells trafficked to the tumor bed because we put them there, eliminating one variable that could significantly impact the efficacy of a cellular therapy.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this trial, we sought to attack any residual tumor cells when they are most vulnerable with immune cells that are as healthy as possible. By combining DeltEx DRI gamma-delta T cells with maintenance TMZ, we sought to deepen responses achieved by induction chemoradiation by further eliminating residual tumor and driving prolonged immune responses. In addition, introducing gamma-delta T cells in a newly diagnosed population of patients ensures that these patients’ immune systems are as robust and active as feasible to take advantage of tumor elimination created by the gamma-delta T cells. Under INB-200, patients are dosed with our DeltEx DRI gamma-delta T cells via intracranial catheter injection, as shown in Figure 12 above, within four hours of receiving intravenous dosing with TMZ on day one of the maintenance cycle. Standard-of-care oral dosing of TMZ continues for the four subsequent days during each 28-day treatment cycle, as shown in Figure 13 below. Depending on which dose cohort they are enrolled in, patients were administered either one, three or six injections of our DeltEx DRI gamma-delta T cells.</w:t>
      </w:r>
    </w:p>
    <w:p>
      <w:pPr>
        <w:pStyle w:val="TextBody"/>
        <w:bidi w:val="0"/>
        <w:spacing w:before="0" w:after="160"/>
        <w:jc w:val="center"/>
        <w:rPr/>
      </w:pPr>
      <w:r>
        <w:rPr/>
        <w:drawing>
          <wp:inline distT="0" distB="0" distL="0" distR="0">
            <wp:extent cx="6486525" cy="19812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6486525" cy="198120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13. Treatment and Manufacturing Timeline of the INB-200 and INB-400 Clinical Trials</w:t>
      </w:r>
    </w:p>
    <w:p>
      <w:pPr>
        <w:pStyle w:val="TextBody"/>
        <w:bidi w:val="0"/>
        <w:spacing w:before="0" w:after="120"/>
        <w:jc w:val="both"/>
        <w:rPr>
          <w:rFonts w:ascii="Times New Roman" w:hAnsi="Times New Roman"/>
          <w:sz w:val="20"/>
        </w:rPr>
      </w:pPr>
      <w:r>
        <w:rPr>
          <w:rFonts w:ascii="Times New Roman" w:hAnsi="Times New Roman"/>
          <w:color w:val="000000"/>
          <w:sz w:val="20"/>
        </w:rPr>
        <w:t>In 2025, we provided multiple clinical updates for INB-200 and INB-400, including a plenary oral presentation at the 2025 ASCO Annual Meeting and both a poster and oral presentation at the 2025 SNO Annual Meeting. At SNO, we reported that as of October 31, 2025, 17 patients with newly diagnosed GBM have been enrolled and treated with our DeltEx DRI gamma-delta T cells across the INB-200 and INB-400 programs. This included, in INB-200, three patients in Cohort 1, four patients in Cohort 2, six patients in Cohort 3 and in INB-400 4 patients. All Cohorts had completed dosing as of October 31, 2025 and continue to be monitored for safety and efficacy outcomes. INB-200 assessed the administration of 1x10</w:t>
      </w:r>
      <w:r>
        <w:rPr>
          <w:rFonts w:ascii="Times New Roman" w:hAnsi="Times New Roman"/>
          <w:color w:val="000000"/>
          <w:sz w:val="13"/>
        </w:rPr>
        <w:t>7</w:t>
      </w:r>
      <w:r>
        <w:rPr>
          <w:rFonts w:ascii="Times New Roman" w:hAnsi="Times New Roman"/>
          <w:color w:val="000000"/>
          <w:sz w:val="20"/>
        </w:rPr>
        <w:t xml:space="preserve"> cells per dose across three different dosing regimens increasing from a single dose in Cohort 1, three doses in Cohort 2, and six doses in Cohort 3, where INB-400 treated patients with up to six doses of the same 1x10</w:t>
      </w:r>
      <w:r>
        <w:rPr>
          <w:rFonts w:ascii="Times New Roman" w:hAnsi="Times New Roman"/>
          <w:color w:val="000000"/>
          <w:sz w:val="13"/>
        </w:rPr>
        <w:t>7</w:t>
      </w:r>
      <w:r>
        <w:rPr>
          <w:rFonts w:ascii="Times New Roman" w:hAnsi="Times New Roman"/>
          <w:color w:val="000000"/>
          <w:sz w:val="20"/>
        </w:rPr>
        <w:t xml:space="preserve"> cells per dose. To date, no infusion reactions, CRS, ICANs, tumor inflammation-associated neurotoxicity (“TIAN”) or other dose limiting toxicities ("DLTs") have been observed across all cohorts. Only one treatment-related series adverse event ("SAE”) has been reported.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Following treatment, all patients are monitored for biologic correlates, time to disease progression and overall survival. The most common AEs were Grade 1/2 events including fatigue, asthenia, urinary tract infection, nausea, headache, platelet and white blood cell count decreased, balance disorders, decreased appetite, hydrocephalus, attributable to TMZ, radiotherapy or disease. One subject had Grade 3 treatment of unrelated AEs of urinary tract infection, dehydration, and thrombocytopenia. There were no treatment related deaths, and repeat dosing has not changed the toxicity profile of this agent to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486525" cy="36480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6486525" cy="3648075"/>
                    </a:xfrm>
                    <a:prstGeom prst="rect">
                      <a:avLst/>
                    </a:prstGeom>
                  </pic:spPr>
                </pic:pic>
              </a:graphicData>
            </a:graphic>
          </wp:inline>
        </w:drawing>
      </w:r>
    </w:p>
    <w:p>
      <w:pPr>
        <w:pStyle w:val="TextBody"/>
        <w:bidi w:val="0"/>
        <w:jc w:val="both"/>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14. Swimmers Plot of Control and Treated Patients Enrolled in INB-200 and INB-400 Clinical Trials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Figure 14 above depicts data for patients treated as of December 31, 2025 and these data are also summarized in Figure 15 below. These data demonstrate that patients have exceeded expected PFS based on their age and tumor MGMT status and the historical median PFS predicted of this patient population (6-7 months). Of the three patients who received a single dose of INB-200, mPFS was 8.0 months and across all patients (n=14) who received multiple doses in the INB-200 and INB-400 programs, mPFS was 13.0 months, representing an approximate 97% increase compared to mPFS of 6.6 months for the control SOC patients enrolled in our trials. This also surpassed the 6.9 months reported by Stupp et al. in the NEJM in 2005 and surpassed the mPFS of 10.5 months (adjusted for 3.8 months from diagnoses to randomization) reported by Novocure in its EF-14 Phase 3 trial for Optune Gio, which gained FDA approval. For context, in 2023, Novocure announced the final results from the Phase 2 TOP study evaluating TTFields (Optune) in combination with Merck’s pembrolizumab and maintenance TMZ in patients with newly diagnosed GBM. Among 26 GBM patients (median age 60.5 years, 73% with MGMT-unmethylated GBM tumors, and 11.5% with IDH-mutation), mPFS was reported as 12 months, compared to 5.8 months in a case-matched control cohort.</w:t>
      </w:r>
    </w:p>
    <w:p>
      <w:pPr>
        <w:pStyle w:val="TextBody"/>
        <w:bidi w:val="0"/>
        <w:jc w:val="center"/>
        <w:rPr/>
      </w:pPr>
      <w:r>
        <w:rPr/>
        <w:drawing>
          <wp:inline distT="0" distB="0" distL="0" distR="0">
            <wp:extent cx="6496050" cy="26860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6496050" cy="268605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15. Summary of Patient Outcomes in INB-200 and INB-400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illustrated in the Kaplan-Meier curve in Figure 16 below, the treatment and control groups are demonstrating separation over time. While the data remains limited in size and follow-up, the analysis suggests a p-value &lt;0.05 in mPFS in repeat dose DeltEx DRI patients and a trend toward improved mOS relative to SOC. mOS in the treatment arm has not yet been reached and updated data will be presented in 2026.</w:t>
      </w:r>
    </w:p>
    <w:p>
      <w:pPr>
        <w:pStyle w:val="TextBody"/>
        <w:bidi w:val="0"/>
        <w:spacing w:before="0" w:after="120"/>
        <w:jc w:val="both"/>
        <w:rPr/>
      </w:pPr>
      <w:r>
        <w:rPr/>
        <w:t> </w:t>
      </w:r>
    </w:p>
    <w:p>
      <w:pPr>
        <w:pStyle w:val="TextBody"/>
        <w:bidi w:val="0"/>
        <w:spacing w:before="0" w:after="120"/>
        <w:jc w:val="center"/>
        <w:rPr/>
      </w:pPr>
      <w:r>
        <w:rPr/>
        <w:drawing>
          <wp:inline distT="0" distB="0" distL="0" distR="0">
            <wp:extent cx="6486525" cy="25622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6486525" cy="2562225"/>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16. Kaplan-Meier Analysis Demonstrates a Treatment Benefit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Biopsy results further confirm the observed treatment benefits by demonstrating the infiltration and persistence of gamma-delta T cells along with CD3+ and CD8+ T cells within the brain tumor microenvironment following treatment with DeltEx DRI gamma-delta T cells. In one MGMT-methylated GBM patient who had a sub-total resection, paired biopsy samples obtained at initial diagnosis and at relapse following six doses of DeltEx DRI demonstrated the presence of gamma-delta T cells, CD3+ and CD8+ cells (brown stain), as shown in Figure 17 below. This was markedly different from a similar patient in our control SOC cohort who received no infusion of gamma-delta T cells. Despite receiving a total gross resection, the control SOC patient relapsed earlier than the treated patient.</w:t>
      </w:r>
    </w:p>
    <w:p>
      <w:pPr>
        <w:pStyle w:val="TextBody"/>
        <w:bidi w:val="0"/>
        <w:jc w:val="center"/>
        <w:rPr/>
      </w:pPr>
      <w:r>
        <w:rPr/>
        <w:drawing>
          <wp:inline distT="0" distB="0" distL="0" distR="0">
            <wp:extent cx="6486525" cy="36480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6486525" cy="3648075"/>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17. Gamma-Delta T cells, CD3+ and CD8+ T Cells Infiltrating and Persisting in Brain Tissue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have completed enrollment in the Phase 1 INB-200 trial, and we expect to provide a further clinical update, including additional mOS data from the total INB-200 and INB-400 data set, at medical meetings anticipated in mid- and late-2026.</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INB-200 — Preclinical Studies in GBM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Malignant high-grade GBM in both humans and mice express stress ligands that are known to activate NKG2D and are targets for gamma-delta T cell attack. In preclinical testing, gamma-delta T cells exhibited strong cytotoxic activity against several GBM cell lines and primary explant cultures. Normal human brain cells do not express these stress ligands and are not affected.</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To assess the antitumor activity of exogenous gamma-delta T cells in GBM as an initial proof-of-concept, it was observed that </w:t>
      </w:r>
      <w:r>
        <w:rPr>
          <w:rFonts w:ascii="Times New Roman" w:hAnsi="Times New Roman"/>
          <w:i/>
          <w:color w:val="000000"/>
          <w:sz w:val="20"/>
        </w:rPr>
        <w:t xml:space="preserve">ex vivo </w:t>
      </w:r>
      <w:r>
        <w:rPr>
          <w:rFonts w:ascii="Times New Roman" w:hAnsi="Times New Roman"/>
          <w:color w:val="000000"/>
          <w:sz w:val="20"/>
        </w:rPr>
        <w:t>expanded and activated human gamma-delta T cells prevented emergence of tumors in a U251 GBM model in immunocompromised mice, leading to increased overall survival.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immunocompetent mice, we found that implantation of GL261 GBM cell line tumors led to a significant increase in levels of endogenous gamma-delta T cells, however these levels decreased over time coincident with tumor progression. Previous clinical studies in GBM and in extracranial malignancies have shown that this decrease is likely a result of T cell exhaustion due to their continuous stimulation by a large and highly aggressive tumor. Indeed, in this study we showed that the increased peripheral blood gamma-delta T cells seen in response to the tumor were already expressing the pre-apoptotic marker Annexin V. Exogenous administration of gamma-delta T cells into the brain immediately after tumor implantation increased overall survival in this model, however these results were not statistically significant.</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Improved Antitumor Activity in Combination with Chemotherapy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Based on several years of peer-reviewed and published preclinical work, as well as early human cancer trials, we believe that INB-200 can work in synergy with chemotherapy by causing changes in cancer cells that result in increased expression of activating ligands of gamma-delta T cell and NK cell function, such as NKG2D. In preclinical studies, treatment of TMZ-resistant GBM cells derived from the U87 human GBM cell line with TMZ led to transient increases in a broad panel of stress ligands recognized by the NKG2D receptor, as shown in Figure 18 below.</w:t>
      </w:r>
    </w:p>
    <w:p>
      <w:pPr>
        <w:pStyle w:val="TextBody"/>
        <w:bidi w:val="0"/>
        <w:spacing w:before="0" w:after="240"/>
        <w:jc w:val="center"/>
        <w:rPr/>
      </w:pPr>
      <w:r>
        <w:rPr/>
        <w:drawing>
          <wp:inline distT="0" distB="0" distL="0" distR="0">
            <wp:extent cx="5762625" cy="28765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762625" cy="287655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18. Increased NKG2D Ligand Expression Observed on TMZ-Resistant Tumor Cells Treated with TMZ</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As shown in Figure 19 below, additional studies in glioma cells have demonstrated that NKG2D ligands are also expressed on cancer stem cells, considered as cells that express factors, such as Klf-4, Oct-4, Sox-2, Nanog and Musashi-1.</w:t>
      </w:r>
    </w:p>
    <w:p>
      <w:pPr>
        <w:pStyle w:val="TextBody"/>
        <w:bidi w:val="0"/>
        <w:spacing w:before="0" w:after="240"/>
        <w:jc w:val="center"/>
        <w:rPr/>
      </w:pPr>
      <w:r>
        <w:rPr/>
        <w:drawing>
          <wp:inline distT="0" distB="0" distL="0" distR="0">
            <wp:extent cx="5381625" cy="1333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381625" cy="133350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19. Cancer Stem-Like Cells Co-Express Stem-Cell Markers and NKG2D Ligands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Treatment with TMZ demonstrated that NKG2D ligand expression can also be upregulated several fold on GBM stem-like cells, as depicted in Figure 20 below. This increase in stress ligand expression, even in TMZ-resistant and stem-like cancer cells, has the potential to increase the vulnerability of tumor cells to gamma-delta T cell targeting during the period of pharmacokinetic activity of TMZ.</w:t>
      </w:r>
    </w:p>
    <w:p>
      <w:pPr>
        <w:pStyle w:val="TextBody"/>
        <w:bidi w:val="0"/>
        <w:spacing w:before="0" w:after="160"/>
        <w:jc w:val="both"/>
        <w:rPr/>
      </w:pPr>
      <w:r>
        <w:rPr/>
        <w:t> </w:t>
      </w:r>
    </w:p>
    <w:p>
      <w:pPr>
        <w:pStyle w:val="TextBody"/>
        <w:bidi w:val="0"/>
        <w:spacing w:before="0" w:after="240"/>
        <w:jc w:val="center"/>
        <w:rPr/>
      </w:pPr>
      <w:r>
        <w:rPr/>
        <w:drawing>
          <wp:inline distT="0" distB="0" distL="0" distR="0">
            <wp:extent cx="3781425" cy="28956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781425" cy="289560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20. Increased NKG2D Ligand Expression in Glioma Stem Cells Treated with TMZ</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are two principal challenges to clinical application of TMZ treatment in conjunction with gamma-delta T cells: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TMZ is cytotoxic to immune cells, including gamma-delta T cells;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increased expression of stress ligands is transient due to resistance mechanisms of the tumor.</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Therefore, we believe the ideal gamma-delta T cell exposure would occur when TMZ is still pharmacokinetically active. We developed INB-200 in a way that could enable it to overcome both of these challenges by engineering the cells that make up INB-200 to be resistant to TMZ, an approach we refer to as DeltEx DRI. Treatment of GBM using TMZ increases the levels of NKG2D stress ligands expressed on the tumor cells leading to activation of INB-200.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The introduction of the drug-resistant genes is designed to allow INB-200 to survive even when it is administered while TMZ is present even in concentrations above the clinical range. As depicted in in Figure 21 below, concurrent treatment with TMZ causes the direct killing of some tumor cells and immunosuppressive cells while activating gamma-delta T cells, which could lead to stimulating the antitumor activity of INB-200.</w:t>
      </w:r>
    </w:p>
    <w:p>
      <w:pPr>
        <w:pStyle w:val="TextBody"/>
        <w:bidi w:val="0"/>
        <w:spacing w:before="0" w:after="240"/>
        <w:jc w:val="center"/>
        <w:rPr/>
      </w:pPr>
      <w:r>
        <w:rPr/>
        <w:drawing>
          <wp:inline distT="0" distB="0" distL="0" distR="0">
            <wp:extent cx="5876925" cy="3962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876925" cy="396240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21. DeltEx DRI Mechanism of Action Targeting the DNA Damage Response (DDR)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developed a process to genetically modify gamma-delta T cells in order to add a gene that codes for MGMT production. MGMT, a primary DNA repair protein, prevents cell death by repairing the DNA double-stranded breaks caused by alkylating chemotherapy, such as TMZ. Introduction of the gene encoding MGMT into gamma-delta T cells using a lentiviral vector decreased the sensitivity of these modified gamma-delta T cells to TMZ by approximately six-fold. We observed that this gene modification did not alter other properties of these gamma-delta T cells, including their cytotoxicity against target cells.</w:t>
      </w:r>
    </w:p>
    <w:p>
      <w:pPr>
        <w:pStyle w:val="TextBody"/>
        <w:bidi w:val="0"/>
        <w:spacing w:before="0" w:after="160"/>
        <w:jc w:val="both"/>
        <w:rPr>
          <w:rFonts w:ascii="Times New Roman" w:hAnsi="Times New Roman"/>
          <w:sz w:val="20"/>
        </w:rPr>
      </w:pPr>
      <w:r>
        <w:rPr>
          <w:rFonts w:ascii="Times New Roman" w:hAnsi="Times New Roman"/>
          <w:color w:val="000000"/>
          <w:sz w:val="20"/>
        </w:rPr>
        <w:t xml:space="preserve">Our preclinical studies supporting the clinical development of DRI and the submission of an IND to the FDA was peer-reviewed and published online in the Nature portfolio journal </w:t>
      </w:r>
      <w:r>
        <w:rPr>
          <w:rFonts w:ascii="Times New Roman" w:hAnsi="Times New Roman"/>
          <w:i/>
          <w:color w:val="000000"/>
          <w:sz w:val="20"/>
        </w:rPr>
        <w:t>Scientific Reports</w:t>
      </w:r>
      <w:r>
        <w:rPr>
          <w:rFonts w:ascii="Times New Roman" w:hAnsi="Times New Roman"/>
          <w:color w:val="000000"/>
          <w:sz w:val="20"/>
        </w:rPr>
        <w:t xml:space="preserve"> in October 2021. In preclinical studies of INB-200 in GBM patient-derived xenograft models, we observed that the combined dosing of TMZ and treatment with our DeltEx DRI gamma-delta T cells led to a statistically significant (p-value ≤ 0.05) increase in overall survival in primary GBM xenograft tumors, as compared to mice treated separately with either chemotherapy or gamma-delta T cells.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 xml:space="preserve">Unmodified gamma-delta cells showed no survival benefit. Subsequent histopathological analysis demonstrated no visible residual tumors in INB-200-treated animals at 150 days, as shown in Figure 22 below. This is important since xenograft models convey the heterogeneity of a human-derived tumor and not the monotonous population of a cell line used in syngeneic models. </w:t>
      </w:r>
    </w:p>
    <w:p>
      <w:pPr>
        <w:pStyle w:val="TextBody"/>
        <w:bidi w:val="0"/>
        <w:spacing w:before="0" w:after="160"/>
        <w:jc w:val="both"/>
        <w:rPr/>
      </w:pPr>
      <w:r>
        <w:rPr/>
        <w:t> </w:t>
      </w:r>
    </w:p>
    <w:p>
      <w:pPr>
        <w:pStyle w:val="TextBody"/>
        <w:bidi w:val="0"/>
        <w:spacing w:before="0" w:after="240"/>
        <w:jc w:val="center"/>
        <w:rPr/>
      </w:pPr>
      <w:r>
        <w:rPr/>
        <w:drawing>
          <wp:inline distT="0" distB="0" distL="0" distR="0">
            <wp:extent cx="5162550" cy="27527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162550" cy="2752725"/>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22. Improved Survival Observed in Both TMZ-Sensitive and TMZ-Resistant GBM Models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Separately, we also examined the potential for sequencing chemotherapy and cell therapy, separating gamma-delta T cells from TMZ therapy by 24 hours (condition 1) and outside the effective concentration of TMZ. As shown in Figure 23 below, we observed that in TMZ-sensitive tumors treated with the sequenced regimen, delivery of the DeltEx DRI gamma-delta T cells led to modest improvement in median overall survival of 75 days compared to 60 days with TMZ alone but with no overall survival benefit over TMZ. Conversely, as discussed above, the combined and concomitant delivery of TMZ and DeltEx DRI gamma-delta T cell regimen (condition 2) resulted in 80% of mice surviving beyond 150 days. These results are consistent with our observations in cell lines, in which we observed that treatment with TMZ led to transient increase in the levels of NKG2D stress ligands. We believe the increased expression of these stress ligands, in turn, led to increased cytotoxic activity of the DeltEx DRI gamma-delta T cells. In preclinical studies, we observed that, even in TMZ-resistant tumors, administration of MGMT-modified gamma-delta T cells led to an increase in median and overall survival while sequencing TMZ and gamma-delta T cells showed no benefit.</w:t>
      </w:r>
    </w:p>
    <w:p>
      <w:pPr>
        <w:pStyle w:val="TextBody"/>
        <w:bidi w:val="0"/>
        <w:spacing w:before="0" w:after="240"/>
        <w:jc w:val="center"/>
        <w:rPr/>
      </w:pPr>
      <w:r>
        <w:rPr/>
        <w:drawing>
          <wp:inline distT="0" distB="0" distL="0" distR="0">
            <wp:extent cx="5657850" cy="24479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657850" cy="2447925"/>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23. Histopathology Demonstrates No Residual GBM in Mice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Our Additional Product Candidates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INB-600: Gamma-Delta T Cell Engager</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Our proprietary, internally developed gamma-delta TCE platform is designed to expand and activate pan gamma-delta T cells, including both the Vd1+ and Vd2+ subsets. This approach is intended to combine the antigen presentation and immunosurveillance capabilities associated with Vd2+ T cells with the long-term durability and potential tissue resident characteristics of Vd1+ T cells. This potentially maximizes both immediate and sustained immune responses, similarly to an </w:t>
      </w:r>
      <w:r>
        <w:rPr>
          <w:rFonts w:ascii="Times New Roman" w:hAnsi="Times New Roman"/>
          <w:i/>
          <w:color w:val="000000"/>
          <w:sz w:val="20"/>
        </w:rPr>
        <w:t xml:space="preserve">in vivo </w:t>
      </w:r>
      <w:r>
        <w:rPr>
          <w:rFonts w:ascii="Times New Roman" w:hAnsi="Times New Roman"/>
          <w:color w:val="000000"/>
          <w:sz w:val="20"/>
        </w:rPr>
        <w:t xml:space="preserve">CAR-T, leveraging the intrinsic cytotoxic properties of gamma-delta T cells as represented in Figure 24 below. In March 2025 we announced preliminary preclinical development of INB-619, a gamma-delta TCE targeting CD19 for potential applications in both oncology and autoimmune diseases. </w:t>
      </w:r>
    </w:p>
    <w:p>
      <w:pPr>
        <w:pStyle w:val="TextBody"/>
        <w:bidi w:val="0"/>
        <w:spacing w:before="0" w:after="160"/>
        <w:jc w:val="center"/>
        <w:rPr/>
      </w:pPr>
      <w:r>
        <w:rPr/>
        <w:drawing>
          <wp:inline distT="0" distB="0" distL="0" distR="0">
            <wp:extent cx="6486525" cy="23431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6486525" cy="2343150"/>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24. INB-619 – A Novel CD19 Gamma-delta T Cell Engager</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In preclinical in vitro models, we have demonstrated that a CD19 targeted gamma-delta TCE can eradicate B cells, with depletion maintained as gamma-delta T cells expand in response to TCE stimulation. In October 2025 we presented data demonstrating the potential for INB-619 in treating B cell-driven autoimmune diseases, such as SLE. INB-619 achieved complete depletion of B cells </w:t>
      </w:r>
      <w:r>
        <w:rPr>
          <w:rFonts w:ascii="Times New Roman" w:hAnsi="Times New Roman"/>
          <w:i/>
          <w:color w:val="000000"/>
          <w:sz w:val="20"/>
        </w:rPr>
        <w:t>in vitro</w:t>
      </w:r>
      <w:r>
        <w:rPr>
          <w:rFonts w:ascii="Times New Roman" w:hAnsi="Times New Roman"/>
          <w:color w:val="000000"/>
          <w:sz w:val="20"/>
        </w:rPr>
        <w:t xml:space="preserve"> using peripheral blood mononuclear cells (“PBMCs”) from both healthy donors and patients with active SLE. This included significant reductions in harmful autoantibodies (IgG1 and IgM levels) in SLE samples, correlating with the degree of B cell depletion and gamma-delta T cell expansion. The data further highlighted the potential of INB-619 through head-to-head analysis of B cell depletion in SLE donors </w:t>
      </w:r>
      <w:r>
        <w:rPr>
          <w:rFonts w:ascii="Times New Roman" w:hAnsi="Times New Roman"/>
          <w:i/>
          <w:color w:val="000000"/>
          <w:sz w:val="20"/>
        </w:rPr>
        <w:t xml:space="preserve">in vitro </w:t>
      </w:r>
      <w:r>
        <w:rPr>
          <w:rFonts w:ascii="Times New Roman" w:hAnsi="Times New Roman"/>
          <w:color w:val="000000"/>
          <w:sz w:val="20"/>
        </w:rPr>
        <w:t xml:space="preserve">compared to commercial B cell depletors. In SLE donor models, INB-619 showed equivalent or better B cell elimination when compared to blinatumomab (CD19-targeted) and mosunetuzumab (CD20-targeted) as shown in Figure 25 below. </w:t>
      </w:r>
    </w:p>
    <w:p>
      <w:pPr>
        <w:pStyle w:val="TextBody"/>
        <w:bidi w:val="0"/>
        <w:spacing w:before="0" w:after="120"/>
        <w:jc w:val="center"/>
        <w:rPr/>
      </w:pPr>
      <w:r>
        <w:rPr/>
        <w:drawing>
          <wp:inline distT="0" distB="0" distL="0" distR="0">
            <wp:extent cx="6486525" cy="2047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6486525" cy="2047875"/>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25. INB-619 B cell Depletion Relative to Approved CD19 and CD20 Drugs at Day 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Notably, INB-619 demonstrated a favorable cytokine profile, with minimal to no detectable CRS-associated cytokines (e.g., IL-4, IL-6, IL-10, TNF-a, IL-17α). This contrasts with both blinatumomab and mosunetuzumab, which had significantly higher levels of CRS-inducing cytokines as shown in Figure 26 below. </w:t>
      </w:r>
    </w:p>
    <w:p>
      <w:pPr>
        <w:pStyle w:val="TextBody"/>
        <w:bidi w:val="0"/>
        <w:spacing w:before="0" w:after="120"/>
        <w:jc w:val="center"/>
        <w:rPr/>
      </w:pPr>
      <w:r>
        <w:rPr/>
        <w:drawing>
          <wp:inline distT="0" distB="0" distL="0" distR="0">
            <wp:extent cx="6486525" cy="20669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6486525" cy="2066925"/>
                    </a:xfrm>
                    <a:prstGeom prst="rect">
                      <a:avLst/>
                    </a:prstGeom>
                  </pic:spPr>
                </pic:pic>
              </a:graphicData>
            </a:graphic>
          </wp:inline>
        </w:drawing>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Figure 26. INB-619 CRS Related Cytokine Secretion Relative to Approved CD19 and CD20 Drugs</w:t>
      </w:r>
    </w:p>
    <w:p>
      <w:pPr>
        <w:pStyle w:val="TextBody"/>
        <w:bidi w:val="0"/>
        <w:jc w:val="both"/>
        <w:rPr>
          <w:rFonts w:ascii="Times New Roman" w:hAnsi="Times New Roman"/>
          <w:color w:val="000000"/>
          <w:sz w:val="20"/>
        </w:rPr>
      </w:pPr>
      <w:r>
        <w:rPr>
          <w:rFonts w:ascii="Times New Roman" w:hAnsi="Times New Roman"/>
          <w:color w:val="000000"/>
          <w:sz w:val="20"/>
        </w:rPr>
        <w:t>Taken together, these preclinical findings suggest the potential for INB-619 to achieve deep B cell depletion with a potentially differentiated safety profile. As a biologic, our TCE INB-619 may offer advantages including repeat dosing and the potential to avoid lymphodepleting chemotherapy, which could be particularly relevant in autoimmune indications. We expect to present additional preclinical data at a scientific or medical meeting in 2026.</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License Agreements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Exclusive License Agreement with Emory University, Children’s Healthcare of Atlanta, Inc. and The UAB Research Foundation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June 2016, we entered into an Exclusive License Agreement with the Emory University, Children’s Healthcare of Atlanta, Inc. and The UAB Research Foundation ("UABRF"), as amended from time to time, which we refer to as the Emory license agreement. We amended the Emory license agreement in October 2017 and July 2020. Under the Emory license agreement, we obtained an exclusive worldwide license under certain immunotherapy-related patents and know-how related to gamma-delta T cells developed by the Emory University, Children’s Healthcare of Atlanta, Inc. and UABRF’s affiliate, UAB, to develop, make, have made, use, sell, import and otherwise commercialize products that are covered by such patents or otherwise incorporate or use the licensed technology. Such exclusive license is subject to certain rights retained by these institutions and also the U.S. government.</w:t>
      </w:r>
    </w:p>
    <w:p>
      <w:pPr>
        <w:pStyle w:val="TextBody"/>
        <w:bidi w:val="0"/>
        <w:spacing w:before="0" w:after="120"/>
        <w:jc w:val="both"/>
        <w:rPr>
          <w:rFonts w:ascii="Times New Roman" w:hAnsi="Times New Roman"/>
          <w:sz w:val="20"/>
        </w:rPr>
      </w:pPr>
      <w:r>
        <w:rPr>
          <w:rFonts w:ascii="Times New Roman" w:hAnsi="Times New Roman"/>
          <w:color w:val="000000"/>
          <w:sz w:val="20"/>
        </w:rPr>
        <w:t>In consideration of the license granted to us under the Emory license agreement, we paid Emory a nominal upfront payment. We are required to pay Emory development milestones totaling up to an aggregate of $1.4 million, low-single-digit to mid-single-digit tiered running royalties on the net sales of the licensed products, including an annual minimum royalty of $0.5 million beginning in the third year following the first sale of a licensed product, increasing to $1.0 million in the fourth year and $1.5 million in the fifth year and thereafter. In addition, we are also required to pay Emory between 1% and 15% of any fees or payments we may receive from our sublicensees, depending on when the sublicense executed. In the event no milestone payments have been paid in certain years, we will be required to pay an annual license maintenance fee: prior to the 78</w:t>
      </w:r>
      <w:r>
        <w:rPr>
          <w:rFonts w:ascii="Times New Roman" w:hAnsi="Times New Roman"/>
          <w:color w:val="000000"/>
          <w:sz w:val="13"/>
        </w:rPr>
        <w:t xml:space="preserve">th </w:t>
      </w:r>
      <w:r>
        <w:rPr>
          <w:rFonts w:ascii="Times New Roman" w:hAnsi="Times New Roman"/>
          <w:color w:val="000000"/>
          <w:sz w:val="20"/>
        </w:rPr>
        <w:t>month anniversary of the agreement, $250,000; prior to the 90</w:t>
      </w:r>
      <w:r>
        <w:rPr>
          <w:rFonts w:ascii="Times New Roman" w:hAnsi="Times New Roman"/>
          <w:color w:val="000000"/>
          <w:sz w:val="13"/>
        </w:rPr>
        <w:t xml:space="preserve">th </w:t>
      </w:r>
      <w:r>
        <w:rPr>
          <w:rFonts w:ascii="Times New Roman" w:hAnsi="Times New Roman"/>
          <w:color w:val="000000"/>
          <w:sz w:val="20"/>
        </w:rPr>
        <w:t>month anniversary of the agreement, $0.5 million; and on or after the eight-year anniversary of the agreement, $1.0 million. The Emory license agreement also requires us to reimburse Emory for the cost of the prosecution and maintenance of the licensed patents.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Emory license agreement, we are required to use our best efforts to develop, manufacture and commercialize the licensed product, and are obligated to meet certain specified deadlines in the development of the licensed products.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term of the Emory license agreement will continue until 15 years after the first commercial sale of the licensed product, or the expiration of the relevant licensed patents, whichever is later. We may terminate the Emory license agreement at will at any time upon prior written notice to Emory. Emory has the right to terminate the Emory license agreement if we materially breach the agreement (including failure to meet our diligence obligations) and fail to cure such breach within specified cure period, if we become bankrupt or insolvent or decide to cease development and commercialization of the licensed product, or if we challenge the validity or enforceability of any licensed patents. For more information related to the intellectual property acquired pursuant to the Emory license agreement, see the section titled “Business—Intellectual Property.”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Exclusive License Agreement with UABRF</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March 2016, we entered into an Exclusive License Agreement with UABRF, as amended from time to time, which we refer to as the UABRF license agreement. We amended the UABRF license agreement in December 2016, January 2017, June 2017 and November 2018. Under the UABRF license agreement, we obtained an exclusive worldwide license under certain immunotherapy-related patents related to the use of gamma-delta T cells, certain CAR-T cells and combination treatments for cell therapies developed by UAB and owned by UABRF to develop, make, have made, use, sell, import and otherwise commercialize products that are covered by such patents. Such exclusive license is subject to certain rights retained by UABRF and also the U.S. government.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consideration of the license granted to us under the UABRF license agreement, we paid UABRF a nominal upfront payment and issued 3,041 shares of our common stock to UABRF, which were subject to certain antidilution rights. The antidilution provision required us to issue additional shares of common stock such that UABRF maintained a 2.5% ownership interest in the Company until we raised at least $20.0 million through one or more rounds of investment. As of August 2020, we raised an aggregate of $36.6 million through the sale of our securities. Between March 2017 and August 2020, we issued UABRF an additional 5,046 shares of our common stock in satisfaction of this antidilution provision.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we are required to pay UABRF development milestones totaling up to an aggregate of $1.4 million, lump sum royalties on cumulative net sales totaling up to an aggregate of $22.5 million, mid-single-digit running royalties on our net sales of the licensed products, low single-digit running royalties on net sales of the licensed products by our sublicensees, and a share of certain non-royalty income ranging between 2.5% to 25%, depending on the status of certain clinical trials, that we may receive, including from any sublicensees. The UABRF license agreement also requires us to reimburse UABRF for the cost of the prosecution and maintenance of the licensed patents.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UABRF license agreement, we are required to use good faith reasonable commercial efforts to develop, manufacture and commercialize the licensed product.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term of the UABRF license agreement will continue until the expiration of the licensed patents. We may terminate the UABRF license agreement at will at any time upon prior written notice to UABRF. UABRF has the right to terminate the UABRF license agreement if we materially breach the agreement and fail to cure such breach within a specified cure period, if we fail to diligently undertake development and commercialization activities as set forth in the development and commercialization plan, if we underreport our payment obligations or underpay by more than a specified threshold, if we challenge the validity or enforceability of any licensed patents, or if we become bankrupt or insolvent. For more information related to the intellectual property acquired pursuant to the UABRF license agreement, see the section titled “Business—Intellectual Property.”</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Sales and Marketing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Given our stage of development, we have not yet established a commercial organization or distribution capabilities. We plan to build focused capabilities in the United States to commercialize our development programs focused on allogeneic or autologous, genetically modified gamma-delta T cell therapies for the treatment of cancer, where the patient populations and medical specialists for the indications we are targeting are sufficiently concentrated to allow us to effectively promote our products, if approved for commercial sale, with a targeted sales team. In other markets for which commercialization may be less capital efficient for us, we may selectively pursue strategic collaborations with third parties in order to maximize the commercial potential of our product candidates.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Manufacturing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do not own or operate manufacturing facilities for the production of our current product candidates. We currently rely on third-party contract manufacturers for all of our required raw materials, manufacturing devices, active pharmaceutical ingredients, lentiviral vectors and finished product for our preclinical research and clinical trials. We have agreements with multiple GMP cell therapy laboratory facilities to manufacture product candidates for our Phase 1 and Phase 2/3 clinical trials. The multi-year agreements allow our medical technologists direct access to the facilities to assist and operate alongside the GMP facility staff. The agreements provide for manufacturing on a per-patient basis. We intend to enter into agreements with third-party manufacturers and/or facilities for future production. We are analyzing the feasibility and costs of building manufacturing capabilities for future development and commercial quantities of any products that we develop. Such products will need to be manufactured in facilities, and by processes, that comply with the requirements of the FDA and the regulatory agencies of other jurisdictions in which we are seeking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biotechnology industry is characterized by intense and dynamic competition to develop new technologies and proprietary therapies. Any product candidates that we successfully develop and commercialize will have to compete with existing therapies and new therapies that may become available in the future. We believe that our proprietary gamma-delta T cell platform and our product candidates, strategic collaborations and scientific and clinical expertise may provide us with competitive advantages. However, we face potential competition from various sources, including larger and better-funded pharmaceutical, specialty pharmaceutical and biotechnology companies, as well as from academic institutions, governmental agencies and public and private research institutions. The key competitive factors affecting the success of any product that may be approved by regulators will include the efficacy, safety profile, pricing, method of administration and level of promotional activity.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field of gamma-delta T cells and T cell engagers is growing rapidly. Our known competitors in the field of allogeneic and gamma-delta T cell therapy include Acepodia USA, Adicet Bio, Inc., American Gene Technologies International Inc., Century Therapeutics, Inc., CytoMed Therapeutics Pte Ltd, Editas Medicine, Inc., Enochian BioSciences, Inc., Eureka Therapeutics, Inc., Expression Therapeutics, Inc., Immatics Biotechnologies GmbH, Johnson &amp; Johnson Innovative Medicine, a division of Johnson &amp; Johnson, Kiromic Biopharma, Inc., OverT Bio, Inc., PersonGen BioTherapeutics (Suzhou) Co., Ltd., PhosphoGam Inc., Regeneron Pharmaceuticals, Inc., Sandhill Therapeutics, Inc., Senti Biosciences, Inc., Shattuck Labs, Inc., and Xoma Royalty Corp., several of which have initiated clinical trials. Our gamma-delta T cell product candidates may also compete with other cell and molecule-based immunotherapy approaches using and/or targeting natural killer cells, T cells and dendritic cells. Our known competitors in the field of TCEs include AbCellera Biologics Inc., AbbVie Inc., Adaptin Bio, Inc., Akeso, Inc., Amgen Inc., Antengene Corporation Limited, AP Biosciences Inc., BioAtla, Inc., BioNTech SE, Bristol Myers Squibb Co, Candid Therapeutics, Inc., Cartography Biosciences, Inc., CDR-Life Inc., Cullinan Therapeutics, Inc., CytoSpire Therapeutics Limited, EvolveImmune Therapeutics, Inc., Genmab A/S, Chongqing Genrix Biopharmaceutical Co., Ltd., HCW Biologics Inc., Janux Therapeutics, Inc., Oblenio Bio, Inc., Pfizer Inc, Regeneron Pharmaceuticals, Inc., Roche Holding AG /Genentech, Inc., and Sanofi, several of which have initiated clinical trials.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Many of our current or potential competitors have greater financial resources and infrastructure, including larger research and development staffs, infrastructure to support testing, developing, marketing and commercialization of products. Many of these companies also have more experience in conducting clinical trials, obtaining FDA and other regulatory approvals, and manufacturing, marketing and distributing therapeutic products. Smaller or clinical-stage companies like us may successfully compete by establishing collaborative relationships with larger pharmaceutical companies or academic institutions. Accordingly, our competitors may be more successful than us in obtaining approval for treatments and achieving widespread market acceptance. Our competitors’ treatments may be more effective, or more effectively marketed and sold, than any treatment we may commercialize and they may render our treatments obsolete or non-competitive before we can recover the expenses of developing and commercializing any of our treatments.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Mergers and acquisitions in the biotechnology and pharmaceutical industries may result in even more resources being concentrated among a smaller number of our competitors. These competitors also compete with us in recruiting and retaining qualified scientific and management personnel and establishing clinical study sites and subject registration for clinical studies, as well as in acquiring technologies complementary to, or necessary for, our programs. Smaller or early-stage companies may also prove to be significant competitors, particularly through collaborative arrangements with large and established companies.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anticipate that we will face intense and increasing competition as new therapies enter the market and advanced technologies become available. We expect any treatments that we develop and commercialize to compete on the basis of, among other things, efficacy, safety, convenience of administration and delivery, price, the level of generic competition and the availability of reimbursement from government and other third-party payors.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products that are safer, more effective, have a better safety profile,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actively seek to protect our proprietary technology, inventions, improvements to inventions and other intellectual property that is commercially important to the development of our business by a variety of means, such as seeking, maintaining and defending patent rights, whether developed internally or licensed from third parties. We also may rely on trade secrets and know-how relating to our proprietary technology platform, on continuing technological innovation and on future in-licensing opportunities to develop, strengthen and maintain the strength of our position in the field of cellular therapy that may be important for the development of our business. Additional regulatory protection may also be afforded through data exclusivity, market exclusivity and patent-term extensions where available.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we owned, co-owned or exclusively licensed five issued U.S. patents, seven issued European patents, 21 other issued foreign patents, nine pending U.S. applications, two pending PCT applications and 16 other foreign national-stage applications, including five European regional-phase applications that are important to the development of our business.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policy is to file patent applications to protect proprietary technology, inventions and improvements to inventions and other intellectual property that may be commercially important to the development of our business. We also intend to seek additional patent protection or rely upon trade secret rights to protect other technologies that may be used to manufacture and develop our gamma-delta T cell products. We are a party to exclusive license agreements that grant us rights to use specific technologies in our gamma-delta T cell products and in the manufacturing and development of our products. For more information, see the section titled “Business—License Agreements.”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Our Patent Portfolio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Patent applications directed to our most advanced programs are summarized below.</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INB-100</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UABRF license agreement, we have licensed one U.S patent application, one issued European patent (which has been widely validated in Europe), one issued Japanese patent, one issued Singaporean patent, one issued Australian patent, one issued Israeli patent, one issued New Zealand patent, and four foreign national-stage applications. These patents and applications contain claims or supporting disclosures directed to methods of HSCT and treating diseases of interest using INB-100. Issued patents and patents issuing from these patent applications, if any, are expected to expire in 2036, without accounting for potential patent term extensions and adjustments.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also own one pending PCT application that contains claims or supporting disclosures directed to additional methods of HSCT and treating diseases of interest using INB-100. Patents issuing from this patent application, if any, are expected to expire in 2044, without accounting for potential patent term extensions and adjustments.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INB-200 and INB-400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Pursuant to the Emory license agreement, we have licensed three issued U.S. patents, three issued European patents (each which have been widely validated in Europe) and two U.S pending patent applications. These patents and applications contain claims or supporting disclosures directed to the INB-200 and INB-400 composition of matter and to methods of treating diseases of interest using INB-200 and INB-400. Issued patents and patents issuing from the pending applications, if any, are expected to expire in 2030, without accounting for potential patent term extensions and adjustments.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INB-200/INB-400 and Immune Checkpoint Inhibitor Combination Therapy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co-own one pending U.S. patent application, one issued European patent, one issued Japanese patent, one issued Korean patent, one issued Australian patent, one issued New Zealand patent, and one issued Singaporean patent, and one Canadian national stage patent applications with The UAB Research Foundation. These patents and applications contain claims or supporting disclosures directed to methods of treating diseases of interest using INB-200 and INB-400 in combination with immune checkpoint inhibitor therapies. Issued patents and patents issuing from the patent applications, if any, are expected to expire in 2037, without accounting for potential patent term extensions and adjustments.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INB-200/400 and PARP Inhibitor Combination Therapy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co-own one pending U.S. patent application and two other foreign national stage applications with The UAB Research Foundation that contain claims or supporting disclosures directed to methods of treating diseases of interest using INB-200 and INB-400 in combination with PARP inhibitor therapies. Patents issuing from these patent applications, if any, are expected to expire in 2039, without accounting for potential patent term extensions and adjustments.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INB-300</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UABRF license agreement, we have also licensed one issued U.S. patent, one issued Israeli patent, one issued Korean patent, one issued Singaporean patent, one pending U.S. patent application and three foreign national-stage applications, including a European regional phase application. These patents and patent applications contain claims or supporting disclosures directed to the INB-300 composition of matter and to methods of treating diseases of interest using INB-300. Issued patents and patents issuing from these patent applications, if any, are expected to expire in 2037, without accounting for potential patent term extensions and adjustments.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also own one pending U.S. application and four foreign national patent applications that contains claims or supporting disclosures directed to additional INB-300 compositions and to methods of treating diseases of interest. Patents issuing from these patent applications, if any, are expected to expire in 2042, without accounting for potential patent term extensions and adjustments.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we own one pending U.S. application, a pending European regional phase application and a pending Canadian application that contains claims or supporting disclosures directed to further INB-300 compositions and to methods of treating diseases of interest. Patents issuing from this patent application, if any, are expected to expire in 2044, without accounting for potential patent term extensions and adjustments.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INB-500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own one pending U.S. application, a pending European regional phase application and a pending Canadian application that contains claims and supporting disclosures for methods of generating, producing and genetically modifying iPSC gamma-delta T cells and to methods of use including treating diseases of interest. Patents issuing from these patent applications, if any, are expected to expire in 2043, without accounting for potential patent term extensions and adjustments.</w:t>
      </w:r>
    </w:p>
    <w:p>
      <w:pPr>
        <w:pStyle w:val="TextBody"/>
        <w:bidi w:val="0"/>
        <w:spacing w:before="0" w:after="120"/>
        <w:jc w:val="left"/>
        <w:rPr>
          <w:rFonts w:ascii="Times New Roman" w:hAnsi="Times New Roman"/>
          <w:i/>
          <w:color w:val="000000"/>
          <w:sz w:val="20"/>
        </w:rPr>
      </w:pPr>
      <w:r>
        <w:rPr>
          <w:rFonts w:ascii="Times New Roman" w:hAnsi="Times New Roman"/>
          <w:i/>
          <w:color w:val="000000"/>
          <w:sz w:val="20"/>
        </w:rPr>
        <w:t>INB-600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own one pending PCT application on the proprietary T cell engager technology, structure, mechanism, potential applications and uses.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Patent Term and Term Extensions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Individual patents have terms for varying periods depending on the date of filing of the patent application or the date of patent issuance and the legal term of patents in the countries in which they are obtained. Generally, utility patents issued for applications filed in the United States are granted a term of 20 years from the earliest effective filing date of a non-provisional patent application. In addition, in certain instances, the term of a U.S. patent can be extended to recapture a portion of the United States Patent and Trademark Office (the "USPTO"), delay in issuing the patent as well as a portion of the term effectively lost as a result of the FDA regulatory review period. However, as to the FDA component, the restoration period cannot be longer than five years and the restoration period cannot extend the patent term beyond 14 years from FDA approval. In addition, only one patent applicable to an approved drug is eligible for the extension, and only those claims covering the approved drug, a method for using it, or a method of manufacturing may be extended. The duration of foreign patents varies in accordance with provisions of applicable local law, but typically is also 20 years from the earliest effective filing date. All taxes, annuities or maintenance fees for a patent, as required by the USPTO and various foreign jurisdictions, must be timely paid in order for the patent to remain in force during this period of time.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actual protection afforded by a patent may vary on a product-by-product basis, from country to country, and can depend upon many factors, including the type of patent, the scope of its coverage, the availability of regulatory-related extensions and the availability of legal remedies in a particular country and the validity and enforceability of the patent.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patents and patent applications may be subject to procedural or legal challenges by others. 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see the section titled “Risk Factors—Risks Related to Our Intellectual Property.”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Trade Secrets and Know-How</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also rely on trade secrets, know-how, continuing technological innovation and confidential information to develop and maintain our proprietary position and protect aspects of our business that are not amenable to, or that we do not consider appropriate for, patent protection, including our proprietary processes for expanding and activating therapeutic quantities of gamma-delta T cells and modified gamma-delta T cells. We seek to protect our proprietary technology and processes, in part, by confidentiality agreements and invention assignment agreements with our employees, consultants, scientific advisors, contractors and others who may have access to proprietary information, under which they are bound to assign to us inventions made during the term of their employment or term of service. These agreements may be breached, and we may not have adequate remedies for any breach. In addition, our trade secrets may otherwise become known or be independently discovered by competitors. To the extent that our contractors, commercial partners, collaborators, employees, and consultants use intellectual property owned by others in their work for us, disputes may arise as to the rights in related or resulting know-how and inventions. For more information, see the section titled “Risk Factors—Risks Related to Our Intellectual Property.”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also seek to preserve the integrity and confidentiality of our data and trade secrets by maintaining physical security of our premises and physical and electronic security of our information technology systems.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process required by the FDA before biologic product candidates may be marketed in the United States generally involves the following:</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completion of preclinical laboratory tests and animal studies performed in accordance with the FDA’s current Good Laboratory Practices regulation;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submission to the FDA of an IND, which must become effective before clinical trials may begin and must be updated annually or when significant changes are made;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approval by an independent Institutional Review Board ("IRB"), or ethics committee at each treatment site before the trial is commenced;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performance of adequate and well controlled human clinical trials to establish the safety, purity and potency of the proposed biologic product candidate for its intended purpose;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preparation of and submission to the FDA of a biologics license application ("BLA"), after completion of all pivotal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satisfactory completion of an FDA Advisory Committee review, if applicable;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determination by the FDA within 60 days of its receipt of a BLA to file the application for review;</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 sites to assess compliance with Good Clinical Practices ("GCP");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FDA review and approval of the BLA to permit commercial marketing of the product for particular indications for use in the United States.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Preclinical and Clinical Development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Supervision of human gene transfer trials includes evaluation and assessment by an Institutional Biosafety Committee ("IBC"), a local institutional committee that reviews and oversees research utilizing recombinant or synthetic nucleic acid molecules at that institution, as set forth in the NIH Guidelines for Research Involving Recombinant or Synthetic Nucleic Acid Molecules, or NIH Guidelines. The IBC assesses the safety of the research and identifies any potential risk to public health or the environment, and such review may result in some delay before initiation of a clinical trial.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subsequent protocol amendments.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purposes of BLA approval, human clinical trials are typically conducted in three sequential phases that may overlap.</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Phase 1—The investigational product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Phase 2—The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Phase 3—The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some cases, the FDA may require, or companies may voluntarily pursue, additional clinical trials after a product is approved to gain more information about the product. These so- called Phase 4 studies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BLA Submission and Review</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 and the sponsor of an approved BLA is also subject to an annual program fee.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Once a BLA has been submitted, the FDA’s goal is to review standard applications within 10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including, as applicable, for compliance with Good Tissue Practices.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treatment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 market studies and surveillance to further assess and monitor the product’s safety and effectiveness after commercialization and may limit further marketing of the product based on the results of these post-marketing studies.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Expedited Development and Review Programs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FDA offers a number of expedited development and review programs for qualifying product candidates, including Regenerative Medicine Advanced Therapy ("RMAT") designation, Breakthrough Therapy designation, Fast Track designation, accelerated approval and priority review.</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Fast Track program is intended to expedite or facilitate the process for reviewing new product candidates that meet certain criteria. Specifically, new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and the payment of applicable user fees, the FDA agrees to accept sections of the BLA and determines that the schedule is acceptable, and the sponsor pays any required user fees upon submission of the first section of the BLA.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product candidate intended to treat a serious or life-threatening disease or condition may also be eligible for Breakthrough Therapy designation to expedite its development and review. Such a product candidate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which means that the sponsor may file sections of the BLA for review on a rolling basis if certain conditions are satisfied, including an agreement with the FDA on the proposed schedule for submission of portions of the application and the payment of applicable user fees before the FDA may initiate a review. The FDA may take other actions appropriate to expedite the development and review of the product candidate, including holding meetings with the sponsor and providing timely advice to, and interactive communication with, the sponsor regarding the development program.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candidate is eligible for priority review if it treats a serious or life-threatening disease or condition and, if approved, would provide a significant improvement in the safety or effectiveness of the treatment, diagnosis or prevention of a serious disease or condition. For products containing new molecular entities, priority review designation means the FDA’s goal is to take action on the marketing application within six months of the 60-day filing date (compared with 10 months under standard review).</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Additionally, product candidates studied for their safety and effectiveness in treating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 controlled post-marketing clinical studies to verify the clinical benefit in relationship to the surrogate endpoint or ultimate outcome in relationship to the clinical benefit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 The FDA may withdraw approval of a drug or indication approved under accelerated approval if, for example, the confirmatory trial fails to verify the predicted clinical benefit of the product.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RMAT designation is intended to facilitate an efficient development program for, and expedite review of, any drug that meets the following criteria: (1) it qualifies as a RMAT, which is defined as 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drug has the potential to address unmet medical needs for such a disease or condition. Like Breakthrough Therapy designation,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reliance upon data obtained from a meaningful number of sites, including through expansion to additional sites. Once approved, when appropriate, the FDA can permit fulfillment of post-approval requirements under accelerated approval through the submission of clinical evidence, clinical studies, patient registries, or other sources of real-world evidence such as electronic health records; through the collection of larger confirmatory datasets; or through post-approval monitoring of all patients treated with the therapy prior to approval.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Fast Track designation, Breakthrough Therapy designation, priority review, and RMAT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and approval will not be shortened.</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Orphan Drug Designation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the Orphan Drug Act, the FDA may grant orphan designation to a drug or biologic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Orphan drug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if the second applicant demonstrates its product is clinically superior to the approved product with orphan exclusivity, or if the manufacturer is unable to assure sufficient quantities of the product to meet the needs of patients with the rare disease or condition. Orphan drug designation may also entitle a party to financial incentives such as opportunities for grant funding towards clinical trial costs, tax advantages and user-fee waivers.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Post-Approval Requirements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restrictions on the marketing or manufacturing of a product, complete withdrawal of the product from the market or product recalls;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fines, warning letters or holds on post-approval clinical studies;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refusal of the FDA to approve pending applications or supplements to approved applications, or suspension or revocation of existing product approvals;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product seizure or detention, or refusal of the FDA to permit the import or export of products;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consent decrees, corporate integrity agreements, debarment or exclusion from federal healthcare programs;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mandated modification of promotional materials and labeling and the issuance of corrective information;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issuance of safety alerts, Dear Healthcare Provider letters, press releases and other communications containing warnings or other safety information about the product; or</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FDA closely regulates the marketing, labeling, advertising and promotion of biologics. A company can make only those claims relating to safety and efficacy, purity and potency that are approved by the FDA and in accordance with the provisions of the approved label. Manufacturers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The FDA and other agencies actively enforce the laws and regulations prohibiting the promotion of off 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Biosimilars and Reference Product Exclusivity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Biologics Price Competition and Innovation Act of 2009 ("BPCIA"), created an abbreviated approval pathway for biological products that are biosimilar to or interchangeable with an FDA-approved reference biological product.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 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biological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Other Healthcare Laws and Compliance Requirements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United States, our activities are potentially subject to regulation by various federal, state and local authorities in addition to the FDA, including but not limited to, the Centers for Medicare &amp; Medicaid Services ("CMS"), other divisions of the U.S. Department of Health and Human Services ("HHS"), (such as the Office of Inspector General and the Health Resources and Service Administration), the Department of Justice (the "DOJ"), and individual U.S. Attorney offices within the DOJ, and state and local governments. For example, research, sales, marketing activities and scientific/educational grant programs must have to comply with the anti-fraud and abuse provisions of the Social Security Act, the false claims laws, transparency laws, the health information privacy and security laws, and similar state laws, each as amended, as applicable.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 federal Anti-Kickback Statute has been interpreted to apply to arrangements between therapeutic product manufacturers on one hand and prescribers and purchasers on the other. In addition, a person or entity does not need to have actual knowledge of the statute or specific intent to violate it in order to have committed a violation.</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federal false claims laws, including the False Claims Act ("FCA"), which can be enforced by private citizens through civil </w:t>
      </w:r>
      <w:r>
        <w:rPr>
          <w:rFonts w:ascii="Times New Roman" w:hAnsi="Times New Roman"/>
          <w:i/>
          <w:color w:val="000000"/>
          <w:sz w:val="20"/>
        </w:rPr>
        <w:t>qui tam</w:t>
      </w:r>
      <w:r>
        <w:rPr>
          <w:rFonts w:ascii="Times New Roman" w:hAnsi="Times New Roman"/>
          <w:color w:val="000000"/>
          <w:sz w:val="20"/>
        </w:rPr>
        <w:t xml:space="preserve"> actions and civil monetary penalty laws prohibit any person or entity from, among other things, knowingly presenting, or causing to be presented, a false or fraudulent claim for payment to, or approval by, the federal healthcare programs, including Medicare and Medicaid, or knowingly making, using, or causing to be made or used a false record or statement material to a false or fraudulent claim to the federal government. A claim includes “any request or demand” for money or property presented to the U.S. government. For instance, historically, pharmaceutical and other healthcare companies have been prosecuted under these laws for allegedly providing free product to customers with the expectation that the customers would bill federal programs for the product. Additionally, companies have been prosecuted for, among other things, causing false claims to be submitted because of the companies’ marketing of the product for unapproved, off-label, and thus generally non-reimbursable, uses. Further, a claim including items or services resulting from a violation of the federal Anti-Kickback Statute constitutes a false or fraudulent claim for purposes of the FCA.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Health Insurance Portability and Accountability ("HIPAA")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federal Anti-Kickback Statute, a person or entity does not need to have actual knowledge of the statute or specific intent to violate it in order to have committed a violation.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 HIPAA, as amended by the Health Information Technology for Economic and Clinical Health Act ("HITECH"), and their implementing regulations, impose requirements relating to the privacy, security and transmission of individually identifiable health information on certain healthcare providers, healthcare clearinghouses, and health plans, known as covered entities, as well as independent contractors, or agents of covered entities that receive or obtain individually identifiable health information in connection with providing a service on behalf of a covered entity, known as a business associates and their covered subcontractors. Among other things, HITECH makes HIPAA’s privacy and security standards directly applicable to business associates.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many pharmaceutical manufacturers must calculate and report certain price reporting metrics to the government, such as average sales price and best price. Further, these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It is difficult to predict how Medicare coverage and reimbursement policies will be applied to our products in the future and coverage and reimbursement under different federal healthcare programs are not always consistent. Medicare reimbursement rates may also reflect budgetary constraints placed on the Medicare program.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Additionally, the federal Physician Payments Sunshine Act (the "Sunshine Act"), within the Patient Protection and Affordable Care Act, as amended by the Health Care and Education Reconciliation Act (collectively,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other healthcare professionals (such as physician assistants and nurse practitioners), and teaching hospitals, or to entities or individuals at the request of, or designated on behalf of, the physicians and teaching hospitals and to report annually certain ownership and investment interests held by physicians and their immediate family members. Many states also govern the reporting of payments or other transfers of value, many of which differ from each other in significant ways, are often not pre-empted, and may have a more prohibitive effect than the Sunshine Act, thus further complicating compliance efforts.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many states and foreign jurisdictions have enacted analogous versions of these laws. For example, many states have similar, and typically more prohibitive, fraud and abuse statutes or regulations that apply to items and services reimbursed under Medicaid and other state programs, or, in several states, apply regardless of the payor. In addition, many states also govern the reporting of payments or other transfers of value, many of which differ from each other in significant ways, are often not pre-empted, and may have a more prohibitive effect than the Sunshine Act, thus further complicating compliance efforts. Further, some states require pharmaceutical companies to comply with the pharmaceutical industry’s voluntary compliance guidelines and relevant federal government compliance guidance and restrict marketing practices or require disclosure of marketing expenditures and pricing information. Additionally, some state and local laws require certain regulatory licenses to manufacture or distribute products commercially and/or the registration of pharmaceutical sales representatives in the jurisdiction. State and foreign laws may also govern the privacy and security of health information in some circumstances. These data privacy and security laws may differ from each other in significant ways and often are not pre-empted by HIPAA, which may complicate compliance efforts.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significant civil, criminal and/or administrative penalties, damages, fines, disgorgement, imprisonment, exclusion from participation in government programs, such as Medicare and Medicaid, injunctions, private “</w:t>
      </w:r>
      <w:r>
        <w:rPr>
          <w:rFonts w:ascii="Times New Roman" w:hAnsi="Times New Roman"/>
          <w:i/>
          <w:color w:val="000000"/>
          <w:sz w:val="20"/>
        </w:rPr>
        <w:t>qui tam</w:t>
      </w:r>
      <w:r>
        <w:rPr>
          <w:rFonts w:ascii="Times New Roman" w:hAnsi="Times New Roman"/>
          <w:color w:val="000000"/>
          <w:sz w:val="20"/>
        </w:rPr>
        <w:t>”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our ability to operate our business and our results of operations. Additionally, if any of the physicians or other providers or entities with whom we expect to do business are found not to be in compliance with applicable laws, they may be subject to significant civil, criminal and administrative sanctions, including exclusion from government funded healthcare programs.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Coverage, Pricing and Reimbursement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United States and in foreign markets, sales of any products for which we receive regulatory approval for commercial sale will depend, in part, on the extent to which third-party payors provide coverage and establish adequate reimbursement levels for such products. Coverage and reimbursement by a third-party payor may depend upon a number of factors, including the third-party payor’s determination that use of a therapeutic is: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 covered benefit under its health plan;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safe, effective and medically necessary;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appropriate for the specific patient;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cost-effective; and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Third-party payors are increasingly challenging the price, examining the medical necessity, and reviewing the cost-effectiveness of medical products, therapies and services, in addition to questioning their safety and efficacy. Obtaining coverage and reimbursement approval of a product from a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In particular,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in addition to the costs required to obtain FDA approvals. We cannot be sure that reimbursement will be available for any product that we commercialize and, if coverage and reimbursement are available, we cannot be sure that the level of reimbursement will be adequate. Limited coverage and less than adequate reimbursement may reduce the demand for, or the price of, any product for which we obtain regulatory approval.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Additionally, in the United States there is no uniform policy among third-party payors for coverage or reimbursement. Third-party payors often rely upon Medicare coverage policy and payment limitations in setting their own coverage and reimbursement policies, but also have their own methods and approval processes. Therefore, one third-party payor’s determination to provide coverage for a product does not assure that other payors will also provide coverage for the product. Adequate third-party payor reimbursement may not be available to enable us to maintain price levels sufficient to realize an appropriate return on our investment in product development. If reimbursement is not available or is available only at limited levels, we may not be able to successfully commercialize any product candidate that we successfully develop.</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Further,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currently applicable U.S. law, certain products not usually self-administered (including injectable drugs), such as our product candidates, once approved, may be eligible for coverage under Medicare Part B. As a condition of receiving Medicare Part B reimbursement for a manufacturer’s eligible drugs or biologicals, the manufacturer is required to participate in other government healthcare programs, including the Medicaid Drug Rebate Program and the 340B Drug Pricing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Healthcare Reform</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United States and some foreign jurisdictions, there have been, and continue to be,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the ACA has substantially changed healthcare financing and delivery by both governmental and private insurers.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Since its enactment, there have been judicial, Congressional and executive branch challenges and amendments to certain aspects of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current administration is pursuing policies to reduce regulations and expenditures across government agencies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Further, at the states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Data Privacy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ordinary course of our business, we process personal data and other sensitive information. Accordingly, we may be subject to data privacy and security obligations, including federal, state, and foreign laws, regulations, guidance, and industry standards related to data privacy and security. Such obligations may include, without limitation, the Federal Trade Commission Act, the California Consumer Privacy Act of 2018, as amended by the California Privacy Rights Act of 2020 ("CCPA"), the Canadian Personal Information Protection and Electronic Documents Act ( the "PIPEDA"), the European Union’s General Data Protection Regulation 2016/679 ("EU GDPR"), and the EU GDPR as it forms part of United Kingdom law by virtue of section 3 of the European Union (Withdrawal) Act 2018, or UK GDPR. In addition, several states within the United States have enacted or proposed data privacy laws. For example, Virginia passed the Consumer Data Protection Act and Colorado passed the Colorado Privacy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example, the California Consumer Privacy Act of 2018 ("CCPA"), provides new data privacy rights for consumers and new operational requirements for companies. Under the CCPA, covered businesses must provide specific disclosures related to a business’s collection, use, and disclosure of personal data, including identifiable health information, and to respond to certain requests from California residents related to their personal data (for example, requests to know of the business’s personal data processing activities, to correct the individual’s personal data, to delete the individual’s personal data, and to opt out of certain personal data disclosures). Also, the CCPA provides for civil penalties (of up to $7,500 per violation) and a private right of action for data breaches which may include an award of statutory damages. The CCPA also gives California residents the ability to limit use of certain sensitive personal data, establishes restrictions on personal data retention and establishes enforcement authority in the California Privacy Protection Agency.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the collection, use, storage, disclosure, transfer, or other processing of personal data regarding individuals in the European Economic Area or EEA or the United Kingdom, or otherwise carried out in the context of EEA or United Kingdom establishments (regardless of where any processing in question occurs), including personal data related to health and genetic information, is subject to the EU GDPR including, where relevant, as implemented in the United Kingdom, the UK GDPR. The EU GDPR is wide-ranging in scope and imposes numerous requirements on companies that process personal data, including requirements relating to processing health and other sensitive information. These obligations may include limiting personal data processing to only what is necessary for specified, explicit, and legitimate purposes; requiring a legal basis for personal data processing; requiring the appointment of a data protection officer in certain circumstances; increasing transparency obligations to data subjects; requiring data protection impact assessments in certain circumstances; limiting the collection and retention of personal data; increasing rights for data subjects; formalizing a heightened and codified standard of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UK and/or the EU in certain circumstances.”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The Foreign Corrupt Practices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Foreign Corrupt Practices Act (the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Environmental Regulation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Other Regulations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Human Capital</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As of December 31, 2025, we had 17 full-time employees, of whom 13 were primarily engaged in research and development activities. A total of 6 employees have an M.D. or Ph.D. degree. None of our employees are represented by a labor union and we consider our employee relations to be good.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Our human capital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0" w:after="240"/>
        <w:jc w:val="both"/>
        <w:rPr>
          <w:rFonts w:ascii="Times New Roman" w:hAnsi="Times New Roman"/>
          <w:sz w:val="20"/>
        </w:rPr>
      </w:pPr>
      <w:r>
        <w:rPr>
          <w:rFonts w:ascii="Times New Roman" w:hAnsi="Times New Roman"/>
          <w:color w:val="000000"/>
          <w:sz w:val="20"/>
        </w:rPr>
        <w:t>Incysus, Ltd. was incorporated in Bermuda on February 8, 2016. On May 7, 2018, Incysus, Ltd. reincorporated in the United States in a domestication transaction in which Incysus, Ltd. converted into a newly formed Delaware corporation, Incysus Therapeutics, Inc. Upon the domestication, each Class A share of Incysus, Ltd. was automatically converted into one share of common stock of Incysus Therapeutics, Inc. and each Class B share of Incysus, Ltd. was automatically cancelled and did not convert into any shares of any class of capital stock of Incysus Therapeutics, Inc. In August 2020, we amended our certificate of incorporation, as amended, to change our name to IN8bio, Inc. Our principal executive offices are located at 350 5</w:t>
      </w:r>
      <w:r>
        <w:rPr>
          <w:rFonts w:ascii="Times New Roman" w:hAnsi="Times New Roman"/>
          <w:color w:val="000000"/>
          <w:sz w:val="13"/>
        </w:rPr>
        <w:t>th</w:t>
      </w:r>
      <w:r>
        <w:rPr>
          <w:rFonts w:ascii="Times New Roman" w:hAnsi="Times New Roman"/>
          <w:color w:val="000000"/>
          <w:sz w:val="20"/>
        </w:rPr>
        <w:t xml:space="preserve"> Avenue, Suite 5330, New York, New York 10118, and our telephone number is (646) 600-6438. Our corporate website address is </w:t>
      </w:r>
      <w:r>
        <w:rPr>
          <w:rFonts w:ascii="Times New Roman" w:hAnsi="Times New Roman"/>
          <w:i/>
          <w:color w:val="000000"/>
          <w:sz w:val="20"/>
        </w:rPr>
        <w:t>www.in8bio.com</w:t>
      </w:r>
      <w:r>
        <w:rPr>
          <w:rFonts w:ascii="Times New Roman" w:hAnsi="Times New Roman"/>
          <w:color w:val="000000"/>
          <w:sz w:val="20"/>
        </w:rPr>
        <w:t>. Information contained on, or accessible through, our website is not a part of this Annual Report on Form 10-K. We have included our website in this Annual Report on Form 10-K solely as an inactive textual reference.</w:t>
      </w:r>
    </w:p>
    <w:p>
      <w:pPr>
        <w:pStyle w:val="TextBody"/>
        <w:bidi w:val="0"/>
        <w:spacing w:before="0" w:after="120"/>
        <w:jc w:val="left"/>
        <w:rPr>
          <w:rFonts w:ascii="Times New Roman" w:hAnsi="Times New Roman"/>
          <w:sz w:val="20"/>
        </w:rPr>
      </w:pPr>
      <w:r>
        <w:rPr>
          <w:rFonts w:ascii="Times New Roman" w:hAnsi="Times New Roman"/>
          <w:b/>
          <w:color w:val="000000"/>
          <w:sz w:val="20"/>
        </w:rPr>
        <w:t>Available Information</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Our website address is </w:t>
      </w:r>
      <w:r>
        <w:rPr>
          <w:rFonts w:ascii="Times New Roman" w:hAnsi="Times New Roman"/>
          <w:i/>
          <w:color w:val="000000"/>
          <w:sz w:val="20"/>
        </w:rPr>
        <w:t>www.in8bio.com</w:t>
      </w:r>
      <w:r>
        <w:rPr>
          <w:rFonts w:ascii="Times New Roman" w:hAnsi="Times New Roman"/>
          <w:color w:val="000000"/>
          <w:sz w:val="20"/>
        </w:rPr>
        <w:t xml:space="preserve">. We make available on our website, free of charge, our Annual Report on Form 10-K, our Quarterly Reports on Form 10-Q and our Current Reports on Form 8-K and any amendments to those reports filed or furnished pursuant to Section 13(a) or 15(d) of the Securities Exchange Act of 1934, as amended, or the Exchange Act, as soon as reasonably practicable after we electronically file such material with, or furnish it to, the Securities and Exchange Commission, or the SEC. The SEC maintains a website that contains reports, proxy and information statements and other information regarding our filings at </w:t>
      </w:r>
      <w:r>
        <w:rPr>
          <w:rFonts w:ascii="Times New Roman" w:hAnsi="Times New Roman"/>
          <w:i/>
          <w:color w:val="000000"/>
          <w:sz w:val="20"/>
        </w:rPr>
        <w:t>www.sec.gov</w:t>
      </w:r>
      <w:r>
        <w:rPr>
          <w:rFonts w:ascii="Times New Roman" w:hAnsi="Times New Roman"/>
          <w:color w:val="000000"/>
          <w:sz w:val="20"/>
        </w:rPr>
        <w:t>. The information found on our website is not incorporated by reference into this Annual Report on Form 10-K or any other report we file with or furnish to the SEC.</w:t>
      </w:r>
    </w:p>
    <w:p>
      <w:pPr>
        <w:pStyle w:val="TextBody"/>
        <w:bidi w:val="0"/>
        <w:spacing w:before="0" w:after="360"/>
        <w:jc w:val="both"/>
        <w:rPr>
          <w:rFonts w:ascii="Times New Roman" w:hAnsi="Times New Roman"/>
          <w:color w:val="000000"/>
          <w:sz w:val="20"/>
        </w:rPr>
      </w:pPr>
      <w:r>
        <w:rPr>
          <w:rFonts w:ascii="Times New Roman" w:hAnsi="Times New Roman"/>
          <w:color w:val="000000"/>
          <w:sz w:val="20"/>
        </w:rPr>
        <w:t>We may use our website as a means of disclosing material non-public information and for complying with our disclosure obligations under Regulation Fair Disclosure promulgated by the SEC. These disclosures will be included on our website under the “Investors &amp; News” section.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both"/>
        <w:rPr>
          <w:rFonts w:ascii="Times New Roman" w:hAnsi="Times New Roman"/>
          <w:sz w:val="20"/>
        </w:rPr>
      </w:pPr>
      <w:bookmarkStart w:id="4" w:name="item_1a_risk_factors"/>
      <w:bookmarkEnd w:id="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both"/>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as well as the other information in this Annual Report on Form 10-K, including our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prospects. In such an event, the market price of our common stock could decline and you may lose all or part of your investment.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Summary of Selected Risk Factors Associated with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is a summary of the principal risks associated with an investment in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substantial doubt regarding our ability to continue as a going concern. We will require substantial additional funding to finance our operations through regulatory approval, and if we are unable to raise capital, we could be forced to delay, reduce or explore other strategic options for certain of our development programs, or even terminate our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Raising additional capital may cause dilution to our stockholders, restrict our operations or require us to relinquish rights to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sale of a substantial number of shares of our common stock may cause the price of our common stock to decline.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outstanding warrants may not be exercised and we may not receive any cash proceeds from any exercise of warrants.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significant operating losses since inception and anticipate that we will continue to incur substantial operating losses for the foreseeable future and may never achieve or maintain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capital may be limited by applicable laws and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 limited operating history and have no products approved for commercial sale, which may make it difficult for you to evaluate the success of our business to date and to assess our future viability.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dependent on the successful clinical development, regulatory approval and commercialization of our gamma-delta T cell product candidates. If we are not able to obtain required regulatory approvals, we will not be able to commercialize our product candidates and our ability to generate product revenue will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DeltEx product candidates utilize novel approaches to cell therapies, including cancer treatment, which presents significant challenges to successfully develop, manufacture and commercialize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and commercial utility of our DeltEx platform is uncertain and may never be realized. Additionally, certain aspects of the function and production of gamma-delta T cells are poorly understood or currently unknown and may only become known through further preclinical and clinical testing.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product candidate development involves a lengthy and expensive process with uncertain outcomes. We may incur additional costs and encounter substantial delays or difficulties in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encounter difficulties in enrolling patients in our clinical trials, our clinical development activities could be delayed or otherwise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file investigational new drug ("IND") applications to commence additional clinical trials on the timelines we expect, and even if we are able to, the FDA may not permit us to proceed.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Development of a product candidate intended for use in combination with an already approved therapy may present increased complexity and more or different challenges than development of a product candidate for use as a single agent or monotherapy.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Public opinion and scrutiny of our competitors, cell-based immunotherapy, T cell engagers, and genetic modification approaches may impact public perception of our company and product candidates, or may adversely affect our ability to conduct our business, raise additional capital and our business plans.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face significant competition, and many of our competitors have substantially greater experience and resources than we have.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manufacturing processes are complex, and we may encounter difficulties in production, which would delay or prevent our ability to provide a sufficient supply of our product candidates for future clinical trials or commercialization, if approved.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rely on third-party contractors or contract development manufacturing organization for the manufacturing of our product candidates, and failure by those parties to adequately perform their obligations could harm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store our gamma-delta T cells and biologic correlative and research specimens from clinical trials and development programs and clinical lentivectors at our research and development facilities and at the facilities of our clinical and/or manufacturing partners, and any damage or loss to our storage freezers and/or facilities from natural disasters or otherwise would cause delays in replacement, and our business could suffer.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currently dependent on a single third-party supplier for manufacture of our automated manufacturing device and our lentiviral vectors for our cellular therapies. These are critical products required for the manufacturing of our product candidates, including INB-100, INB-200 and INB-400. Any damage or loss to the ability of our suppliers to deliver supplies in a timely manner could cause delays in manufacturing or our clinical trials and our business could suffer.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third-party healthcare professionals to administer gamma-delta T cells to patients, and our business could be harmed if these third parties administer these cells incorrectly.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Licensing of intellectual property is of critical importance to our business and involves complex legal, business and scientific issues. If we breach our license agreements with the University of Alabama at Birmingham Research Foundation, Children’s Healthcare of Atlanta, Inc. and Emory University, or any of the other agreements under which we acquired, or will acquire, the intellectual property rights to our product candidates, we could lose the ability to continue the development and commercialization of the related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compete in the pharmaceuticals industry depends upon our ability to attract and retain highly qualified managerial, scientific, medical and other personnel. We are highly dependent on the services of our co-founders, William Ho, our Chief Executive Officer ("CEO"), and Dr. Lawrence Lamb, our Chief Scientific Officer ("CSO"), and of our President and Chief Operating Officer (“COO”), Dr. Kate Rochlin, and the loss of these members of our management team or other key employees could impede, delay or prevent the successful development of our product pipeline, the completion of our current and planned clinical trials, and the commercialization of our products or in-licensing or acquisition of new assets, and could negatively impact our ability to successfully implement our business plan.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(or the third parties with whom we work) actual or perceived failures to comply with applicable data privacy and security obligations, including laws, regulations, contractual obligations, industry standards and other obligations could lead to regulatory investigations or actions, litigation (including class claims), fines and penalties, disruptions of our business operations, reputational harm, loss of revenue or profits, and other adverse business consequences.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Unstable market and economic conditions, including as a result of increases in inflation, the price of oil, and interest rates, tariffs and trade wars, public health crises or geopolitical tensions, such as wars and terrorism, and future U.S. government shutdowns, may have serious adverse consequences on our business, ability to raise capital, financial condition and share price.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Financial Position and Capital Needs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There is substantial doubt regarding our ability to continue as a going concern. We will require substantial additional funding to finance our operations, and if we are unable to raise capital, we could be forced to delay, reduce or explore other strategic options for certain of our development programs, or even terminate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existing cash of $27.1 million as of December 31, 2025 is only expected to fund the Company’s projected operating expenses and capital expenditure requirements through April 2027. We continue to maintain cash preservation measures to defer or reduce costs in the near term in order to preserve capital and increase financial flexibility. These cash preservation measures may impact our ability and the timing to execute our strategy. Our ability to continue as a going concern will depend on our ability to obtain additional funding, as to which no assurances can be given. We continue to analyze various alternatives, including additional debt or equity financings or other arrangements. Due to the uncertainty of our ability to meet our current operating and capital expenses, in their report on our audited annual financial statements as of and for the years ended December 31, 2025 and 2024, our independent auditors included an explanatory paragraph regarding our ability to continue as going concern. Substantial doubt about our ability to continue as a going concern may materially and adversely affect the price per share of our common stock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our expenses to continue to increase in connection with our ongoing activities, particularly as we conduct clinical trials of, and seek marketing approval for, our product candidates and advance our other programs. Developing pharmaceutical products, including conducting preclinical studies and clinical trials, is a very time-consuming, expensive and uncertain process that takes years to complete. Other unanticipated costs may also arise. Because the design and outcome of our ongoing and anticipated clinical trials are highly uncertain, we cannot reasonably estimate the actual amount of resources and funding that will be necessary to successfully complete the development and commercialization of any product candidate we develop. Moreover, we will need to obtain substantial additional funding in connection with our continuing operations and planned research and clinical development activities. Our future capital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progress, costs and results of our ongoing preclinical studies and clinical trials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preclinical development, laboratory testing and clinical trials of other product candidates that we may pursue;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collaborations on favorable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reimbursement and distribution, for any of our product candidates for which we may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may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any milestone and royalty payments with respect to any approved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rights and defending any intellectual property-related claims;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operating as a public company;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never generate the necessary data or results required to obtain regulatory approval in order to generate revenue from product sales. In addition, our product candidates, if approved, may not achieve commercial success. Our commercial revenues, if any, will be derived from sales of products that we do not expect to be commercially available for several years, if at all. 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Our ability to raise additional capital may be adversely impacted by potential worsening global economic conditions, including as a result of increases in inflation and interest rates, disruptions to, and volatility in, the credit and financial markets in the United States and worldwide, tariffs and trade wars, public health crises or geopolitical tensions, such as wars and terrorism and future U.S. government shutdowns. If we are unable to raise capital when needed or on acceptable terms, we could be forced to delay, reduce, or explore other strategic options for our research and development programs or other opportunities, or even terminate our operations. If we do not obtain additional financing and are required to terminate our operations, our stockholders will lose all or a part of their investment.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Raising additional capital may cause dilution to our stockholders, restrict our operations or require us to relinquish rights to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if ever, as we can generate substantial product revenue, we will need to finance our cash needs through public or private equity or debt financings, third-party funding, marketing and distribution arrangements, as well as other collaborations, strategic alliances and licensing arrangements, or any combination of these approaches. We do not have any committed external source of funds. To the extent that we raise additional capital, if available, through the sale of equity or convertible debt securities, including through our ATM program, your ownership interest in our company may be diluted, and the terms of these securities may include liquidation or other preferences that adversely affect your rights as a stockholder. For example, in recent years we have issued a substantial number of shares of common stock and warrants to purchase shares of common stock to raise additional capital, including most recently our sale and issuance of 5,127,029 shares of common stock and pre-funded warrants to purchase up to 9,452,677 shares of common stock in a private placement in December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Debt and equity financings, if available, may involve agreements that include covenants limiting or restricting our ability to take specific actions, such as redeeming our shares, making investments, incurring additional debt, making capital expenditures, declaring dividends or placing limitations on our ability to acquire, sell or license intellectual property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raise additional capital through future collaborations, strategic alliances or third-party licensing arrangements, we may have to relinquish valuable rights to our intellectual property, future revenue streams, research programs or product candidates, or grant licenses on terms that may not be favorable to us, if at all. If we are unable to raise additional capital when needed, we may be required to delay, limit, reduce or explore other strategic options for our product candidate development or future commercialization efforts, or grant rights to develop and market product candidates that we would otherwise develop and market ourselves.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 sale of a substantial number of shares of our common stock may cause the price of our common stock to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Sales of a substantial number of shares of our common stock in the public market could occur at any time, including as a result of exercises of the outstanding warrants. If our stockholders sell, or the market perceives that our stockholders intend to sell, substantial amounts of our common stock in the public market, the market price of our common stock could decline significantly. 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outstanding options, or the perception that such sales may occur, could adversely affect the market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These sales, or the perception in the market that the holders of a large number of shares intend to sell shares, could reduce the market price of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outstanding warrants may not be exercised and we may not receive any cash proceeds from any exercise of warrants.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we had 9,701,059 pre-funded warrants, 166,964 Series B warrants, and 828,863 Series C warrants outstanding. Of these, 9,452,677 pre-funded warrants have an exercise price of $0.0001 per share and 248,382 pre-funded warrants have an exercise price of $0.003 per share. The Series B warrants have an exercise price of $13.50 per share and will expire on December 13, 2028. The Series C warrants have an exercise price of $8.10 per share and will expire on October 4,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receive up to an aggregate of $10.0 million from the exercise of the Series B and Series C warrants, assuming the exercise in full of all of the warrants for cash. However, we will only receive proceeds to the extent the holders of warrants elect to exercise. We can provide no assurances as to the amount of proceeds we will receive from the exercise of warrants or whether we will receive any proceeds at all. Additionally, the warrants may, in certain circumstances, be exercised by way of cashless exercise, meaning that the holder may not pay a cash purchase price upon exercise, but instead would receive upon such exercise the net number of shares of our common stock determined according to the formula set forth in the applicable warrant. Accordingly, we may not receive any additional funds, or any significant additional funds, upon any exercise of the warrants. To date, 261,832 Series A, 90,544 Series B and 47,088 Series C warrants have been exercised for net proceeds of $2.3 million.</w:t>
      </w:r>
    </w:p>
    <w:p>
      <w:pPr>
        <w:pStyle w:val="TextBody"/>
        <w:bidi w:val="0"/>
        <w:spacing w:before="240" w:after="283"/>
        <w:jc w:val="both"/>
        <w:rPr>
          <w:rFonts w:ascii="Times New Roman" w:hAnsi="Times New Roman"/>
          <w:sz w:val="20"/>
        </w:rPr>
      </w:pPr>
      <w:r>
        <w:rPr>
          <w:rFonts w:ascii="Times New Roman" w:hAnsi="Times New Roman"/>
          <w:b/>
          <w:i/>
          <w:color w:val="000000"/>
          <w:sz w:val="20"/>
        </w:rPr>
        <w:t>We have incurred significant operating losses since inception and anticipate that we will continue to incur substantial operating losses for the foreseeable future and may never achieve or maintain profitability.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significant operating losses since inception. Our net loss was $19.4 and $30.4 million for the years ended December 31, 2025 and 2024, respectively. As of December 31, 2025, we had an accumulated deficit of $141.1 million. We expect to continue to incur significant expenses and increasing operating losses for the foreseeable future. Since inception, we have devoted substantially all of our efforts to research and preclinical and clinical development of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organizing and staffing our company, business planning, raising capital, establishing our intellectual property portfolio and conducting clinical trials. To date, we have never obtained regulatory approval for, or commercialized, any product candidates. It could be several years, if ever, before we have a commercialized product. The net losses we incur may fluctuate significantly from quarter to quarter and year to year. We anticipate that our expenses will increase substantially if, and as,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conduct our current and future clinical trials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 to develop and advance our preclinical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regulatory and marketing approvals for any of our current and future product candidates that successfully complete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our manufacturing capability, including developing our contract development and manufacturing relationships, and building our internal manufacturing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expand our operational, financial, and management systems and increase personnel, including personnel to support our preclinical and clinical development, manufacturing and commercialization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sales, marketing and distribution infrastructure in the future to commercialize any current or future product candidate for which we may obtain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 to identify, discover, develop and commercialize additional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incur additional legal, accounting or other expenses in operating our business, including the additional costs associated with operating as a public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become and remain profitable, we must succeed in developing and eventually commercializing products that generate significant revenue. This will require us to be successful in a range of challenging activities, including completing preclinical studies and clinical trials of our current and future product candidates, obtaining regulatory approval, establishing and validating commercial-scale current good manufacturing practices ("cGMP") facilities, marketing and selling any products for which we obtain regulatory approval (including through third parties), as well as discovering or acquiring and developing additional product candidates. We are only in the preliminary stages of some of these activities. As inflation expectations remain uncertain in the United States and globally, we expect the costs of certain activities will increase. Should suppliers and consultants increase prices to cover increased wages and materials costs, we expect our expenses and cash utilization could increase substantially. We may never succeed in these activities and, even if we do, may never generate revenues that are sufficient to offset our expenses and achieve profitability.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of the numerous risks and uncertainties associated with product candidate development, we are unable to accurately predict the timing or amount of expenses or when, or if, we will be able to achieve profitability. If we are required by regulatory authorities to perform clinical trials or preclinical studies in addition to those currently expected, or if there are any delays in the initiation and completion of our clinical trials or the development of any of our product candidates, our expenses could increase.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 A decline in the value of our common stock could also cause you to lose all or part of your investment.</w:t>
      </w:r>
    </w:p>
    <w:p>
      <w:pPr>
        <w:pStyle w:val="TextBody"/>
        <w:bidi w:val="0"/>
        <w:spacing w:before="240" w:after="283"/>
        <w:jc w:val="both"/>
        <w:rPr>
          <w:rFonts w:ascii="Times New Roman" w:hAnsi="Times New Roman"/>
          <w:sz w:val="20"/>
        </w:rPr>
      </w:pPr>
      <w:r>
        <w:rPr>
          <w:rFonts w:ascii="Times New Roman" w:hAnsi="Times New Roman"/>
          <w:b/>
          <w:i/>
          <w:color w:val="000000"/>
          <w:sz w:val="20"/>
        </w:rPr>
        <w:t>Our ability to raise capital may be limited by applicable laws and regulations.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Using a shelf registration statement on Form S-3 to raise additional capital generally takes less time and is less expensive than other means, such as conducting an offering under a Form S-1 registration statement. However, our ability to raise capital using a shelf registration statement may be limited by, among other things, SEC rules and regulations. Under SEC rules and regulations, if our public float (the market value of our common stock held by non-affiliates) is less than $75.0 million, then the aggregate market value of securities sold by us or on our behalf under our Form S-3 in any 12-month period is limited to an aggregate of one-third of our public float. As our public float is currently less than $75.0 million, we are currently subject to this limitation. If our ability to utilize a Form S-3 registration statement for a primary offering of our securities continues to be limited to one-third of our public float, we may need to conduct such an offering pursuant to an exemption from registration under the Securities Act or under a Form S-1 registration statement, which would increase the cost of raising additional capital relative to utilizing a Form S-3 registration statement.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a limited operating history and have no products approved for commercial sale, which may make it difficult for you to evaluate the success of our business to date and to assess our future viability.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an early clinical-stage biotechnology company with a limited operating history upon which you can evaluate our business and prospects. Our operations to date have been limited to financing and staffing our company, developing our technology, identifying and developing our product candidates, undertaking preclinical studies, initiating and conducting clinical trials for INB-400, INB-200 and INB-100, business planning and raising capital. Other than INB-400, INB-200 and INB-100, all of our ongoing research programs are still in the preclinical or research stage of development, and the risk of failure in the biopharmaceutical industry for programs or products candidates at such stage of development is even higher than those in the clinical stage of development. We have not yet demonstrated an ability to successfully conduct or complete any clinical trials, including large-scale, multi-center pivotal clinical trials, obtain marketing approval, manufacture a clinical or commercial scale product or arrange for a third party to do so on our behalf or conduct sales and marketing activities necessary for successful product commercialization. Typically, it takes about six to ten years to develop a new drug from the time it enters Phase 1 clinical trials to when it is approved for treating patients, but in many cases it may take longer. Consequently, predictions about our future success or viability may not be as accurate as they could be if we had a longer operating history or a history of successfully developing and commercializing genetic medicine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as a business with a limited operating history, we may encounter unforeseen expenses, difficulties, complications, delays and other known and unknown factors. We will eventually need to transition from a company with a research and clinical focus to a company, if any of our product candidates are approved, capable of supporting commercial activities. We may not be successful in such a transition.</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the Development of Our Product Candidates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dependent on the successful clinical development, regulatory approval and commercialization of our gamma-delta T cell product candidates. If we are not able to obtain required regulatory approvals, we will not be able to commercialize our product candidates and our ability to generate product revenue will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is dependent on our ability to successfully complete development of, obtain regulatory approval for, and, if approved, successfully commercialize our product candidates in a timely manner. We may face unforeseen challenges in our product candidate development strategy, and we can provide no assurances that our product candidate or clinical trial design will prove to be effective, that we will be able to take advantage of abbreviated regulatory pathways for any of our product candidates, or that we will ultimately be successful in our future clinical trials. We expect that a substantial portion of our efforts and expenses over the next several years will be devoted to the development of our lead product candidates, including INB-100, in our ongoing clinical trials. Our product candidates are in early stages of development and may never be commercialized. Additionally, we announced in September 2024 that we have suspended patient enrollment in the INB-400 Phase 2 clinical trial for newly diagnosed GBM while we explore additional funding, potential regulatory pathways and/or partnership opportunities, if any, for the program. We would require substantial additional funds to recommence and advance this trial through data and BLA submission.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anticipate seeking initial regulatory approvals in the United States and the European Union but may in the future submit applications for the regulatory approval of one or more of our product candidates to additional foreign regulatory authorities. We have not applied or obtained regulatory approval for any product candidate in the United States or abroad, and it is possible that neither our current product candidates nor any product candidates we may seek to develop in the future will obtain regulatory approval. Neither we nor any of our partners are permitted to market any of our product candidates in the United States or abroad until we receive regulatory approval from the FDA or the applicable foreign regulatory agency.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of our product candidates will require additional clinical and non-clinical development, regulatory review and approval in multiple jurisdictions, substantial investment, access to sufficient commercial manufacturing capacity and significant marketing efforts before they can be successfully commercialized. Prior to obtaining approval to commercialize any product candidate in the United States or abroad, we must demonstrate with substantial evidence from well-controlled clinical trials, and to the satisfaction of the FDA or comparable foreign regulatory authorities, that such product candidate is safe and effective for its intended uses. Results from preclinical studies and clinical trials can be interpreted in different ways. Even if we believe that the preclinical or clinical data for our product candidates are promising, such data may not be sufficient to support approval by the FDA and other regulatory authorities. The FDA may also require us to conduct additional preclinical studies, assay development or clinical trials for our product candidates either pre- or post-approval, or it may object to elements of our clinical development program, requiring their alteration. We may also decide to modify clinical protocols or procedures in future clinical trials based on clinical and experimental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Of the large number of products in development, only a small percentage successfully complete the FDA or comparable foreign regulatory authorities’ approval processes and are commercialized. The lengthy approval or marketing authorization process as well as the unpredictability of future clinical trial results may result in our failing to obtain regulatory approval or marketing authorization to market our product candidates, which would significantly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product candidates could fail to receive regulatory approval from the FDA or a comparable foreign regulatory authority for many reasons, including,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disagreement with the design or conduct of any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demonstrate to the satisfaction of regulatory agencies that our product candidates are safe and effective, or have a positive benefit/risk profile for its proposed indication;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of clinical trials to meet the level of statistical significance required for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disagreement with our interpretation of data from preclinical studies or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insufficiency of data collected from clinical trials of our product candidates to support the submission and filing of a Biologics License Application ("BLA") or other submission or to obtain regulatory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obtain approval of our manufacturing processes or facilities of third-party manufacturers with whom we contract for clinical and commercial supplies or our own manufacturing facility;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approval policies or regulations that render our preclinical and clinical data insufficient for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any delay in, or termination of, our clinical trials will delay the submission of a BLA to the FDA or other similar applications with other relevant foreign regulatory authorities and, ultimately, our ability to commercialize our product candidates, if approved, and generate product 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we eventually complete clinical testing and receive approval of 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approve or authorize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approval or other marketing authorization would delay or prevent commercialization of that product candidate and would adversely impact our business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because all of our product candidates are based on the same core gamma-delta T cell technology, if any of our product candidates encounter safety or efficacy problems, developmental delays or regulatory issues or other problems including the failure to demonstrate comparability or equivalence, these could impact the development plans for our other product candidates. Our failure to timely complete clinical trials, obtain regulatory approval or, if approved, commercialize our product candidates could adversely affect our business, financial condition and 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product candidates are in early stages of development, and therefore they will require extensive additional preclinical and clinical testing. Success in preclinical studies or early-stage clinical trials may not be indicative of results in future clinical trials and we cannot assure you that any ongoing, planned or future clinical trials will lead to results sufficient for the necessary regulatory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our product candidates are in early stages of development, they will require extensive preclinical and clinical testing. INB-400, INB-200 and INB-100 are our only product candidates currently in active clinical trials. While the IND remains open, in September 2024, we announced that we have suspended patient enrollment in the INB-400 Phase 2 clinical trial for newly diagnosed GBM while we explore additional funding, potential regulatory pathways and/or partnership opportunities for the program, if any. Success in preclinical testing and early-stage clinical trials does not ensure that later clinical trials and/or product candidate will generate the same results or otherwise provide adequate data to demonstrate the efficacy, safety and equivalency of a product candidate. Preclinical studies and Phase 1 clinical trials are primarily designed to test safety, to study pharmacokinetics and pharmacodynamics and to understand the side effects of product candidates at various doses and schedules. Success in preclinical studies and earlier clinical trials does not ensure that later efficacy trials will be successful, nor does it predict final results. Our product candidates may fail to show the desired safety and efficacy in clinical development despite positive results in preclinical studies or even if they successfully advance through earlier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example, although we have undertaken Phase 1 clinical trials for INB-200 and INB-100, and have determined the recommended RP2D for the Phase 2 trial of INB-100, the FDA has not yet made any determination regarding safety and efficacy of either product candidate in the targeted indications. Further, our novel approaches to immune cell therapies are unproven and as such, the cost and time needed to develop our product candidates is difficult to predict and our efforts may not be successful. If we do not observe favorable results in clinical trials of our product candidates, we may decide to delay or abandon clinical development of such product candidate. Any such delay or abandonment could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design of a clinical trial can determine whether its results will support approval of a product, and flaws in the design of a clinical trial may not become apparent until the clinical trial is well advanced. As an organization, we have limited experience designing clinical trials and may be unable to design and execute a clinical trial to support regulatory approval. Many companies in the pharmaceutical and biotechnology industries have suffered significant setbacks, including failure in late-stage clinical trials even after achieving promising results in preclinical testing and earlier clinical trials. Data obtained from preclinical and clinical activities are subject to varying interpretations, which may delay, limit or prevent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we cannot predict with any certainty if or when we might submit a BLA for regulatory approval for any of our product candidates or whether any such BLA will be accepted for review by the FDA, or whether any BLA will be approved upon review. Even if our clinical trials are completed as planned, we cannot be certain that their results will support our proposed indications. Success in preclinical testing and early clinical trials does not ensure that later clinical trials will be successful, and we cannot be sure that the results of later clinical trials will replicate the results of prior clinical trials and preclinical testing. The clinical trial process may fail to demonstrate that our product candidates are safe and effective for their proposed uses. This failure could cause us to abandon a product candidate and may delay development of other product candidates. Any delay in, or termination of, our clinical trials will delay and possibly preclude the filing of any BLAs with the FDA and, ultimately, our ability to commercialize our product candidates and generate product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gamma-delta T cell engager program "(γδ TCE"), INB-600, INB-633 and INB-619, currently in preclinical development, are subject to significant risks and uncertainties that could materially impact development of this platform and impact our results, timelines, financing or business objectives. The development is early and preclinical and the work to bring a TCE through IND-enabling development and into clinical development encompasses many critical processes including cloning into optimized GMP compliant vector and cell systems, scale-up, generation of transient or stable cell lines for production, GMP manufacturing and large-scale production. These processes present complex scientific and technical challenges and are subject to numerous risks and uncertainties, including the risk that the T cell engager’s properties, such as the stimulatory/expansion domain, binding affinity or specificity, or targeting domains may not function as anticipated when transitioning from preclinical systems to a larger-scale production system. Additionally, achieving sufficient purity during the manufacturing scale up and purification process to meet stringent regulatory standards for clinical trials poses a significant risk, as difficulties in removing impurities or ensuring product stability could lead to manufacturing delays or failures. Furthermore, in IND-enabling animal models, there is a risk that the T cell engager may not demonstrate the anticipated efficacy or may exhibit toxicity not previously identified in in vitro testing, potentially due to differences in biological systems or unforeseen off-target effects. Advancing to clinical trials introduces additional uncertainties, including challenges in obtaining regulatory approvals, potential safety or efficacy issues, difficulties in patient recruitment, and the complexities of trial execution. Failure to successfully address these risks could delay or prevent the progression of our T cell engager into clinical development.</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publish interim, "topline" or preliminary data from our clinical trials. Interim, "topline" or preliminary data from clinical trials that we may complete are subject to the risk that one or more of the clinical outcomes may materially change as patient enrollment continues and more patient data become available. Interim, "topline" and preliminary data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Differences between interim, "topline" and preliminary data and final data could significantly harm our business prospects and may cause the trading price of our common stock to fluctuate significantly.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business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or our business. If the interim, "topline," or preliminary data that we report differ from actual results, or if others, including regulatory authorities, disagree with the conclusions reached, our ability to obtain approval for and commercialize our product candidates, our business, operating results, prospects or financial condition may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DeltEx product candidates utilize novel approaches to cell therapies, including cancer treatment, which presents significant challenges to successfully develop, manufacture and commercialize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product candidates represent a novel approach to immunotherapy, including cancer treatment, and we have concentrated significant research and development efforts to date developing our INB-100, INB-200 and INB-400 product candidates, as well as our additional drug-resistant immunotherapy ("DRI") gamma-delta T cell and gamma-delta T cell engager preclinical product candidates. Gamma-delta T cell immunotherapy is a newly emerging field and our approaches, including genetic modification and DeltEx DRI gamma-delta T cells, have not been extensively tested over any significant period. We have not yet succeeded and may never succeed in demonstrating efficacy and safety for any of our product candidates in clinical trials or in obtaining marketing approval thereafter.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example, INB-100, our novel allogeneic gamma-delta T cell product candidate that we are initially developing for the treatment of patients with acute leukemia undergoing hematopoietic stem cell transplantation, is manufactured from healthy donor T cells using our proprietary manufacturing process. Allogeneic versions of cell therapy and gamma-delta T cell product candidates is an unproven field of development and is subject to particular risks that are difficult to quantify, including understanding and addressing variability in the quality and quantity of a donor’s T cells and the patient’s potential immune reaction to the foreign donor cells, which could ultimately affect safety, efficacy and our ability to produce product in a reliable and consistent manner. As such, we may be faced with unforeseen results, delays and setbacks, in addition to the other foreseeable risks and uncertainties associated with developing immune cell therapies.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are the first company to advance a genetically modified gamma-delta T cell product candidate, INB-200, which we are currently developing for the treatment of certain solid tumors, into the clinic. The manufacture of our cell therapies involves complex processes, including, for INB-100, where blood cells are isolated from an allogeneic donor via leukapheresis, gamma-delta T cells are expanded and activated, and other cells are removed through magnetic separation and then cryopreserved. For INB-200, blood cells are isolated from the patient via leukapheresis, the gamma-delta T cells are transduced, expanded and activated, and, if required, other cells are removed through magnetic separation prior to cryopreservation.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delay or difficulties in manufacturing lentiviral vector and/or clinical supply of INB-100, INB-200 and INB-400 or any of our other current or future product candidates would adversely affect our business and operations. For additional details surrounding risks related to our manufacturing processes, see the risks highlighted in "Risks Related to Manufacturing and our Dependence on Third Parties," including "Our manufacturing processes are complex and we may encounter difficulties in production, which would delay or prevent our ability to provide a sufficient supply of our product candidates for future clinical trials or commercialization,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Advancing product candidates utilizing such novel approaches to immunotherapy creates significant challenges for us, including,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manufacturing our product candidate to our specifications and in a timely manner to support our clinical trials, and, if approved,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sourcing clinical and, if approved, commercial supplies for the raw materials used to manufacture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understanding and addressing variability in the quality of a donor and/or patient’s T cells, which could ultimately affect our ability to produce our product candidates in a reliable and consistent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conditioning patients with chemotherapy or other lymphodepletion agents in advance of administering our product candidates, which may increase the risk of adverse side effects;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educating medical personnel regarding how to properly isolate cells, perform aphersis, administer our cells and the potential side effect profile of our product candidates, such as cytokine release syndrome, neurotoxicity, tumor inflammation-associated neurotoxicities, graft versus host disease, prolonged cytopenia, infections, hygromas and neutropenic sepsis, among others;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enrolling sufficient numbers of patients in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training a sufficient number of technicians in how to properly manufacture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 reliable, safe, effective and cost-effective means of consistently expanding and manufacturing our cells;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understanding and addressing variability in demand for manufacturing and its impact on capacity utilization of available infrastructure and costs;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a reliable, safe and effective means of genetically modifying our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submitting applications for and obtaining regulatory approval, as the FDA and other regulatory authorities have limited experience with commercial development of immunotherapies for cancer and viral associated infectious diseases;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establishing sales and marketing capabilities, as well as developing a manufacturing process and distribution network to support the commercialization of any approved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must be able to overcome these challenges in order for us to successfully develop, commercialize and manufacture our product candidates utilizing our novel approaches to gamma-delta T cell therapies.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clinical and commercial utility of our DeltEx platform is uncertain and may never be realized. Additionally, certain aspects of the function and production of gamma-delta T cells are poorly understood or currently unknown and may only become known through further preclinical and clinical testing.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gamma-delta T cells have only been evaluated in early clinical trials. These clinical trials were primarily designed to evaluate safety and tolerability, and not designed to produce statistically significant results as to efficacy. Most of the data to date regarding gamma-delta T cells were derived from clinical trials not conducted by us, including physician-sponsored clinical trials, and utilizing gamma-delta T cells not manufactured by us. We currently have two ongoing clinical trials to evaluate gamma-delta T cells in investigator-sponsored clinical trials, which have enrolled and dosed only a limited number of patients to date. Success in early clinical trials does not ensure that large-scale clinical trials will be successful, nor does it predict final results. Even after the completion of our ongoing Phase 1 clinical trials, our gamma-delta T cell product candidates will have only been tested in a small number of patients. Results from these clinical trials may not necessarily be indicative of the safety and tolerability or efficacy of our product candidates as we expand into larger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ultimately be able to provide the FDA with substantial clinical evidence to support a claim of safety, efficacy, equivalency, purity and potency sufficient to enable the FDA to approve our DeltEx platform product candidates for any indication. This may be because early clinical trials do not meet their endpoints, because later clinical trials fail to reproduce favorable data obtained in earlier clinical trials, because the results of such trials are not statistically significant, because the FDA disagrees with how we interpret the data from these clinical trials, or because the FDA does not accept these therapeutic effects as valid endpoints in pivotal clinical trials necessary for market approval. For example, we are developing INB-100 for the treatment of patients undergoing hematopoietic stem cell transplantation for the treatment of AML, and our manufacturing processes are predominantly based on cells received from healthy haploidentical related donors with at least half of the major human leukocyte antigen ("HLA") types matched. Our clinical development plan for INB-100 will seek to determine the safety of HLA mismatched, donor-derived gamma-delta T cells and establish the risk of graft versus host disease ("GvHD") if any. While mismatched gamma-delta T cells are not known to initiate GvHD, we observed grade 1 and/or 2 GvHD in approximately 60% of patients treated with INB-100 as of January 17, 2025. We will also seek to better understand the persistence of mismatched gamma-delta T cells and their potential impact on immune reconstitution, clinical activity and duration of response. The grade 1/2 GvHD that we have observed has been responsive to steroid treatment, and we believe that a high degree of HLA matching will not be required to prevent or reduce the risks of GvHD or for clinically meaningful activity and durability of response. Competitor data presented at ASCO 2024 demonstrated that persistence of donor derived cells are correlated with levels of HLA matching and they are now advancing their programs to be haploidentical matched as we have in our INB-100 program. If it becomes apparent through preclinical testing or additional clinical trials that such HLA matching is always required, a future "off-the-shelf" product may not be attainable, which could prevent or delay the further advancement of "off-the-shelf" product candidates and adversely affect our business and future development plans. We will also need to demonstrate that our DeltEx platform product candidates are safe. Unexpected adverse events reported by ourselves or competitors can negatively impact the market and perception of the viability of cellular therapies broadly. In recent years a newly defined severe adverse event termed tumor inflammation-associated neurotoxicity (“TIAN”) has been identified that can lead to severe neurological adverse events leading to patient death. While we have not identified or observed such toxicities in our clinical trials to date, unexpected adverse events can present significant risks. We do not have data on possible harmful long-term effects of our DeltEx platform product candidates and do not expect to have this data in the near future. As a result, our ability to generate clinical safety and efficacy data sufficient to support submission of a marketing application or commercialization of our DeltEx platform product candidates is uncertain and is subject to significant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actual or perceived safety issues, including adoption of new therapeutics or novel approaches to treatment, may adversely influence the willingness of subjects to participate in clinical trials, or if approved by applicable regulatory authorities, of physicians to subscribe to the novel treatment mechanics. The FDA or other applicable regulatory authorities may impose specific post-market requirements, such as establishment of a Risk Evaluation and Mitigation Strategy ("REMS") and request additional information informing benefits or risks of our products may emerge at any time prior to or after regulatory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Physicians, hospitals and third-party payors are often slow to adopt new products, technologies and treatment practices that require additional upfront costs and training. Based on these and other factors, hospitals and payors may decide that the benefits of this new therapy do not or will not outweigh its costs.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Clinical product candidate development involves a lengthy and expensive process with uncertain outcomes. We may incur additional costs and encounter substantial delays or difficulties in our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commercialize, market, promote or sell any product candidate without obtaining marketing approval from the FDA or other comparable regulatory authority, and we may never receive such approvals. It is impossible to predict when or if any of our product candidates will prove effective or safe in humans and will receive regulatory approval. Before obtaining marketing approval from regulatory authorities for the sale of our product candidates, we must complete preclinical development and then conduct extensive clinical trials to demonstrate the safety and efficacy of our product candidates in humans. Clinical testing is expensive, is difficult to design and implement, can take many years to complete and is uncertain as to outcome.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failure of one or more clinical trials can occur at any stage of testing.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Additionally, our ongoing trials for INB-100 and INB-200 involve studying a relatively small patient population, which makes it difficult to predict whether the favorable results observed in such clinical trial will be repeated in larger and more advanced clinical trials.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experience numerous unforeseen events prior to, during, or as a result of, clinical trials that could delay or prevent our ability to receive marketing approval or commercialize our product candidates, including the following (among other unforeseen events included in this "—Risks Related to the Development of our Product Candidates" subsection):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 consensus with regulatory authorities on the design, location or implementation of our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or setbacks in patient enrollment;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trials of our product candidates may produce negative or inconclusive results;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future public health crises, which may slow potential enrollment, impact hospital clinical and/or administrative support staff, reduce the number of eligible patients for clinical trials, or reduce the number of patients that remain in our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imposition of a clinical hold by regulatory authorities as a result of, among other reasons, a serious adverse event, a failure in the chemistry manufacturing and controls requirements, or a failed inspection of our clinical trial operations, trial sites or manufacturing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occurrence of serious adverse events associated with the product candidate that are viewed to outweigh its potential benefits;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need to conduct additional clinical trials or abandon product development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inability to successfully complete preclinical and clinical development could result in additional costs to us or impair our ability to generate revenue from future product sales or other sources. In addition, if we make manufacturing or formulation changes to our product candidates, we may need to conduct additional testing to bridge our modified product candidate to earlier versions. Clinical trial delays could also shorten any periods during which we may have the exclusive right to commercialize our product candidates, if approved, or allow our competitors to bring competing products to market before we do, which could impair our ability to successfully commercialize our product candidates and may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 clinical trial requirements of the FDA and other regulatory authorities and the criteria these regulators use to determine the safety and efficacy of a product candidate vary substantially according to the type, complexity, novelty, and intended use and market of the potential products. The regulatory approval process for product candidates such as ours can be more expensive and take longer than for other, better known, or more extensively studied pharmaceutical or other product candidates. Regulatory agencies administering existing or future regulations or legislation may not allow production and marketing of products utilizing gene regulation technology in a timely manner or under technically or commercially feasible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conditions. Regulatory action or private litigation could result in expenses, delays or other impediments to our research programs or the commercialization of resulting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if the results of our clinical trials are inconclusive or if there are safety concerns or serious adverse events associated with our product candidates, we may be delayed in obtaining marketing approval, or not obtain marketing approval at all, obtain approval with labeling that includes significant use or distribution restrictions or safety warnings, and/or have regulatory authorities withdraw or suspend their approval or impose restrictions on distribution in the form of a modified REMS, among other results. We could also encounter delays if physicians encounter unresolved ethical issues associated with enrolling patients in clinical trials of our product candidates in lieu of prescribing existing treatments that have established safety and efficacy profiles.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FDA or an independent institutional review board ("IRB") may also suspend our clinical trials at any time if it appears that we or our collaborators are failing to conduct a trial in accordance with regulatory requirements, including the FDA’s current Good Clinical Practice ("GCP") regulations, that we are exposing participants to unacceptable health risks, or if the FDA finds deficiencies in our INDs or the conduct of these trials. Therefore, we cannot predict with any certainty the schedule for commencement and completion of future clinical trials.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Development of a product candidate intended for use in combination with an already approved therapy may present increased complexity and more or different challenges than development of a product candidate for use as a single agent or monotherapy.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developing certain of our product candidates, including INB-400 and INB-200, to be used in combination with approved therapies, such as chemotherapy, which may present additional challenges. For example, the FDA may require us to use more complex clinical trial designs, to evaluate the contribution of each product and product candidate to any observed effects. It is possible that the results of these trials could show that most or any positive results are attributable to the already approved product. Moreover, following product approval, the FDA may require that products used in conjunction with each other be cross labeled. To the extent that we do not have rights to already approved products, this may require us to work with another company to satisfy such a requirement. Moreover, developments related to the already approved therapies may impact our clinical trials for the combination as well as our commercial prospects should we receive marketing approval. Such developments may include changes to the approved therapy’s safety or efficacy profile, changes to the availability of the approved therapy, and changes to the standard-of-care.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encounter difficulties in enrolling patients in our clinical trials, our clinical development activities could be delayed or otherwise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timely completion of clinical trials in part depends on patient enrollment, and as such identifying and qualifying patients to participate in our clinical trials is critical to our success. We may encounter difficulties in enrolling a sufficient number of eligible patients to participate in our clinical trials, thereby delaying or preventing development and approval of our product candidates. Even once enrolled, we may be unable to retain a sufficient number of patients to complete any of our trials. Because our focus includes rare disorders, there are limited patient pools from which to draw in order to complete our clinical trials in a timely and cost-effective manner. Additionally, some of the initial indications for which we are developing our current product candidates, including glioblastoma and AML, primarily affect an elderly population over the age of 65, who might suffer from other age-related and unknown and/or pre-existing ailments or health concerns. If any such patient enrolled in our smaller-scale Phase 1 trials has to drop out due to pre-existing health issues or due to a serious adverse effect, or otherwise dies, and we are not able to recruit additional patients in a timely manner, or at all, our clinical trials could be delayed or otherwise halted. As such, despite diligent planning of our clinical trials and analysis of their feasibility regarding patient recruitment, we may experience difficulties, delays or inability in patient enrollment in our clinical trials for a variety of reasons,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size and nature of the patient population;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severity and incidence of the disease under investigation;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design of the trial and the complexity for patients and clinical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general health condition of the patient and their gamma-delta T cells and immune cells broadly;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patients’ general health conditions do not allow the conduct of study/screening procedures (such as leukapheresis) the manufacture of therapeutic product or application of the appropriate standard-of-care treatment or application of the Stupp regimen;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consistently manufacture gamma-delta T cell product candidates in sufficient quantities at sufficient activity and/or transduction efficiency to provide a suitable therapeutic dose of gamma-delta T cells;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competing clinical trials for similar therapies, other new therapeutics, new combination treatments, new medicinal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clinicians’ and patients’ perceptions as to the potential advantages and side effects of the product candidate being studied in relation to other available therapies, including any new drugs or treatments that may be approved or become standard-of-care for the indications we are investigating;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differences in clinician treatment practices and/or protocols from center to center;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obtain and maintain patient consents due to various reasons, including but not limited to, patients’ unwillingness to participate due to public health crises;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risk that enrolled subjects will drop out, develop complications or die before completion of the trial;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to develop and provide appropriate screening, product characterization and release assays;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patients failing to complete a clinical trial or returning for post-treatment follow-up;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manufacture the requisite materials for a patient and clinical trial;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of clinical sites to enroll patients as health care capacities are required to cope with natural disasters, epidemics or other health system emergencies.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build relationships with patient communities may not succeed, which could result in delays in patient enrollment in our clinical trials. Any negative results we may report in clinical trials of our product candidates may make it difficult or impossible to recruit and retain patients in other clinical trials of that same product candidate. Delays or failures in planned patient enrollment or retention may result in increased costs, program delays or both, which could have a harmful effect on our ability to develop our product candidates or could render further development impossible. In addition, we may rely on clinical research organizations ("CROs") and clinical trial sites to ensure proper and timely conduct of our future clinical trials and, while we intend to enter into agreements governing their services, we will be limited in our ability to ensure their actual performance.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Serious adverse events, undesirable side effects or other unexpected properties of our product candidates may be identified during development or after approval, which could lead to the discontinuation of our clinical development programs, refusal by regulatory authorities to approve our product candidates or, if discovered following marketing approval, revocation of marketing authorizations or limitations on the use of our product candidates thereby limiting the commercial potential of such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conduct of clinical trials, patients report changes in their health, including illnesses, injuries and discomforts, to their doctor. Often, it is not possible to determine whether or not the product candidate being studied caused these conditions. Regulatory authorities may draw different conclusions or require additional testing to confirm these determinations, if they occur. Many times, side effects are only detectable after investigational drugs are tested in large-scale pivotal trials or, in some cases, after they are made available to patients on a commercial scale after approval. For example, in January 2024, FDA required approved CAR-T products to add boxed warning information to their labeling concerning the risk of developing secondary T cell malignancies. If additional clinical experience indicates that any of our product candidates or the use of lentiviral vectors have side effects or cause serious or life-threatening side effects, the development of the product candidate may fail or be delayed, or, if the product candidate has received regulatory approval, such approval may be revoked, which would harm our business, prospects, operating results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Undesirable side effects caused by our product candidates, implanted devices, gene-editing methods, delivery methods or dosage levels could cause us or regulatory authorities to interrupt, delay or halt clinical trials and could result in a more restrictive label or the delay or denial of regulatory approval by the FDA or other comparable foreign regulatory authority. As a result of safety or toxicity issues that we may experience in our clinical trials, we may be placed on clinical hold and not receive approval to market any product candidates, which could prevent us from ever generating revenues or achieving profitability. Results of our trials could reveal an unacceptably high severity and incidence of side effects, or side effects outweighing the benefits of our product candidates. In such an event, our studies could be delayed, suspended or terminated and the FDA or comparable foreign regulatory authorities could order us to cease further development of or deny approval of our product candidates for any or all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targeted indications. The drug-related side effects could affect patient recruitment or the ability of enrolled subjects to complete the trial or result in potential product liability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we have only tested INB-100, INB-200 and INB-400 in a limited number of patients with cancer and these clinical trial participants have only been observed for a limited period of time after dosing at a limited number of sites. To date, our clinical trials have been run at academic/tertiary care centers. As we continue developing our lead product candidates and initiate multi-center clinical trials of our product candidates, including potentially at community hospitals, SAEs, undesirable or potentially fatal side effects, cytokine release syndrome, viral or bacterial infections,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Treatment-related side effects could also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 Should we observe SAEs in our clinical trials or identify undesirable side effects or other unexpected findings, our trials could be delayed or even terminated, and our development programs may be halted entirely.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if any of our product candidates receives regulatory approval, and we or others later identify undesirable side effects caused by such product, a number of potentially significant negative consequences could result. For example, the FDA could require us to adopt a REMS to ensure that the benefits of treatment with such product candidate outweigh the risks for each potential patient, which may include, among other things, a communication plan to health care practitioners, patient education, extensive patient monitoring or distribution systems and processes that are highly controlled, restrictive and more costly than what is typical for the industry. We or our collaborators may also be required to adopt a REMS or engage in similar actions, such as patient education, certification of health care professionals or specific monitoring, if we or others later identify undesirable side effects caused by any product that we develop alone or with collaborators.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these events could diminish the usage or otherwise limit the commercial success of our product candidates and prevent us from achieving or maintaining market acceptance of the affected product candidate, if approved by applicable regulatory authorities.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file IND applications to commence additional clinical trials on the timelines we expect, and even if we are able to, the FDA may not permit us to proceed.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previously announced our goals for potentially submitting additional INDs for INB-100, INB-400 and INB-619. We have suspended enrollment for INB-400 as we explore additional funding, potential regulatory pathways and/or partnership partnerships for this program. We may not be able to make additional filings on the timelines we expect, which may cause delays in commencing additional clinical trials. Even if such regulatory authorities agree with the design and implementation of the clinical trials set forth in an IND or clinical trial application, we cannot guarantee that such regulatory authorities will not change their requirements in the future. Moreover, we cannot be sure that submission of an IND for any of our other product candidates will result in the FDA allowing trials to begin, or that, once begun, issues will not arise that result in a decision by us, by IRBs, or independent ethics committees, or by the FDA or other regulatory authorities to suspend or terminate clinical trials. For example, we may experience manufacturing delays or other delays with IND-enabling studies or the FDA or other regulatory authorities may require additional preclinical studies that we did not anticipate. Moreover, we cannot be assured that submission of an IND will result in the FDA allowing clinical trials to begin, or that, once begun, issues will not arise that result in a decision by us, by IRBs, or independent ethics committees or by the FDA or other regulatory authorities to suspend or terminate clinical trials, including as a result of a clinical hold. Additionally, even if such regulatory authorities agree with the design and implementation of the clinical trials set forth in an IND or clinical trial application, we cannot guarantee that such regulatory authorities will not change their requirements in the future. The inability to initiate clinical trials any of our product candidates on the timeline currently anticipated or at all could have a material adverse effect on our business,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seek Breakthrough Therapy, RMAT or Fast Track designations and may pursue accelerated approval for some or all of our current product candidates, but we may be unable to obtain such designations or, where obtained, we may be unable to maintain Breakthrough Therapy or RMAT designation or obtain or maintain the benefits associated with such designations.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seek Breakthrough Therapy, RMAT or Fast Track designations and may pursue accelerated approval for INB-100, INB-200, INB-400 and some or all of our other and future product candidates. Breakthrough Therapy designation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candidate as a Breakthrough Therapy provides potential benefits that include intensive guidance on an efficient drug development program, beginning as early as Phase 1, organizational commitment involving senior managers; and eligibility for rolling review and priority review. Breakthrough Therapy designation does not change the standards for product approval. There can be no assurance that we will receive Breakthrough Therapy designation for any product candidate or any particular indication.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also seek Fast Track designation. If a drug or biologic candidate is intended for the treatment of a serious or life-threatening condition or disease and the drug demonstrates the potential to address unmet medical needs for the condition, the sponsor may apply for Fast Track designation. Even if we do apply for and receive Fast Track designation, we may not experience a faster development, review or approval process compared to conventional FDA procedures. The FDA may rescind Fast Track designation if it believes that the designation is no longer supported by data from our clinical development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we may also seek accelerated approval under the FDA’s accelerated approval programs. The FDA may approve a drug or biologic for a serious or life-threatening disease or condition that generally provides meaningful advantages over available treatments and demonstrates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Seeking and obtaining these designations is dependent upon results of our clinical program, and we cannot guarantee whether and when we may have the data from our clinical programs to support an application to obtain any such designation. The FDA and comparable foreign regulatory agencies have broad discretion whether or not to grant any of these or similar designations, so even if we believe a particular product candidate is eligible for one or more of these designations, we cannot assure you that the applicable regulatory authority would decide to grant it. Even if we do receive the designations we may apply for, we may not experience a faster development process, review or approval compared to conventional procedures, as applicable. The FDA or other regulatory agencies may also rescind any granted designations if it believes that the designation is no longer supported by data from our clinical development program.</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Although we have received orphan drug designation for INB-400 in the past and may continue to seek orphan drug designation for some or all of our current or future product candidates, we may be unsuccessful or may be unable to maintain the benefits associated with orphan drug designation, including the potential for supplemental market exclusivity.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April 2023, we received orphan drug designation for the autologous and allogeneic IND-400 product candidate, covering a broad range of malignant glioma treatments, including newly diagnosed glioblastoma. We may continue to seek orphan drug designation for one or more of our current or future product candidates, including INB-100 or its successor. Under the Orphan Drug Act, the FDA may grant orphan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in the United States will be recovered from sales in the United States for that drug. In the United States, orphan drug designation entitles a party to financial incentives such as opportunities for grant funding towards clinical trial costs, tax advantages and user-fee waivers. After the FDA grants orphan drug designation, the identity of the biologic and its potential orphan use are disclosed publicly by the FDA. Orphan drug designation does not convey any advantage in, or shorten the duration of, the regulatory review and approval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 product that has orphan drug designation subsequently receives the first FDA approval for the particular active ingredient in the product treating the disease for which it has such orphan drug designation, that product is entitled to orphan product exclusivity. This means that the FDA may not approve any other applications, including a BLA, to market the same product for the same indication for seven years. However, that exclusivity may be nullified in limited circumstances in which another product shows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one of our product candidates receives orphan exclusivity, the FDA can still approve other products that have a different active ingredient for use in treating the same indication or disease. Further, the FDA can waive orphan exclusivity if we are unable to manufacture sufficient supply of our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seek orphan drug designation for INB-100 and some or all of our other or future product candidates in additional orphan indications in which there is a medically plausible basis for the use of these product candidates. Even when we obtain orphan drug designation, exclusive marketing rights in the United States may be limited if we seek approval for an indication broader than the orphan designated indication and may be lost if the FDA later determines that the request for designation was materially defective or if we, through our manufacturer, are unable to assure sufficient quantities of the product to meet the needs of patients with the rare disease or condition. In addition, although we intend to seek orphan drug designation for other product candidates, we may never receive these designations. For example, the FDA has expressed concerns regarding the regulatory considerations for orphan drug designation as applied to tissue agnostic therapies, and the FDA may interpret the Federal Food,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Drug and Cosmetic Act, and regulations promulgated thereunder, in a way that limits or blocks our ability to obtain orphan drug designation or orphan drug exclusivity, if our product candidates are approved, for our targeted indications.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identify or discover other product candidates and may fail to capitalize on programs or product candidates that may present a greater commercial opportunity or for which there is a greater likelihood of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identify and develop, additional product candidates will require substantial technical, financial and human resources, whether or not any product candidates are ultimately identified. We may also broaden the reach of our DeltEx platform by selectively in-licensing technologies or product candidates. Our efforts may initially show promise in identifying potential product candidates, yet fail to yield product candidates for clinical development, approved products or commercial revenues for many reasons, including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methodology used may not be successful in identifying potential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competitors may develop alternatives that render any product candidates we develop obsolete;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product candidates we develop may be covered by third parties’ patents or other exclusive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demonstrate harmful side effects or other characteristics that indicate it is unlikely to be effective or otherwise does not meet applicable regulatory criteria;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not be capable of being produced in commercial quantities at an acceptable cost, or at all;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product candidate may not be accepted as safe and effective by physicians, patients, the medical community or third-party payors.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limited financial and management resources and, as a result, we may forego or delay pursuit of opportunities with other product candidates or other indications that later prove to have greater market potential. Our resource allocation decisions may cause us to fail to capitalize on viable commercial products, including attractive or profitable market opportunities. If we do not accurately evaluate the commercial potential or target market for a particular product candidate, we may relinquish valuable rights to that product candidate through collaboration, licensing or other royalty arrangements in circumstances under which it would have been more advantageous for us to retain sole development and commercialization rights to such product candidate. In addition, we may not be successful in replicating our approach to product candidate development for other disease indications. If we are unsuccessful in identifying and developing additional product candidates or are unable to do so, our business may be harmed.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Public opinion and scrutiny of our competitors, cell-based immunotherapy, T cell engagers, and genetic modification approaches may impact public perception of our company and product candidates, or may adversely affect our ability to raise capital, conduct our business and our business plans.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DeltEx platform utilizes a relatively novel technology involving the genetic modification of human cells and utilization of those modified cells in other individuals, and our TCE program involves engineering antibodies that bind on T cells and a tumor-associated antigen on cancer cells. Public perception may be influenced by negative claims about our DeltEx platform or T cell engagers, or that of competitor's products and/or programs such as claims that gamma-delta T cell and/or other cell-based immunotherapy is unsafe, unethical, inefficacious, expensive or immoral and, consequently, our approach may not gain the acceptance of the public or the medical community. Negative public reaction to cell-based immunotherapy in general and a recent increase in patient deaths and clinical holds by other companies could result in greater government regulation and stricter labeling requirements of cell-based immunotherapy products, including any of our product candidates, and could cause a decrease in the demand for any products we may develop. Negative public attitudes may adversely impact our ability to enroll patients in clinical trials. Moreover, our success will depend upon physicians specializing in the treatment of those diseases that our product candidates target, and their patients being willing to receive, treatments that involve the use of our product candidates in lieu of, or in addition to, existing treatments they are already familiar with and for which greater clinical data may be available. More restrictive government regulations or negative public opinion could have an adverse effect on our business, ability to raise additional capital and/or financial condition and may delay or impair the development and commercialization of our product candidates or demand for any products we may develop. Adverse events in our clinical trials, even if not ultimately attributable to our product candidates,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face significant competition, and many of our competitors have substantially greater experience and resources than we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clinical and commercial landscape in the indications we are targeting, as well as in the field of immuno-oncology, is highly competitive. We may face potential competition with respect to our current product candidates and may face competition with respect to any other product candidates that we may seek to develop or commercialize in the future from pharmaceutical and biotechnology companies, academic institutions, government agencies and other public and private research institutions.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our current or potential competitors have greater financial and other resources, larger research and development staffs, and more experienced capabilities in researching, developing and testing products than we do. Many of these companies also have more experience in conducting clinical trials, obtaining FDA and other regulatory approvals, and manufacturing, marketing and distributing therapeutic products. Smaller or clinical-stage companies like us may successfully compete by establishing collaborative relationships with larger pharmaceutical companies or academic institutions. Mergers and acquisitions in the pharmaceutical and biotechnology industries may result in even more resources being concentrated among a smaller number of our competitors.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cancer and other diseases, which could give such products significant regulatory and market timing advantages over any of our product candidates. In addition, large pharmaceutical companies or other companies with greater resources or experience than us may choose to forgo therapy opportunities that would have otherwise been complementary to our product development and collaboration plans. Our competitors may succeed in developing, obtaining patent protection for, or commercializing their products more rapidly than us, which could result in our competitors establishing a strong market position before we are able to enter the market. A competing company developing or acquiring rights to a more effective therapeutic product for the same diseases targeted by us, or one that offers significantly lower costs of treatment could render our products noncompetitive or obsolete. We may not be successful in marketing any product candidates we may develop against competitors.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expect the product candidates we develop will be regulated as biologics, and therefore they may be subject to competition sooner than anticipated.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Biologics Price Competition and Innovation Act of 2009 ("BPCIA") was enacted as part of the Affordable Care Act to establish an abbreviated pathway for the approval of biosimilar and interchangeable biological products. The regulatory pathway establishes legal authority for the FDA to review and approve biosimilar biologics, including the possible designation of a biosimilar as "interchangeable" based on its similarity to an approved biologic. Under the BPCIA, an application for a biosimilar product cannot be approved by the FDA until 12 years after the reference product was approved under a BLA.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any of the product candidates we develop that is approved in the United States as a biological product under a BLA should qualify for the 12-year period of exclusivity. However, there is a risk that this exclusivity could be shortened due to congressional action or otherwise, or that the FDA will not consider the subject product candidates to be reference products for competing products, potentially creating the opportunity for generic competition sooner than anticipated. Moreover, the extent to which a biosimilar, once approved, will be substituted for any one of the reference products in a way that is similar to traditional generic substitution for non-biological products is not yet clear, and will depend on a number of marketplace and regulatory factors that are still developing.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approval of a biologic product biosimilar to one of our products could have a material adverse impact on our business as it may be significantly less costly to bring to market and may be priced significantly lower than our products.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Manufacturing and Our Dependence on Third Parties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manufacturing processes are complex, and we may encounter difficulties in production, which would delay or prevent our ability to provide a sufficient supply of our product candidates for future clinical trials or commercialization,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Some of our product candidates, including INB-200 and INB-300, as well as our INB-400 program, are genetically engineered human cells, and the process of manufacturing such product candidates, as well as the lentiviral vectors, is complex, highly regulated, variable and subject to numerous risks. Manufacturing our product candidates involves harvesting cells from a donor, isolating cells via leukapheresis, activating and expanding the gamma-delta T cells, cryopreservation, testing, storage and eventually shipment and infusion of the cell product into the patient’s body.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manufacturing processes will be susceptible to product loss or failure, or product variation that may negatively impact patient outcomes, due to process and logistical issues associated with the collection of starting material from the donor, shipping such material to the manufacturing site, shipping the final product back to the recipient, preparing the product for administration, infusing the patient with the product, manufacturing issues or different product characteristics resulting from the inherent differences in donor starting materials, variations between reagent lots, interruptions in the manufacturing process, contamination, equipment or reagent failure, improper installation or operation of equipment and/or programs, vendor or operator error, inconsistency in cell growth and variability in product characteristics.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minor variations in starting reagents and materials, or deviations from normal manufacturing processes could result in reduced production yields, product defects, manufacturing failure and other supply disruptions. If, for any reason in our clinical trials, we lose the starting material for a manufactured product for one of our patients at any point in the process, or the expansion or transduction procedures in the manufacturing process should fail for any reason, such patient would no longer receive a dose of the therapy and may end participation in our clinical trial. For instance, operator errors impacting machine function, gas or airflow, or reagent addition can negatively impact the process. Manufacturing by a previously contracted facility has resulted in such operator errors; however, we identified these errors through our quality control procedures prior to patient administration.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We will be required to maintain a chain of identity with respect to materials as they move from the donor to the manufacturing facility, through the manufacturing process and back to the clinical trial recipient. Maintaining a chain of identity is difficult and complex, and failure to do so could result in adverse patient outcomes, loss of product or regulatory action, including withdrawal of our products from the market, if licensed. Any failure in the foregoing processes could render a batch of product unusable, could affect the regulatory approval of such product candidate, could cause us to incur fines or penalties or could harm our reputation and that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make changes to our manufacturing processes for various reasons, such as to control costs, increase yield or dose, achieve commercial scale, decrease processing time, increase manufacturing success rate or for other reasons. We previously relocated clinical trial manufacturing for one of our clinical development programs to an academic GMP facility closer to our laboratory headquarters in Birmingham, Alabama to permit us contractual direct access as a means of preventing manufacturing errors. However, even with this contractual direct access and closer collaboration with the facility’s manufacturing staff, there can be no guarantee that manufacturing errors will not occur.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to our process made during the course of clinical development could require us to show the comparability of the product used in earlier clinical phases or at earlier portions of a trial to the product used in later clinical phases or later portions of the trial. Other changes to our manufacturing processes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rely on third-party contractors or contract development manufacturing organization for the manufacturing of our product candidates, and failure by those parties to adequately perform their obligations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we endeavor to build and operate a manufacturing facility in the future, we do not currently own any facility that may be used as our clinical or commercial-scale manufacturing and processing facility and expect that we will rely on outside vendors for at least a portion of the manufacturing of our cell therapy product candidates that we develop. The facilities used by our partners and contract manufacturers must be submitted and disclosed to the FDA or other foreign regulatory agencies and may be selected for inspection or audit following the submission of an application to the FDA or other foreign regulatory agencies. To the extent that we engage third parties for manufacturing services, we will not control the manufacturing process of, and will be completely dependent on, our contract manufacturing partners for compliance with confidentiality agreements and the cGMP requirements for the manufacture of our product candidates. We have not yet had any product candidates to be manufactured or processed on a commercial scale and may not be able to do so. We will make changes as we work to optimize the manufacturing process, and we cannot be sure that even minor changes in the process will result in products that meet specifications are capable or safe and effective. If such contract manufacturers cannot successfully manufacture material that conforms to our specifications and the strict regulatory requirements of the FDA or others, we will not be able to secure and/or maintain regulatory approval for our product candidates. In addition, we have no control over the ability of third parties to maintain adequate quality control, quality assurance and qualified personnel. If the FDA or a comparable foreign regulatory authority does not agree that these facilities for the manufacture of our product candidates are acceptable or if it withdraws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such approval or acceptance in the future, we may need to find alternative manufacturing facilities, which would significantly impact our ability to develop, obtain regulatory approval for or market our product candidates, if approved. Any significant delay in the supply of a product candidate, or the raw material components thereof, for an ongoing clinical trial due to the need to replace a third-party manufacturer could considerably delay completion of our clinical trials, product testing and potential regulatory approval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process of manufacturing lentiviral vector and cell therapies is susceptible to product loss due to contamination, equipment failure or improper installation, maintenance or operation of equipment, or vendor or operator error. Even minor deviations from normal manufacturing and distribution processes for any of our product candidates could result in reduced production yields, increased costs, impact to key product quality attributes, and other supply disruptions. Such minor deviations did in fact occur in our previously contracted manufacturing facility due to operator error.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 defects can also occur unexpectedly. If microbial, viral or other contaminations are discovered in our product candidates, manufacturing reagents, raw materials, or in the manufacturing facilities in which our product candidates and/or their precursors are made, these manufacturing facilities may need to be closed for an extended period of time to allow us to investigate and remedy the contamination. Because some of our cell therapy product candidates are manufactured from the blood of third-party donors, the process of manufacturing is susceptible to the availability and variability of the third-party donor material. The process of developing products that can be commercialized may be particularly challenging, even if they otherwise prove to be safe and effective. The manufacture of these product candidates involves complex processes. Some of these processes require specialized equipment and highly skilled and trained personnel. The process of manufacturing these product candidates will be susceptible to additional risks, given the need to maintain aseptic conditions throughout the manufacturing process. Contamination with viruses or other pathogens in either the donor material or materials utilized in the manufacturing process or ingress of microbiological material at any point in the process may result in contaminated or unusable product and patients may not receive a dose. These types of contaminations could result in delays in the manufacture of products which could result in delays in the development of our product candidates. These contaminations could also increase the risk of adverse side effects. Furthermore, the selection and distribution of the appropriate cell product for therapeutic use in a patient requires close coordination between the manufacturing facility, clinical operations, supply chain and quality assurance personnel.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intend to rely on third-party manufacturers to supply us with additional quantities of our product candidates to be used, if approved, for commercialization. We do not yet have a commercial supply agreement for commercial quantities of product. If we are not able to meet market demand for any approved product, it would negatively impact our ability to generate revenue, harm our reputation, and could have an adverse effect on our business and financial condition.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our reliance on third-party manufacturers entails risks to which we would not be subject if we manufactured product candidates ourselves,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inability to meet our product specifications and quality requirements consistently;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 or inability to procure or expand sufficient manufacturing capacity;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issues related to scale-up of manufacturing;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and validation of new equipment and facilities required for scale-up;</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may not be able to execute our manufacturing procedures and other logistical support requirements appropriately;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may fail to comply with cGMP requirements and other inspections by the FDA or other comparable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negotiate manufacturing agreements with third parties under commercially reasonable terms, if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breach, termination or nonrenewal of manufacturing agreements with third parties in a manner or at a time that is costly or damaging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reliance on single sources for reagents and components;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lack of qualified backup suppliers for those components that are currently purchased from a sole or single-source supplier;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third-party manufacturers may not devote sufficient resources to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own, or may have to share, the intellectual property rights to any improvements made by our third-party manufacturers in the manufacturing process for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operations of our third-party manufacturers or suppliers could be disrupted by conditions unrelated to our business or operations, including the bankruptcy of the manufacturer or supplier;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carrier disruptions or increased costs that are beyond our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we enter into a strategic collaboration with a third party for the commercialization of our current or any future product candidates, we will not be able to control the amount of time or resources that they devote to such efforts. If any strategic collaborator does not commit adequate resources to the marketing and distribution of our current or any future product candidates, it could limit our potential revenues.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adverse developments affecting manufacturing operations for our product candidates may result in lot failures, inventory shortages, shipment delays, product withdrawals or recalls or other interruptions in the supply of our drug product which could prevent the administration to patients and delay the development of our product candidates. We may also have to write off inventory, incur other charges and expenses for supply of drug product that fails to meet specifications, undertake costly remediation efforts, or seek more costly manufacturing alternatives.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of these events could lead to clinical trial delays or failure to obtain regulatory approval or impact our ability to successfully commercialize our current or any future product candidates once approved. Some of these events could be the basis for FDA action, including injunction, request for recall, seizure, or total or partial suspension of production.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currently store our gamma-delta T cells and biologic correlative and research specimens from clinical trials and development programs and clinical lentivectors at our research and development facilities and at the facilities of our clinical and/or manufacturing partners, and any damage or loss to our storage freezers and/or facilities from natural disasters or otherwise would cause delays in replacement, and our business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Specimens are stored in our freezers at our research and development facilities. If these cells are damaged, including by the loss or malfunction of our freezers or our back-up power systems, as well as by damage from fire or other natural disasters, our development program could be delayed or terminated and our business could suffer. Loss of a significant supply would require manufacturing of additional vector which could cause us to incur significant additional expenses and liability.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are currently dependent on a single third-party supplier for manufacture of our automated manufacturing device and our lentiviral vectors for our cellular therapies. These are critical products required for the manufacturing of our product candidates, including INB-100, INB-200 and INB-400. Any damage or loss to the ability of our suppliers to deliver supplies in a timely manner could cause delays in manufacturing, and our clinical trials and our business could suffer.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gamma-delta T cell products for INB-100 and INB-200, as well as our INB-400 program, are manufactured in a programmable, cell-manufacturing, closed system device. We have multiple devices, including backup devices in all facilities if the primary instrument breaks, however, if the devices are damaged and cannot be repaired or the supplier cannot deliver new devices in a timely manner, or at all, our ability to manufacture and supply sufficient quantities of our products for clinical or commercial usage could be delayed, or potentially hindered. Our current supply of vectors will cover approximately 189 patients after a large manufacturing run was completed in the first half of 2023. If our third-party contractor is unable to provide adequate lentiviral vectors for our cellular therapies in a timely manner, our ability to manufacture and supply sufficient quantities of our product candidates for clinical or commercial usage will be delayed or hindered, and our business could suffer.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rely on third-party healthcare professionals to administer gamma-delta T cells to patients, and our business could be harmed if these third parties administer these cells incorrectly.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on the expertise of physicians, nurses and other associated medical personnel to administer gamma-delta T cells to clinical trial patients. If these medical personnel are not properly trained to administer, or do not properly administer, gamma-delta T cells, the therapeutic effect of gamma-delta T cells may be diminished or the patient may suffer injury.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we achieve the ability to freeze and thaw our gamma-delta T cells, third-party medical personnel will have to be trained on proper methodology for thawing gamma-delta T cells received from us. If this thawing is not performed correctly, the cells may become damaged and/or the patient may suffer injury. While we intend to provide training materials and other resources to these third-party medical personnel, the thawing of gamma-delta T cells will occur outside our supervision and may not be administered properly. If, due to a third-party error, people believe that gamma-delta T cells are ineffective or harmful, the desire to use gamma-delta T cells may decline, which would negatively impact our business, reputation and prospects. We may also face significant liability even though we may not be responsible for the actions of these third parties.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believe we may require an updated and validated protocol for commercial-scale expansion and manufacturing of gamma-delta T cells for conducting pivotal trials and for commercialization of our product candidates,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Future clinical trials that we conduct, as well as any potential commercialization of our product candidates when approved, will depend on the reliability, safety and efficacy of our protocols for expanding, transducing and manufacturing gamma-delta T cells at scale. Our efforts to scale up production of our gamma-delta T cells in anticipation of future clinical trials or commercialization may reveal, an inability to overcome biology or may otherwise encounter challenges, including scrutiny from regulatory authorities. To the extent we encounter any such difficulties, our ability to conduct additional clinical trials or to scale for commercialization will be hindered or prevented, which would have an adverse effect on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have not yet developed commercial-scale infrastructure for freezing and thawing large quantities of gamma-delta T cells, which we believe will be required for the storage and distribution of our gamma-delta T cell product candidates at commercial scale.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not demonstrated that gamma-delta T cells can be frozen and thawed in large commercial-scale quantities without damage, in a cost-efficient manner and without degradation over long periods of time. We may encounter difficulties not only in developing freezing and thawing, but also in obtaining the necessary regulatory approvals for using such in treatment. If we cannot adequately demonstrate similarity of our frozen product to the unfrozen form to the satisfaction of the FDA, we could face substantial delays in our regulatory approvals. If we are unable to freeze gamma-delta T cells for shipping purposes, our ability to promote adoption and standardization of our products, as well as achieve economies of scale by centralizing our production facility, will be limited. Even if we are able to successfully freeze and thaw gamma-delta T cells in large quantities, we will still need to develop a cost-effective and reliable distribution and logistics network, which we may be unable to accomplish. For these and other reasons, we may not be able to commercialize gamma-delta T cells on a large scale or in a cost-effective manner.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business involves the use of hazardous materials and we and our third-party manufacturers and suppliers must comply with environmental, health and safety laws and regulations, which can be expensive and restrict or interrupt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activities and our third-party manufacturers’ and suppliers’ activities involve the generation, storage, use and disposal of hazardous materials, including the components of our product candidates, such as genetically modified cells, and other hazardous compounds and wastes. We and our manufacturers and suppliers are subject to environmental, health and safety laws and regulations governing, among other matters, the use, manufacture, generation, storage, handling, transportation, discharge and disposal of these hazardous materials and wastes and worker health and safety. In some cases, these hazardous materials and various wastes resulting from their use are stored at our and our manufacturers’ facilities pending their use and disposal. We cannot eliminate the risk of contamination or injury, which could result in an interruption of our commercialization efforts, research and development efforts and business operations, damages and significant cleanup costs and liabilities under applicable environmental, health and safety laws and regulations. We also cannot guarantee that the safety procedures utilized by our third-party manufacturers for handling and disposing of these materials and wastes generally comply with the standards prescribed by these laws and regulations. We may be held liable for any resulting damages costs or liabilities, which could exceed our resources, and state or federal or other applicable authorities may curtail our use of certain materials and/or interrupt our business operations. Furthermore, environmental, health and safety laws and regulations are complex, change frequently and have tended to become more stringent. We cannot predict the impact of such changes and cannot be certain of our future compliance. Failure to comply with these environmental, health and safety laws and regulations may result in substantial fines, penalties or other sanctions. We do not currently carry hazardous waste insurance coverage.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intend to partner with third parties, such as academic institutions and CROs, to conduct, supervise and monitor some of our preclinical studies and clinical trials, and if those third parties perform in an unsatisfactory manner, it may harm our business and delay or impair our ability to obtain regulatory approval or otherwise commercialize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are conducting our current clinical trials through our direct contractual agreements with hospitals, we intend to rely on CROs and clinical trial sites to conduct our future preclinical studies and clinical trials, and we expect to have limited influence over their actual performance. We intend to rely upon CROs to monitor and manage data for our clinical programs, as well as the execution of future preclinical studies. We expect to control only certain aspects of the activities of our third-party service providers, including investigators and CROs. Nevertheless, we will be responsible for ensuring that each of our preclinical studies and clinical trials is conducted in accordance with the applicable protocol, legal, regulatory and scientific standards, and our reliance on third parties does not relieve us of our regulatory responsibilities.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and our future CROs will be, required to comply with the good laboratory practices ("GLPs") and GCPs, which are regulations and guidelines enforced by the FDA and comparable foreign regulatory authorities in the form of International Council for Harmonization guidelines for any of our product candidates that are in preclinical and clinical development. The regulatory authorities enforce GCPs through periodic inspections of trial sponsors, principal investigators and clinical trial sites.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rely on CROs to conduct GCP-compliant clinical trials, we remain responsible for ensuring that each of our GLP preclinical studies and clinical trials is conducted in accordance with its investigational plan and protocol and applicable laws and regulations. If we or our future CROs fail to comply with GCPs, the clinical data generated in our clinical trials may be deemed unreliable, and the FDA or comparable foreign regulatory authorities may require us to perform additional clinical trials before approving our marketing applications. Accordingly, if CROs fail to comply with these regulations or fail to recruit a sufficient number of subjects, we may be required to repeat clinical trials, which would delay the regulatory approval process.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reliance on third parties to conduct clinical trials will result in less direct control over the management of data developed through clinical trials than would be the case if we were relying entirely upon our own staff. Communicating with CROs and other third parties can be challenging, potentially leading to mistakes as well as difficulties in coordinating activities. Such parties may: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have staffing difficulties;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 to comply with contractual obligations;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experience regulatory compliance issues;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undergo changes in priorities or become financially distressed.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factors may adversely affect the willingness or ability of third parties to conduct our clinical trials and may subject us to unexpected cost increases that are beyond our control. If our future CROs, or hospitals where we conduct our clinical trials, do not successfully carry out their contractual duties or obligations with us or regulatory agencies, fail to meet necessary safety measures and protocols, fail to meet expected deadlines, or fail to comply with regulatory and/or IRB requirements, or if the quality or accuracy of the clinical data they obtain is compromised due to the failure to adhere to our clinical protocols or regulatory requirements or for any other reasons, our clinical trials may be extended, delayed or terminated, and we may not be able to obtain regulatory approval for, or successfully commercialize, any product candidate that we develop. As a result, our financial results and the commercial prospects for any product candidate that we develop would be harmed, our costs could increase, and our ability to generate revenue could be delayed. While we will have agreements governing their activities, our CROs will not be our employees, and we will not control whether or not they devote sufficient time and resources to our future clinical and preclinical programs. These CROs may also have relationships with other commercial entities, including our competitors, for whom they may also be conducting clinical trials, or other drug development activities which could harm our business. We face the risk of potential unauthorized disclosure or misappropriation of our intellectual property by CROs, which may reduce our trade secret protection and allow our potential competitors to access and exploit our proprietary technology.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FDA or other regulatory authorities may disagree with the sufficiency of our right of reference to the preclinical, manufacturing or clinical data generated by investigator-sponsored trials or our interpretation of preclinical, manufacturing or clinical data from these investigator-sponsored trials. If so, regulatory authorities may require us to obtain and submit additional preclinical, manufacturing or clinical data before we may initiate further clinical trials and/or obtain any regulatory approvals.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our relationships with any CROs or hospitals where we conduct our current clinical trials terminate, we may not be able to enter into arrangements with alternative CROs and other third parties or do so on commercially reasonable terms. Switching or adding additional CROs involves substantial cost and requires management time and focus. In addition, there is a natural transition period when a new CRO commences work. As a result, delays occur, which can negatively impact our ability to meet our desired clinical development timelines. While we intend to carefully manage our relationships with our CROs, there can be no assurance that we will not encounter challenges or delays in the future or that these delays or challenges will not have a negative impact on our business, financial condition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our product candidates.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employees, principal investigators, consultants and commercial partners may engage in misconduct or other improper activities, including noncompliance with regulatory standards and requirements and insider trading.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collaborators, principal investigators, consultants, commercial partners and outside actors. Misconduct by these parties could include intentional failures to comply with FDA regulations or the regulations applicable in other jurisdictions, provide accurate information to the FDA and other regulatory authorities, comply with healthcare fraud and abuse laws and regulations in the United States and abroad, report financial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Disruptions at the FDA and other government agencies caused by funding shortages or global health concerns could hinder their ability to hire, retain or deploy key leadership and other personnel, or otherwise prevent new or modified products from being advanced, developed, cleared or approved or commercialized in a timely manner or at all,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the FDA to review and approve new products or regulatory submissions can be affected by a variety of factors, including government budget and funding levels, statutory, regulatory, and policy changes, the FDA’s ability to hire and retain key personnel and accept the payment of user fees, and other events, such as public health crises,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biologics or modifications to cleared or approved biologics to be reviewed and/or approved by necessary government agencies, which would adversely affect our business. For example, over the last several years including in October 2025 and February 2026, the U.S. government has shut down several times and certain regulatory agencies, such as the FDA, have had to furlough critical FDA employees and stop critical activities.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Licensing of intellectual property is of critical importance to our business and involves complex legal, business and scientific issues. If we breach our license agreements with the University of Alabama at Birmingham Research Foundation, Children’s Healthcare of Atlanta, Inc. and Emory University, or any of the other agreements under which we acquired, or will acquire, the intellectual property rights to our product candidates, we could lose the ability to continue the development and commercialization of the related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licensing of intellectual property is of critical importance to our business and to our current and future product candidates, and we expect to enter into additional such agreements in the future. In particular, our product candidates, INB-100, INB-200, INB-300 and INB-400, are dependent on our license agreements with The UAB Research Foundation ("UABRF") Children’s Healthcare of Atlanta, Inc. ("CHOA") and Emory University ("Emory" and, together with UABRF and CHOA, the "Licensors"), pursuant to which we have obtained exclusive worldwide licenses under certain immunotherapy related patents and know-how that are critically important for these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have been granted exclusive licenses under these license agreements, we do not have the right to control the preparation, filing, prosecution and maintenance of patents and patent applications covering the technology that we license from UABRF and Emory. Therefore, we cannot always be certain that these patents and patent applications will be prepared, filed, prosecuted and maintained in a manner consistent with the best interests of our business. Although we have a right to have our comments considered in connection with the prosecution process, if the Licensors fail to prosecute and maintain such patents, or loses rights to those patents or patent applications as a result of its control of the prosecution activities, the rights we have licensed may be reduced or eliminated, and our right to develop and commercialize any of our product candidates that are the subject of such licensed rights could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meet our obligations under our license agreements in any material respect, and fail to cure such breach in a timely fashion, then the Licensors may terminate their applicable license agreement. If the license agreements are terminated, and we lose our intellectual property rights thereunder, this may result in a complete termination of our product development and any commercialization efforts for our product candidates. While we would expect to exercise all rights and remedies available to us, including seeking to cure any breach by us, and otherwise seek to preserve our rights under the license agreements, we may not be able to do so in a timely manner, at an acceptable cost or at all. For more information on our license agreements, see Note 9, License Agreements, in our financial statements contained elsewhere in this Annual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license agreements we enter into in the future may not provide exclusive rights to use intellectual property and technology in all relevant fields of use and in all territories in which we may wish to develop or commercialize our technology and products. As a result, we may not be able to prevent competitors from developing and commercializing competitive products in territories included in all of our licenses.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research resulting in certain of our in-licensed patent rights was funded in part by the U.S. federal or state governments. As a result, the government may have certain rights, including march-in rights, to such patent rights.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obtain and maintain patent protection for our product candidates and technology, or if the scope of the patent protection obtained is not sufficiently broad or robust, our competitors could develop and commercialize products and technology similar or identical to ours, and our ability to successfully commercialize our product candidates and technology may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in large part, on our ability to obtain and maintain patent protection in the United States and other countries with respect to our product candidates and our technology. We and our licensors have sought, and intend to seek, to protect our proprietary position by filing patent applications in the United States and abroad related to our product candidates and our technology that are important to our business. As of December 31, 2025, we owned, co-owned or exclusively licensed five issued U.S. patents, seven issued European patents, 21 other issued foreign patents, nine pending U.S. applications, two pending PCT applications and 16 other foreign national-stage applications, including five European regional-phase applications that are important to the development of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patent rights are highly uncertain. Our pending and future patent applications may not result in patents being issued which protect our technology or product candidates or which effectively prevent others from commercializing competitive technologies and product candidates. Since patent applications in the United States and most other countries are confidential for a period of time after filing, and some remain so until issued, we cannot be certain that we or our licensors were the first to file a patent application relating to any particular aspect of a product candidate. As a result of these and other factors, the issuance, scope, validity, enforceability, and commercial value of our patent rights are highly uncertain.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Moreover, we may be subject to a third-party pre-issuance submission of prior art or become involved in opposition, derivation, reexamination, </w:t>
      </w:r>
      <w:r>
        <w:rPr>
          <w:rFonts w:ascii="Times New Roman" w:hAnsi="Times New Roman"/>
          <w:i/>
          <w:color w:val="000000"/>
          <w:sz w:val="20"/>
        </w:rPr>
        <w:t>inter partes</w:t>
      </w:r>
      <w:r>
        <w:rPr>
          <w:rFonts w:ascii="Times New Roman" w:hAnsi="Times New Roman"/>
          <w:color w:val="000000"/>
          <w:sz w:val="20"/>
        </w:rPr>
        <w:t xml:space="preserve"> review, post-grant review or interference proceedings challenging our patent rights or the patent rights of others. The costs of defending our patents or enforcing our proprietary rights in post-issuance administrative proceedings and litigation can be substantial and the outcome can be uncertain.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before it is too late to obtain patent protection.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have not pursued or maintained, and may not pursue or maintain in the future, patent protection for our product candidates in every country or territory in which we may sell our products, if approved. In addition, the laws of some foreign countries do not protect intellectual property rights to the same extent as federal and state laws in the United States. Consequently, we may not be able to prevent third parties from infringing our patents in all countries outside the United States, or from selling or importing products that infringe our patents in and into the United States or other jurisdictions.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coverage claimed in a patent application can be significantly reduced before the patent is issued, and its scope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issuance of a patent is not conclusive as to its inventorship, scope, validity or enforceability, and our patents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our owned and in-licensed patents may be subject to a reservation of rights by one or more third parties. For example, the research resulting in certain of our owned and in-licensed patent rights and technology was funded in part by the U.S. government. As a result, the government may have certain rights, or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exercise by the government of such rights could harm our competitive position,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Obtaining and maintaining our patent rights depends on compliance with various procedural, document submission, fee payment and other requirements imposed by government patent agencies, and our patent protection could be reduced or eliminated for noncompliance with these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patents and/or patent applications will have to be paid to the USPTO and various government patent agencies outside the United States over the lifetime of our owned and licensed patents and/or applications and any patent rights we may own or license in the future. We rely on our service providers or our licensors to pay these fees.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our service providers or our licensors fail to maintain the patents and patent applications covering our products or technologies, we may not be able to stop a competitor from marketing products that are the same as or similar to our product candidates, which would have an adverse effect on our business.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we fail to apply for or otherwise fail to obtain applicable patent term extensions or adjustments, we will have a more limited time during which we can enforce our granted patent rights. In addition, if we are responsible for patent prosecution and maintenance of patent rights in-licensed to us, any of the foregoing could expose us to liability to the applicable patent owner.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Patent terms may be inadequate to protect our competitive position on our product candidates for an adequate amount of time.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Given the amount of time required for the development, testing and regulatory review of product candidates such as INB-100, INB-200, INB-300, INB-400, INB-500, and INB-600, patents protecting such candidates might expire before or shortly after such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However, the extension cannot extend the total patent term beyond 14 years from the date of drug approval, which is limited to the approved indication (or any additional indications approved during the period of extension). Furthermore, only one patent per approved product can be extended and only those claims covering the approved product, a method for using it or a method for manufacturing it may be extended.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this occurs, the period during which we can enforce our patent rights for the applicable product candidate will be shortened and our competitors may obtain approval to market competing products sooner. Additionally, our competitors may be able to take advantage of our investment in development and clinical trials by referencing our clinical and preclinical data and launch their product earlier than might otherwise be the case.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Third parties may initiate legal proceedings alleging that we are infringing, misappropriating or otherwise violating their intellectual property rights and/or trademark, the outcome of which would be uncertain and could have a negative impact on the success of our business.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commercial success depends, in part, upon our ability and the ability of others with whom we may collaborate to develop, manufacture, market and sell our current and any future product candidates and use our proprietary technologies without infringing, misappropriating or otherwise violating the intellectual property, trademarks and other proprietary rights of third parties. The biotechnology and pharmaceutical industries are characterized by extensive and complex litigation regarding patents and other intellectual property rights. We may in the future become party to, or be threatened with, adversarial proceedings or litigation regarding intellectual property rights with respect to our current and any future product candidates and technology, names, including interference proceedings, post grant review and </w:t>
      </w:r>
      <w:r>
        <w:rPr>
          <w:rFonts w:ascii="Times New Roman" w:hAnsi="Times New Roman"/>
          <w:i/>
          <w:color w:val="000000"/>
          <w:sz w:val="20"/>
        </w:rPr>
        <w:t>inter partes</w:t>
      </w:r>
      <w:r>
        <w:rPr>
          <w:rFonts w:ascii="Times New Roman" w:hAnsi="Times New Roman"/>
          <w:color w:val="000000"/>
          <w:sz w:val="20"/>
        </w:rPr>
        <w:t xml:space="preserve"> review before the USPTO.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which could have a negative impact on our ability to commercialize our current and any future product candidates. In order to successfully challenge the validity of any such U.S. patent in federal court, we would need to overcome a presumption of validity. As this is a high burden and requires us to present clear and convincing evidence as to the invalidity of any such U.S. patent claim, there is no assurance that a court of competent jurisdiction would invalidate the claims of any such U.S. patent. Moreover, given the vast number of patents in our field of technology, we cannot be certain that we do not infringe existing patents or that we will not infringe patents that may be granted in the future. Other companies and research institutions have filed, and may file in the future, patent applications related to gamma-delta T cell immunotherapy. Some of these patent applications have already been allowed or issued, and others may issue in the future. While we may decide to initiate proceedings to challenge the validity of these or other patents in the future, we may be unsuccessful, and courts or patent offices in the United States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our product candidate infringes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found to infringe a third party’s valid and enforceable intellectual property rights, we could be required to obtain a license from such third party to continue developing, manufacturing and marketing our product candidate(s) and technology. Under any such license, we would most likely be required to pay various types of fees, milestones, royalties or other amounts. Moreover, we may not be able to obtain any required license on commercially reasonable terms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licensing or acquisition of third-party intellectual property rights is a competitive area, and more established companies may also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an adverse effect on our business, financial condition, results of operations and prospects. Furthermore, even if we were able to obtain a license, it could be nonexclusive, thereby giving our competitors and other third parties access to the same technologies licensed to us, and it could require us to make substantial licensing and royalty payments. We could be forced, including by court order, to cease developing, manufacturing and commercializing the infringing technology or product candidate. In addition, we could be found liable for monetary damages, including treble damages and attorneys’ fees, if we are found to have willfully infringed a patent or other intellectual property right. We may be required to indemnify collaborators or contractors against such claims. A finding of infringement could prevent us from manufacturing and commercializing our current or any future product candidates or force us to cease some or all of our business operations, which could harm our business. Even if we are successful in defending against such claims, litigation can be expensive and time-consuming and would divert management’s attention from our core business.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Claims that we have misappropriated the confidential information or trade secrets of third parties could have a similar negative impact on our business, financial condition, results of operations and prospects.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may in the future be subject to claims by our former employees or consultants asserting an ownership right in our patents or patent applications, as a result of the work they performed on our behalf.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be involved in lawsuits to protect or enforce our patents, the patents of our licensors or our other intellectual property rights, which could be expensive, time-consuming and unsuccessful.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Competitors may infringe, misappropriate or otherwise violate our patents, the patents of our licensors or our other intellectual property rights. To counter infringement or unauthorized use, we may be required to file legal claims, which can be expensive and time-consuming and are likely to divert significant resources from our core business, including distracting our technical and management personnel from their normal responsibilities. In addition, in an infringement proceeding, a court may decide that a patent of ours or our licensors is not valid or is unenforceable, or may refuse to stop the other party from using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technology at issue on the grounds that our patents do not cover the technology in question. An adverse result in any litigation or defense proceedings could put one or more of our owned or licensed patents at risk of being invalidated or interpreted narrowly and could put our owned or licensed patent applications at risk of not issuing. The initiation of a claim against a third party might also cause the third party to bring counterclaims against us, such as claims asserting that our patent rights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lack of 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w:t>
      </w:r>
      <w:r>
        <w:rPr>
          <w:rFonts w:ascii="Times New Roman" w:hAnsi="Times New Roman"/>
          <w:i/>
          <w:color w:val="000000"/>
          <w:sz w:val="20"/>
        </w:rPr>
        <w:t xml:space="preserve">ex parte </w:t>
      </w:r>
      <w:r>
        <w:rPr>
          <w:rFonts w:ascii="Times New Roman" w:hAnsi="Times New Roman"/>
          <w:color w:val="000000"/>
          <w:sz w:val="20"/>
        </w:rPr>
        <w:t xml:space="preserve">reexaminations, </w:t>
      </w:r>
      <w:r>
        <w:rPr>
          <w:rFonts w:ascii="Times New Roman" w:hAnsi="Times New Roman"/>
          <w:i/>
          <w:color w:val="000000"/>
          <w:sz w:val="20"/>
        </w:rPr>
        <w:t>inter partes</w:t>
      </w:r>
      <w:r>
        <w:rPr>
          <w:rFonts w:ascii="Times New Roman" w:hAnsi="Times New Roman"/>
          <w:color w:val="000000"/>
          <w:sz w:val="20"/>
        </w:rPr>
        <w:t xml:space="preserve"> review, post-grant review, or oppositions or similar proceedings outside the United States, in parallel with litigation or even outside the context of litigation. The outcome following legal assertions of invalidity and unenforceability is unpredictable. We cannot be certain that there is or will be no invalidating prior art, of which we and the patent examiner were unaware during prosecution. For the patents and patent applications that we have licensed, we may have limited or no right to participate in the defense of any licensed patents against challenge by a third party. If a defendant were to prevail on a legal assertion of invalidity or unenforceability, we would lose at least part, and perhaps all, of any future patent protection on our current or future product candidates. Such a loss of patent protection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or if the license offered as a result is not on commercially reasonable terms. Any litigation or other proceedings to enforce our intellectual property rights may fail, and even if successful, may result in substantial costs and distract our management and other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an adverse effect on our ability to compete in the marketplace.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Changes in U.S. patent law or the patent law of other countries or jurisdictions could diminish the value of patents in general, thereby impairing our ability to protect our current and any future product candidates.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America Invents Act also includes a number of significant changes that affect the way patent applications are prosecuted and also may affect patent litigation. These include allowing third-party submission of prior art to the USPTO during patent prosecution and additional procedures to attack the validity of a patent by USPTO-administered post-grant proceedings, including post-grant review, </w:t>
      </w:r>
      <w:r>
        <w:rPr>
          <w:rFonts w:ascii="Times New Roman" w:hAnsi="Times New Roman"/>
          <w:i/>
          <w:color w:val="000000"/>
          <w:sz w:val="20"/>
        </w:rPr>
        <w:t xml:space="preserve">inter partes </w:t>
      </w:r>
      <w:r>
        <w:rPr>
          <w:rFonts w:ascii="Times New Roman" w:hAnsi="Times New Roman"/>
          <w:color w:val="000000"/>
          <w:sz w:val="20"/>
        </w:rPr>
        <w:t>review, and derivation proceedings. The America Invents Act and its implementation could increase the uncertainties and costs surrounding the prosecution of our patent applications and the enforcement or defense of our issued patents, all of which could have an adverse effect on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Similarly, changes in patent law and regulations in other countries or jurisdictions, changes in the governmental bodies that enforce them or changes in how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relevant governmental authority enforces patent laws or regulations may weaken our ability to obtain new patents or to enforce patents that we own or have licensed or that we may obtain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not be able to protect our intellectual property rights throughout the world, which could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Filing, prosecuting and defending patents covering our current and any future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Reliance on third parties requires us to share our trade secrets, which increases the possibility that a competitor will discover them or that our trade secrets will be misappropriated or disclosed.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we rely on third parties to help us discover, develop and manufacture our current and any future product candidates, or if we collaborate with third parties for the development, manufacturing or commercialization of our current or any future product candidates, we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 In addition, from time to time, we may hire scientists or other employees or consultants who originate from jurisdictions, including China, that have a history of engaging in misappropriation or theft of trade secrets or other acts of trade secret espionage; if any such individuals are found to be engaging in such illegal behavior, it could have a material adverse effect on our ability to protect our intellectual property and our business prospects more generally.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or others is inadvertently disclosed or subject to a breach or violation, we may be exposed to liability to the owner of that confidential information. Enforcing a claim that a third party illegally or unlawfully obtained and is using our trade secrets, like patent litigation, is expensive and time-consuming, and the outcome is unpredictable. In addition, courts outside the United States are sometimes less willing to protect trade secrets.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protect the confidentiality of our trade secrets, our business and competitive position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seeking patent and trademark protection for our product candidates, we also rely on trade secrets, including unpatented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advisors and consultants. Despite these efforts, any of these parties may breach the agreements and disclose our proprietary information, including our trade secrets. Further, we cannot guarantee that we have entered into such agreements with each party that may have or has had access to our trade secrets or other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our competitors may independently develop knowledge, methods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breach. In addition, our confidential information may otherwise become known or be independently discovered by competitors, in which case we would have no right to prevent them, or those to whom they communicate it, from using that technology or information to compete with us.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Any trademarks we may obtain may be infringed or successfully challenged, resulting in harm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rely on trademarks as one means to distinguish any of our product candidates that are approved for marketing from the products of our competitors. We have not yet selected trademarks for our product candidates and have not yet begun the process of applying to register trademarks for our current or any future product candidates. Once we select trademarks and apply to register them, our trademark applications may not be approved. Third parties may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any proprietary name we propose to use with our current or any other product candidate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Intellectual property rights do not necessarily address all potential threats to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may not adequately protect our business. The following examples are illustrative: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cells, cell products, genetic modifications, compounds or formulations that are similar to our product candidates but that are not covered by the claims of any patents, should they issue,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might not have been the first to make the inventions covered by the issued patents or pending patent applications that we own or license;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our licensors might not have been the first to file patent applications covering certain of our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possible that our pending patent applications will not lead to issued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issued patents that we own or license may not provide us with any competitive advantages, or may be held invalid or unenforceable as a result of legal challenges;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then use the information learned from such activities to develop competitive drugs for sale in our major commercial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develop additional proprietary technologies that are patentable;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patents of others may have an adverse effect on our 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Our Business Operations, Employee Matters and Managing Growth</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ability to compete in the pharmaceuticals industry depends upon our ability to attract and retain highly qualified managerial, scientific, medical and other personnel. We are highly dependent on the services of our co-founders, William Ho, our Chief Executive Officer, and Dr. Lawrence Lamb, our Chief Scientific Officer, and of our President and Chief Operating Officer, Dr. Kate Rochlin, and the loss of these members of our management team or other key employees could impede, delay or prevent the successful development of our product pipeline, the completion of our current and planned clinical trials, and the commercialization of our products or in-licensing or acquisition of new assets, and could negatively impact our ability to successfully implement our business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on our co-founders, our Chief Executive Officer, William Ho and our Chief Scientific Officer, Dr. Lawrence Lamb and on our President and Chief Operating Officer, Dr. Kate Rochlin. Each of them may currently terminate their employment with us at any time. The loss of the services of any of these persons could impede the achievement of our research, development and commercialization objectives.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Recruiting and retaining other senior executives, qualified scientific and clinical personnel and, if we progress the development of any of our product candidates, commercialization,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lead, develop, gain regulatory approval of and commercialize our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high-quality personnel, our ability to pursue our growth strategy will be limited.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future performance will also depend, in part, on our ability to successfully integrate newly hired executive officers into our management team and our ability to develop an effective working relationship among senior management. Our failure to integrate these individuals and create effective working relationships among them and other members of management could result in inefficiencies in the development and commercialization of our product candidates, harming future regulatory approvals, sales of our product candidates and our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plan to expand our organization in the future, and we may experience difficulties in managing this growth, which could disrupt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we had 17 full-time employees. As the clinical development of our product candidates progresses, we expect to require additional employees and expand the scope of our operations, particularly in the areas of research, drug development, manufacturing, clinical operations, regulatory affairs, business and development, finance and accounting and, if any of our product candidates receives marketing approval, sales, marketing and distribution. To manage any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potential growth, we may not be able to effectively manage the expansion of our operations or recruit and train additional qualified personnel. Any expansion of our operations may lead to significant expenses, additional dilution and may divert our management and business development resources. Any inability to manage growth could delay the execution of our business plans or disrupt our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may explore strategic collaborations that may not have the intended benefits or never materialize, or we may be required to relinquish important rights to and control over the development and commercialization of our product candidates to any future collaborators.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enter into strategic partnerships, create joint ventures or collaborations or enter into licensing arrangements with third parties with respect to our product candidates that we believe will complement or augment our business. For example, our business strategy includes broadening our DeltEx platform by exploring strategic partnerships that maximize the potential of our gamma-delta T cell programs. Additionally, we are exploring partnership opportunities for the INB-400 Phase 2 clinical program. As a result, we intend to periodically explore a variety of possible strategic partnerships in an effort to gain access to additional product candidates or resources. These strategic partnerships may include partnerships with large strategic partners. At the current time, however, we cannot predict what form such a strategic collaboration might take. We are likely to face significant competition in seeking appropriate strategic collaborators, and strategic collaborations can be complicated and time consuming to negotiate and document. We may not be able to negotiate strategic collaborations on acceptable terms, if any at all. If and when we collaborate with a third party for development and commercialization of a product candidate, we can expect to relinquish some or all of the control over the future success of that product candidate to the third party. We are unable to predict when, if ever, we will enter into any strategic partnerships because of the numerous risks and uncertainties associated with establishing them,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expenditure of substantial operational, financial and management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dilutive issuances of our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actual or contingent liabilities;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termination or expiration of the arrangement, which would delay the development and may increase the cost of developing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we may not be successful in our efforts to establish a strategic partnership or other alternative arrangements for INB-300, INB-400, INB-600 or any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data and/or potential to demonstrate safety and efficacy. Strategic partners may also delay clinical trials, experience financial difficulties, provide insufficient funding, terminate a clinical trial or abandon a product candidate, which could negatively impact our development efforts. We cannot be certain that we would achieve the revenues or specific net income that justifies such strategic partnerships. Additionally, strategic partners may not properly maintain, enforce or defend our intellectual property rights or may use our proprietary information in a manner that could jeopardize or invalidate our proprietary information or expose us to potential litigation, any of which could adversely affect our business, financial position and operations.</w:t>
      </w:r>
    </w:p>
    <w:p>
      <w:pPr>
        <w:pStyle w:val="TextBody"/>
        <w:bidi w:val="0"/>
        <w:spacing w:before="240" w:after="283"/>
        <w:jc w:val="both"/>
        <w:rPr>
          <w:rFonts w:ascii="Times New Roman" w:hAnsi="Times New Roman"/>
          <w:sz w:val="20"/>
        </w:rPr>
      </w:pPr>
      <w:r>
        <w:rPr>
          <w:rFonts w:ascii="Times New Roman" w:hAnsi="Times New Roman"/>
          <w:b/>
          <w:i/>
          <w:color w:val="000000"/>
          <w:sz w:val="20"/>
        </w:rPr>
        <w:t>If our information technology systems, or those of the third parties with whom we work, or our data, are or were compromised, we could experience adverse consequences resulting from such compromise, including but not limited to, a significant disruption of our product development programs and our ability to operate our business effectively, regulatory investigations or actions, litigation, fines and penalties, reputational harm, loss of revenue or profits, and other adverse consequences.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increasingly dependent upon information technology systems, infrastructure and data to operate our business. In the ordinary course of business, we and the third parties with whom we work process sensitive information, and as a result, we and the third parties with whom we work face a variety of evolving threats that could cause security incidents. We also have outsourced elements of our operations to third parties, and as a result we manage a number of third-party vendors and other contractors and consultants who have access to our sensitive information. Our ability to monitor these third parties’ information security practices is limited, and these third parties may not have adequate information security measures in place. If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internal computer systems, cloud-based computing services and those of any third parties with whom we work are vulnerable to damage or interruption from a variety of sources, including cyberattacks, malicious internet-based activity, and online and offline fraud, and other similar activities. These threats include, but are not limited to, social-engineering attacks (including through deep fakes, which may be increasingly more difficult to identify as fake, and phishing attacks), malicious code (such as viruses and worms), malware (including as a result of advanced persistent threat intrusions), data corruption, intentional or accidental actions or inactions by our employees or others with access to our network, supply chain attacks, ransomware attacks, denial-of-service attacks (such as credential stuffing), credential harvesting, software bugs, server malfunctions, software or hardware failures, loss of data or other information technology assets, adware, attacks enhanced or facilitated by A.I., natural disasters, terrorism, war and telecommunication and electrical failures, and other similar threats that affect service reliability and threaten the confidentiality, integrity, and availability of information. Attacks upon information technology systems are increasing in their frequency, levels of persistence, sophistication and intensity, are increasingly difficult to detect, and are being conducted by sophisticated and organized groups and individuals with a wide range of motives and expertise,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cyber-attacks, that could materially disrupt our systems and operations, supply chain, and ability to produce, sell and distribute our goods and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 Similarly, supply-chain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or the third-party information technology systems that support us. We also face increased cybersecurity risks due to the number of our employees who are working remotely, which creates additional opportunities for cybercriminals to exploit vulnerabilities and data, as our employees utilize network connections, computers, and devices outside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 chain attacks.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any of the previously identified or similar threats were to occur and cause a security incident or other interruptions in our operations, it could result in a disruption of our development programs and our business operations, whether due to unauthorized, unlawful, or accidental acquisition, modification, destruction, loss, alteration, encryption, disclosure of, access to, or other similar disruptions to our sensitive information or our information technology systems, or those of the third parties with whom we work. For example, we have been the target of unsuccessful phishing attempts in the past and we expect such attempts will continue in the future. In addition, the loss of clinical trial data from completed or future clinical trials could result in delays in our regulatory approval efforts and significantly increase our costs to recover or reproduce the data.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(or a third party with whom we work) experience a security incident or are perceived to have experienced a security incident, we could incur liability, our competitive position could be harmed and the further development and commercialization of our product candidates could be delayed. Security incidents could lead to material adverse consequences, including but not limited to: government enforcement actions (for example, investigations, fines, penalties, audits, and inspections); additional reporting requirements and/or oversight; restrictions on processing sensitive information (including personal data and clinical trial data); litigation (including class claims); indemnification obligations; negative publicity; reputational harm; monetary fund diversions; diversion of management attention; interruptions in our operations (including availability of clinical trial data); financial loss; and other similar harms. Additionally, 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expend significant resources or modify our business activities (including our clinical trial activities) to try to protect against security incidents. Certain data privacy and security obligations may require us to implement and maintain specific security measures, industry-standard or reasonable security measures to protect our information technology systems and sensitive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with whom we work). We may not, however, be able to detect and remediate all such vulnerabilities including on a timely basis. Further, we may experience delays in deploying remedial measures designed to address any such identified vulnerabilities. Vulnerabilities could be exploited and result in a security incident.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ability to use our net operating losses to offset future taxable income may be subject to certain limitations.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substantial losses since inception and do not expect to become profitable in the near future, if ever. In general, under Section 382 of the United States Internal Revenue Code of 1986, as amended ("Code") a corporation that undergoes an "ownership change" is subject to limitations on its ability to utilize its pre-change net operating losses ("NOLs") to offset future taxable income. We may have experienced ownership changes in the past and may experience ownership changes in the future as a result of subsequent changes in our stock ownership (some of which are outside our control). As a result, if and to the extent that we earn net taxable income, our ability to use our pre-change NOLs to offset such taxable income may be subject to limitations.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current U.S. federal tax law, NOLs arising in tax years beginning after December 31, 2017 can be carried forward indefinitely, but the deductibility of these carryforwards is limited.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uncertain if and to what extent various states will conform to the federal law. In addition, at the state level, there may be periods during which the use of NOLs is suspended or otherwise limited, which could accelerate or permanently increase the state taxes owed.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order to realize the future tax benefits of our NOL carryforwards, we must generate taxable income, of which there is no assurance. Accordingly, we have provided a full valuation allowance for deferred tax assets as of December 31, 2025.</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There are risks inherent in our business that may subject us to potential product liability suits and other claims, which may require us to engage in expensive and time-consuming litigation or pay substantial damages and may harm our reputation and reduce the demand for our product.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business exposes us to product liability risks, which are inherent in the testing, manufacturing, marketing and sale of biopharmaceutical products. For example, we may be sued if any product we develop allegedly causes or is perceived to cause injury or is found to be otherwise unsuitable during product testing, manufacturing, marketing or sale. Any such product liability claims may include allegations of defects in manufacturing, defects in design, a failure to warn of dangers inherent in the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negligence, strict liability and a breach of warranties and/or trademarks. Claims could also be asserted under state consumer protection acts. If we cannot successfully defend ourselves against product liability claims, we may incur substantial liabilities or be required to limit commercialization of our products. Even a successful defense would require significant financial and management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aspects of how gamma-delta T cells are processed and administered may increase our exposure to liability. Medical personnel administer gamma-delta T cells to patients in an outpatient procedure. This procedure poses risks to the patient similar to those occurring with infusions of other cell products, such as T cells and stem cells, including blood clots, infection and mild to severe allergic reactions. Additionally, gamma-delta T cells or components of our gamma-delta T cell therapy may cause unforeseen harmful side effects. For example, a patient receiving gamma-delta T cells could have a severe allergic reaction, severe graft versus host disease, cytokine release syndrome, or could develop an autoimmune condition to materials infused with gamma-delta T cells.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we have not conducted studies on the long-term effects associated with the media and/or expansion process that we use to grow our gamma-delta T cells. Similarly, we expect to use media in freezing our gamma-delta T cells for storage and shipment. These media and other reagents used in the manufacturing process could contain substances that have proved harmful if used in certain quantities. As we continue to develop our gamma-delta T cell therapy, we may encounter harmful side effects that we did not observe in our prior studies and clinical trials. Additionally, the discovery of unforeseen side effects of gamma-delta T cells could also lead to lawsuits against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Regardless of merit or eventual outcome, product liability or other claims may, among other things, result 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decreased demand for any approved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withdrawal of clinical trial participants or cancellation of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defend the related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diversion of management’s time and our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substantial monetary awards to clinical trial participants or patients;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investigations, product recalls, withdrawals or labeling, marketing or promotional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exhaustion of any available insurance and our capital resources;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loss of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potential decrease in our stock price;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inability to commercialize any products we develop.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inability to obtain and maintain sufficient product liability insurance at an acceptable cost and scope of coverage to protect against potential product liability claims could prevent or inhibit the commercialization of our products. We obtained product liability insurance covering our clinical trials with policy limits that we believe are customary for similarly situated companies and adequate to provide us with coverage for foreseeable risks. Although we maintain such insurance, any claim that may be brought against us could result in a court judgment or settlement in an amount that is not covered, in whole or in part, by our insurance or that is in excess of the limits of our insurance coverage. Moreover, in the future, we may not be able to maintain insurance coverage at a reasonable cost or in sufficient amounts to protect us against losses. If we determine that it is prudent to increase our product liability coverage due to the commercial launch of any approved product, we may be unable to obtain such increased coverage on acceptable terms, or at all. Our insurance policies also have various exclusions and deductibles,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Commercialization and Regulatory Compliance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Even if we obtain regulatory approvals for our product candidates, they will remain subject to ongoing regulatory oversight.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Even if we obtain regulatory approvals for our product candidates, such approvals will be subject to ongoing regulatory requirements for manufacturing, labeling, packaging, storage, advertising, promotion, sampling, record keeping and submission of safety and other post-market information. Any regulatory approvals that we receive for our product candidates may also be subject to a REMS, to limitations on the approved indicated uses for which the product candidate may be marketed or to the conditions of approval, or may contain requirements for potentially costly post-marketing testing, including Phase 4 trials,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surveillance to monitor the quality, safety and efficacy of the product candidate. Such regulatory requirements may differ from country to country depending on where we have received regulatory approval.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product candidate manufacturers and their facilities are subject to payment of user fees and continual review and periodic inspections by the FDA and other regulatory authorities for compliance with cGMP requirements and adherence to commitments made in the BLA or foreign marketing application. If we, or a regulatory authority, discover previously unknown problems with a product candidate, such as adverse events of unanticipated severity or frequency, or problems with the facility where the product candidate is manufactured or if a regulatory authority disagrees with the promotion, marketing or labeling of that product candidate, a regulatory authority may impose restrictions relative to that product candidate, the manufacturing facility or us, including requesting a recall or requiring withdrawal of the product candidate from the market or suspension of manufacturing.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fail to comply with applicable regulatory requirements following approval of our product candidates, a regulatory authority may, among other things, issue warning letters or untitled letters, mandate modifications to promotional materials or require us to provide corrective information to healthcare practitioners, or require other restrictions on the labeling or marketing of such products, require us to enter into a consent decree, which can include imposition of various fines, reimbursements for inspection costs, required due dates for specific actions and penalties for noncompliance, seek an injunction or impose administrative, civil or criminal penalties or monetary fines, suspend or modify any ongoing clinical trials, or suspend, modify withdraw regulatory approval or restrict the marketing or manufacturing of the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the FDA and other regulatory authorities strictly regulate the promotional claims that may be made about biologic products. In particular, a product may not be promoted for uses that are not approved by the FDA as reflected in the product’s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harm our business, financial condition, results of operations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FDA’s and other regulatory authorities’ policies may change and additional government regulations may be enacted that could prevent, limit or delay regulatory approval of our product candidates.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or executive action, either in the United States or abroad.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 if any product candidate receives marketing approval, it may fail to achieve market acceptance by physicians, patients, third-party payors or others in the medical community necessary for commercial success.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any product candidate receives marketing approval, it may fail to gain market acceptance by physicians, patients, third-party payors and others in the medical community. If any such product candidate does not achieve an adequate level of acceptance, we may not generate significant product revenue and may not become profitable. The degree of market acceptance of any product candidate, if approved for commercial sale, will depend on a number of factors,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efficacy, safety profile, convenience, ease of administration and other potential advantages compared to alternative treatments and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willingness of the target patient population to try new therapies and of physicians to prescribe these therapies;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strength of our relationships with patient communities;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of third-party coverage and adequate reimbursement;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prevalence and severity of any side effects;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restrictions on the use of the product candidate together with other medications.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efforts to educate physicians, patients, third-party payors and others in the medical community on the benefits of our product candidates may require significant resources and may never be successful. Such efforts may require more resources than are typically required due to the complexity and uniqueness of our product candidates. Because we expect sales of our product candidates, if approved, to generate substantially all of our revenues for the foreseeable future, the failure of our product candidates to find market acceptance would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Furthermore, the attention to different types of prospective treatments and proposed cures for cancers has historically varied. In recent years, various forms of oncological immunotherapy have been prominent areas for academic and clinical advancement. While gamma-delta T cell therapy has not yet received prominent negative attention from the mainstream media or the scientific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press, it is possible that it could, and it is possible that if immunotherapy generally falls out of favor with these key constituencies, whether due to the failure of one or more competitive products or technologies or otherwise, our business, including our ability to conduct our planned clinical trials and to raise capital, may in turn suffer.</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are unable to establish sales and marketing capabilities or enter into agreements with third parties to market and sell our product candidates, we may not be successful in commercializing them, if and when they are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successfully commercialize any product candidate that may result from our development programs, we will need to build out our sales and marketing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seek to enter into collaborations with other entities to utilize their established marketing and distribution capabilities, but we may be unable to enter into such agreements on favorable terms, if at all. If any current or future collaborators do not commit sufficient resources to commercialize our product candidates, or we are unable to develop the necessary capabilities on our own, we may be unable to generate sufficient revenue to sustain our business. We compete with many companies that currently have extensive, experienced and well-funded marketing and sales operations to recruit, hire, train and retain marketing and sales personnel. We will likely also face competition if we seek third parties to assist us with the sales and marketing efforts of our product candidates. Without an internal team or the support of a third party to perform marketing and sales functions, we may be unable to compete successfully against these more established companies.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Even if we obtain and maintain approval for our product candidates from the FDA, we may never obtain approval outside the United States, which would limit our market opportunities.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of a product candidate in the United States by the FDA does not ensure approval of such product candidate by regulatory authorities in other countries or jurisdictions, and approval by one foreign regulatory authority does not ensure approval by regulatory authorities in other foreign countries or by the FDA. Sales of our product candidates outside the United States will be subject to foreign regulatory requirements governing clinical trials and marketing approval. Even if the FDA grants marketing approval for a product candidate, comparable foreign regulatory authorities also must approve the manufacturing and marketing of the product candidate in those countries. Approval procedures vary among jurisdictions and can involve requirements and administrative review periods different from, and more onerous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any product candidates, if approved, is also subject to approval. Obtaining approval for our product candidates in the European Union from the European Commission following the opinion of the European Medicines Agency ("EMA") if we choose to submit a marketing authorization application there, would be a lengthy and expensive process. Even if a product candidate is approved, the EMA may limit the indications for which the product may be marketed, require extensive warnings on the labeling or require expensive and time-consuming additional clinical trials or reporting as conditions of approval. Obtaining foreign regulatory approvals and compliance with foreign regulatory requirements could result in significant delays, difficulties and costs for us and could delay or prevent the introduction of our product candidates in certain countries.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commercialize our product candidates outside the United States, a variety of risks associated with international operations could harm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have not taken any steps to obtain approval of our product candidates outside of the United States, and do not plan to seek approval in the near term, we may do so in the future. If we market approved products outside the United States, we expect that we will be subject to additional risks in commercialization,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regulatory requirements for approval of therapies in foreign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protection for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unexpected changes in tariffs, trade barriers and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weakness, including inflation, or political instability in particular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currency fluctuations, which could result in increased operating expenses and reduced revenues, and other obligations incident to doing business in another country;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reimbursement, pricing and insurance regimes;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workforce uncertainty due to labor unrest;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production shortages resulting from any events affecting raw material supply or manufacturing capabilities abroad;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interruptions resulting from geopolitical actions, including wars and terrorism, natural disasters including earthquakes, typhoons, floods and fires, and public health emergencies.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no prior experience in these areas. In addition, there are complex regulatory, immigration, tax, labor and other legal requirements imposed by many of the individual countries in which we may operate, including the United States and, with which we will need to comply. Many biopharmaceutical companies have found the process of marketing their products in foreign countries to be challenging.</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relationships with customers, physicians, and third-party payors are subject, directly or indirectly, to federal and state healthcare fraud and abuse laws, including anti-kickback and false claims laws, transparency laws, and other healthcare laws and regulations. If we are unable to comply, or have not fully complied, with such laws, we could face substantial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Healthcare providers, including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subject us to various federal and state fraud and abuse laws, health information privacy laws, transparency laws, and other healthcare laws, including, without limitation, the federal Anti-Kickback Statute, the federal civil and criminal false claims laws and the law commonly referred to as the Physician Payments Sunshine Act and the regulations promulgated thereunder. For additional information on the healthcare laws and regulations that we may be subject to, see the section captioned "Business─Government Regulation" in this Annual Report on Form 10-K.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Ensuring that our business arrangements with third parties comply with applicable healthcare laws and regulations will likely be costly. It is possible that governmental authorities will conclude that our business practices, including our relationships with physicians, some of whom are compensated with a stipend or stock options for services performed for us,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participating in government-funded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If the physicians or other providers or entities with whom we expect to do business are found not to be in compliance with applicable laws, they may be subject to significant criminal, civil or administrative sanctions, including exclusions from government-funded healthcare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manufacturing, sales, marketing or distribution activities. Uncertainties resulting from the initiation and continuation of litigation or other proceedings relating to applicable healthcare laws and regulations could have an adverse effect on our ability to compete in the marketplace.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Coverage and adequate reimbursement may not be available for our product candidates, which could make it difficult for us to sell profitably, if approved.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Market acceptance and sales of any product candidates that we commercialize, if approved, will depend in part on the extent to which reimbursement for these products and related treatments will be available from third-party payors, including government health administration authorities, managed care organizations and other private health insurers. Third-party payors decide which therapies they will pay for and establish reimbursement levels. While no uniform policy for coverage and reimbursement exists in the United States, third-party payors often rely upon Medicare coverage policy and payment limitations in setting their own coverage and reimbursement policies. However, decisions regarding the extent of coverage and amount of reimbursement to be provided for any product candidates that we develop will be made on a payor-by-payor basis. Therefore, one payor’s determination to provide coverage for a product does not assure that other payors will also provide coverage, and adequate reimbursement, for the product. Additionally, a third-party payor’s decision to provide coverage for a therapy does not imply that an adequate reimbursement rate will be approved. Each payor determines whether or not it will provide coverage for a therapy, what amount it will pay the manufacturer for the therapy, and on what tier of its formulary it will be placed. The position on a payor’s list of covered products, or formulary, generally determines the co-payment that a patient will need to make to obtain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therapy and can strongly influence the adoption of such therapy by patients and physicians. Patients who are prescribed treatments for their conditions and providers prescribing such services generally rely on third-party payors to reimburse all or part of the associated healthcare costs. Patients are unlikely to use our products unless coverage is provided and reimbursement is adequate to cover a significant portion of the cost of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the U.S. Department of Health and Human Services (“HHS”) imposes rebates on many Medicare Part B and Medicare Part D products to penalize price increases that outpace inflation on an annual basis. HHS has also been empowered to negotiate the price of certain single-source biologics that have been on the market for at least eleven (11) years covered under Medicare as part of the Medicare Drug Price Negotiation Program. Each year up to twenty (20) products will be selected by HHS for the Medicare Drug Price Negotiation Program. Products subject to the Medicare Drug Price Negotiation Program are expected to experience a significant reduction in reimbursement from the Medicare program on a per unit basis.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Third-party payors have attempted to control costs by limiting coverage and the amount of reimbursement for particular medications. Currently, in the allogeneic transplant setting, reimbursement is often made based on a capitated payment system, and obtaining reimbursement for our products may be particularly difficult because of the higher prices often associated with drugs administered under the supervision of a physician. Therefore, our product candidates may not be reimbursed separately but their cost may instead be bundled as part of a capitated payment received by the provider for the procedure only. We cannot be sure that the clinical results of our trials will be sufficient or meaningful to educate hospitals and/or clinicians on the benefits of our product or to get third-party payors to change reimbursement to separate outside of the current bundle. A decision by a third-party payor not to cover or separately reimburse for our product candidates or procedures using our product candidates, could reduce physician utilization of our products once approved. We cannot be sure that coverage and reimbursement will be available for any product that we commercialize and, if reimbursement is available, what the level of reimbursement will be. Inadequate coverage and reimbursement may impact the demand for, or the price of, any product for which we obtain marketing approval. If coverage and adequate reimbursement are not available, or are available only at limited levels, we may not be able to successfully commercialize any product candidates that we develop. Even if favorable coverage and reimbursement status is attained for one or more products for which we receive regulatory approval, less favorable coverage policies and reimbursement rates may be implemented in the future.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Healthcare legislative reform measures may have a negative impact on our business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United States and some foreign jurisdictions, there have been, and continue to be,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In particular, there have been and continue to be a number of initiatives at the U.S. federal and state levels that seek to reduce healthcare costs and improve the quality of healthcare.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example, in March 2010, the Patient Protection and Affordable Care Act of 2010, as amended by the Health Care and Education Reconciliation Act of 2010 (collectively, the "ACA"), was passed, which substantially changed the way healthcare is financed by both governmental and private payors in the United States. Since its enactment, however, there have been executive, judicial and Congressional challenges and amendments to the ACA. For example, on July 4, 2025, the One Big Beautiful Bill Act (the “OBBBA”) was signed into law, which narrowed access to ACA marketplace exchange enrollment and declined to extend the ACA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ACA subsidies.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Other legislative changes have been proposed and adopted since the ACA was enacted. These changes include aggregate reductions to Medicare payments to providers of 2% per fiscal year, which began in 2013 and will remain in effect until 2032 unless additional Congressional action is taken.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current administration is pursuing policies to reduce regulations and expenditures across government agencies including at HHS, the FDA, the Centers for Medicare &amp; Medicaid Services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 to consumer platform (“TrumpRx”)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U.S. drug prices, potentially impacting manufacturers’ global pricing strategies and profitability, while increasing their operational costs and compliance risks. In June 2024, the U.S. Supreme Court’s Loper Bright decision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We expect that these and other healthcare reform measures that may be adopted in the future may result in more rigorous coverage criteria and in additional downward pressure on the price that we receive for any approved drug, which could have an adverse effect on demand for our product candidates.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 For additional information on healthcare reform, see the section captioned "Business─Government Regulation" in our Annual Report on Form 10-K.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FDA’s ability to review and approve new products may be hindered by a variety of factors, including budget and funding levels, ability to hire and retain key personnel, statutory, regulatory and policy changes and global health concerns.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employees and stop critical activities. If a prolonged government shutdown occurs, it could significantly impact the ability of the FDA to timely review and process our regulatory submissions, which could have a material adverse effect on our business. The ability of the FDA and other government agencies to properly administer their functions is highly dependent on the levels of government funding and the ability to fill key leadership appointments, among various factors. Delays in filling or replacing key positions could significantly impact the ability of the FDA and other agencies to fulfill their functions and could greatly impact healthcare and the pharmaceutical industry. In addition, the current administration has implemented substantial reductions in force at various government agencies including the FDA, which could significantly reduce the FDA’s capacity to perform its functions in a manner consistent with its past practices and could delay reviews and negatively impact our business.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(or the third parties with whom we work) actual or perceived failures to comply with applicable data privacy and security obligations, including laws, regulations, contractual obligations, industry standards and other obligations could lead to regulatory investigations or actions, litigation (including class claims), fines and penalties, disruptions of our business operations, reputational harm, loss of revenue or profits, and other adverse business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participants in connection with clinical trials, and sensitive third-party data (collectively, sensitive information). Our data processing activities subject us to numerous data privacy and security obligations, such as various state, federal and foreign laws, regulations, guidance, industry standards, external and internal privacy and security policies, contracts and other obligations relating to data privacy and security.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process sensitive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or the third parties with whom we work to comply with federal, state or foreign laws or regulation, our internal policies and procedures or our contracts governing our processing of sensitive information could result in negative publicity, government investigations and enforcement actions, claims by third parties and damage to our reputation, any of which could have a material adverse effect on our operations, financial performance and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our operations and business grow, we become subject to or affected by new or additional data protection laws and regulations and face increased scrutiny or attention from regulatory authorities. In the United States, federal, state, and local laws and regulations, including data breach notification laws, personal data privacy laws, state health information privacy laws, and federal and state consumer protection laws and regulations (i.e., Section 5 of the FTC Act), and other similar laws govern the collection, use, disclosure, and protection of health-related and other personal data. In addition, we obtain health information from third parties (including research institutions from which we obtain clinical trial data) that are subject to data privacy and security requirements under the Federal Health Insurance Portability and Accountability Act of 1996, as amended by the Health Information Technology for Economic and Clinical Health Act of 2009, and regulations promulgated thereunder (collectively, "HIPAA"). Depending on the facts and circumstances, we could be subject to significant penalties if we violate HIPAA.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states have also adopted comparable data privacy and security laws and regulations, some of which may be more stringent than HIPAA.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(collectively, the "CCPA") applies to personal data of consumers, business representatives, and employees who are California residents, and requires business to provide specific disclosures in privacy notices and honor requests of California residents to exercise certain privacy rights related to their personal data. The CCPA allows for statutory fines for noncompliance and a private right of action for certain data breaches to recover significant statutory damages. Although the CCPA and other comprehensive U.S. state privacy laws exempt some data processed in the context of clinical trials, these developments may further complicate compliance efforts and increase compliance costs and potential liability for us and the third parties with whom we work. Similar laws have been enacted or are being considered in several other states, as well as at the federal and local levels, and we expect more states to pass similar laws in the future, which could further complicate compliance efforts.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all 50 U.S. states and the District of Columbia have enacted breach notification laws that may require us to notify affected individuals or regulators in the event of unauthorized access to or disclosure of personal data experienced by us or our service providers. These laws are not consistent, and compliance in the event of a widespread data breach is difficult and can be costly. In addition to government regulation, privacy advocates and industry groups have and may in the future propose self-regulatory standards from time to time. We are, and may in the future become, subject to certain industry standards, or we may elect to comply with such standards.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apply to data privacy and security. For example, the EU GDPR and the UK GDPR impose strict requirements for processing personal data. For example, under the EU GDPR, government regulators may impose temporary or definitive bans on data processing, as well as fines of up to 20 million euros under the EU GDPR, 17.5 million pounds sterling under the UK GDPR or, in each case, 4% of annual global revenue, whichever is greater. Further, classes of data subjects or consumer protection organizations authorized at law to represent their interests may initiate litigation related to processing of personal data. In Canada, the PIPEDA and various related provincial laws, may apply to our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Certain jurisdictions have enacted data localization laws and cross-border personal data transfer laws, which could make it more difficult to transfer information across jurisdictions (such as transferring or receiving personal data that originates in the EU or in other foreign jurisdictions). Existing mechanisms that facilitate cross-border personal data transfers may change or be invalidated. For example, absent appropriate safeguards or other circumstances, the EU GDPR generally restricts the transfer of personal data to countries outside of the EEA that the European Commission does not consider to provide an adequate level of data privacy and security, such as the United States.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or other countries. Some European regulators have ordered certain companies to suspend or permanently cease certain transfers out of Europe for allegedly violating the GDPR’s cross-border data transfer limitations. 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certain countries outside Europe have also passed or are considering laws requiring local data residency or otherwise impeding the transfer of personal data across borders, which increases the cost and complexity of doing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cannot implement a valid compliance mechanism for cross-border data transfers, or if the requirements for a legally compliant transfer are too onerous, we may face increased exposure to regulatory actions, substantial fines and penalties, and injunctions against processing or transferring personal data from Europe or other foreign jurisdictions. The inability to import personal data to the United States could significantly and negatively impact our business operations, including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 Additionally, companies that transfer personal data out of the EEA and UK to other jurisdictions, particularly to the United States, are subject to increased scrutiny from regulators, individual litigants, and activist groups.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data privacy and security laws, we are bound by other contractual obligations related to data privacy and security, and our efforts to comply with such obligations may not be successful. We also publish privacy policies, marketing materials, and other statements concerning data privacy and security. Regulators in the United States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work to comply with applicable data privacy and security laws, regulations and standards, our contractual obligations and other legal obligations, these requirements (and individuals’ data privacy expectations) are evolving, becoming increasingly stringent, and may be modified, interpreted and applied in an inconsistent manner from one jurisdiction to another, and may conflict with one another or other legal obligations with which we must comply. Preparing for and complying with these obligations requires significant resources and may necessitate changes to our information technologies, systems, and practices and to those of any third parties with whom we work. In addition, these obligations may require us to change our business model. Although we endeavor to comply with all applicable data privacy and security obligations, we may at times fail (or be perceived to have failed) to do so. Moreover, despite our efforts, our personnel or third parties with whom we work may fail to comply with such obligations, which could negatively impact our business operations and compliance posture. Any failure or perceived failure by us or our employees, representatives, contractors, consultants, CROs, collaborators, or other third parties with who we work to comply with such requirements or adequately address data privacy and security concerns, even if unfounded, could result in additional cost and liability to us, damage our reputation, or adversely affect our business, financial condition, and results of operations.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For example, we may experience adverse consequences such as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revision or restructuring of our operations; government enforcement actions (i.e., investigations, fines, penalties, audits, inspections, and similar); litigation (including class-related claims) and mass arbitration demands; additional reporting requirements and/or oversight; bans or restrictions on processing personal data; orders to destroy or not use personal data; and imprisonment of company officials.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employees and personnel use generative artificial intelligence (“AI”) technologies to perform their work, and the disclosure and use of personal data in AI technologies is subject to various privacy laws and other privacy obligations. Governments have passed and are likely to pass additional laws and regulations regulating AI. Our use of this technology could result in additional compliance costs, regulatory investigations and actions, and lawsuits. If we are unable to use AI technologies, it could make our business less efficient and result in competitive disadvantages.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Risks Related to the Ownership of Our Common Stock</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An active trading market for our common stock may not be sustained, and you may not be able to sell your shares quickly or at the market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Although our common stock is traded on the Nasdaq Stock Market LLC, ("Nasdaq") the liquidity in our common stock on that stock market remains thin. If an active trading market for our common stock is not sustained, you may not be able to sell your shares quickly or at all at the market price. An inactive market may also impair our ability to raise capital to continue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fund operations by selling shares of our common stock and may impair our ability to acquire other companies or technologies by using our common stock as consideration.</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The market price of our common stock is volatile and may fluctuate substantially, and you could lose all or part of your investment.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market price of our common stock is volatile. The stock market in general, and the market for biopharmaceutical and pharmaceutical companies in particular, has experienced extreme volatility that has often been unrelated to the operating performance of particular companies. In addition to the factors discussed in this "Risk Factors" section, the market price for our common stock may be influenced by, among other factors: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commencement, enrollment or results of our planned or future clinical trials of our product candidates or those of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success and failures of competitive products or therapies or announcements, including patient deaths and clinical holds, by potential competitors of their product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coordinated buying or selling activity in our common stock, including market manipulation;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unusual trading in our common stock or securities derivative thereof, including pursuant to naked, or uncovered, short positions or "short squeezes;"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commentary by investors on the prospects for our business or our common stock on the internet, including blogs, articles and message board, and/or social media and resulting in trading of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or other developments relating to proprietary rights, including patents, litigation matters and our ability to obtain patent protection for our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lawsuits, including patent or stockholder litigation;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price and volume fluctuations attributable to inconsistent trading volume levels and a wide bid-ask in our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announcement or expectation of additional financing efforts or sales by our stockholders;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economic, political, and market conditions and overall fluctuations in the financial markets in the United States and abroad, including as a result of increases in inflation and interest rates, tariffs and trade wars, public health crises and other geopolitical tensions, such as wars and terrorism, and future U.S. government shutdowns;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investors’ general perception of us and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and other market and industry factors may cause the market price and demand for our common stock to fluctuate substantially, regardless of our actual operating performance which may limit or prevent investors from selling their shares at or above the price paid for the shares and may otherwise negatively affect the liquidity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some companies that have experienced volatility in the trading price of their shares have been the subject of securities class action litigation.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business practices. Defending against litigation is costly and time-consuming and could divert our management’s attention and our resources. Furthermore, during the course of litigation, there could be negative public announcements of the results of hearings, motions or other interim proceedings or developments, which could have a negative effect on the market price of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Provisions in our corporate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Provisions in our certificate of incorporation and our bylaws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 classified board of directors such that not all members of the board are elected at one time;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allow the authorized number of our directors to be changed only by resolution of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provide that our directors may be removed for cause only upon the vote of at least 66 2/3% of our outstanding shares of voting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establish advance notice requirements for stockholder proposals that can be acted on at stockholder meetings and nominations to our board of directors;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that stockholder actions must be effected at a duly called stockholder meeting and prohibit actions by our stockholders by written consent;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limit who may call stockholder meetings;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authorize our board of directors to issue, without further action by the stockholders, shares of undesignated preferred stock with terms, rights and preferences determined by our board of directors that may be senior to our common stock;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require the approval of the holders of at least 66 2∕3% of the votes that all our stockholders would be entitled to cast to amend or repeal certain provisions of our charter or bylaws.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Moreover, because we are incorporated in Delaware, we are governed by the provisions of Section 203 of the Delaware General Corporation Law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We have not elected to opt out of DGCL Section 203.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common stock.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amended and restated certificate of incorporation provides that, with respect to any state actions or proceedings under Delaware statutory or common law, the Court of Chancery of the State of Delaware is the exclusive forum for: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derivative action or proceeding brought on our behalf;</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asserting a breach of fiduciary duty;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asserting a claim against us or any of our directors, officers, employees or agents arising under the DGCL, our amended and restated certificate of incorporation or our second amended and restated bylaws;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to interpret, apply, enforce or determine the validity of our amended and restated certificate of incorporation or our second amended and restated bylaws;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action or proceeding asserting a claim against us or any of our directors, officers, employees or agents that is governed by the internal-affairs doctrine.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or causes of action arising under the Securities Act, including all causes of action asserted against any defendant to such complaint.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an exclusive-forum provision in our amended and restated certificate of incorporation to be inapplicable or unenforceable in an action, we may incur additional costs associated with resolving the dispute in other jurisdictions, which could harm our business.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Unstable market and economic conditions, including as a result of increases in inflation, the price of oil, and interest rates, tariffs and trade wars, geopolitical tensions such as wars and terrorism and future U.S. government shutdowns, may have serious adverse consequences on our business, financial condition and share price.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global economy, including credit and financial markets, has experienced extreme volatility and disruptions. For example, the macroeconomic uncertainty and volatile business environment have resulted in ongoing inflation, elevated interest rates, volatility in the capital markets, significantly reduced liquidity and credit availability, decreases in consumer demand and confidence, declines in economic growth, increases in unemployment rates and uncertainty about economic stability. Similarly, geopolitical tensions, such as wars and terrorism may have global economic consequences, including potential disruptions of the global supply chain, manufacturing and energy markets. Further, over the last several years the U.S. government has shut down several times. If a prolonged government shutdown occurs in the future, including as a result of any failure by the U.S. federal government to increase the debt ceiling or otherwise, it could significantly impact the ability of the FDA and the SEC to timely review and process our submissions, as well as cause interest rates and borrowing costs to further increase, which may negatively impact our ability to access the debt markets, including the corporate bond markets, on favorable terms, which could have a material adverse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Trade disputes, tariffs, and other geopolitical tensions between the U.S. and other countries may also exacerbate unfavorable macroeconomic conditions, including inflationary pressures, foreign exchange volatility, financial market instability, and economic recessions or downturns, which may also limit our access to capital, or otherwise negatively impact our business and operations. Additionally, current or future tariffs will result in increased research and development expenses, including with respect to increased costs associated with active pharmaceutical ingredients, raw materials, laboratory equipment and research materials and components. In addition, such tariffs will increase our supply chain complexity and could also potentially disrupt our existing supply chain. Trade restrictions affecting the import of materials necessary for clinical trials could result in delays to our development timelines. Additional and higher tariffs and sanctions may be imposed on goods imported from other countries which could increase the cost of goods needed to continue development of our product candidates. Further, such actions by the U.S. could result in retaliatory action by those countries which could impact our ability to profitably commercialize our products in those jurisdictions. As a result, our business, operations and financial condition could be materially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Annual Report on Form 10-K.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such volatility and disruptions may have adverse consequences on us or the third parties on whom we rely. If the equity and credit markets deteriorate, including as a result of increases in inflation and interest rates, political unrest or war, it may make any necessary debt or equity financing more difficult to obtain in a timely manner or on favorable terms, more costly or more dilutive. Increased inflation rates can adversely affect us by increasing our costs, including labor and employee benefit costs. Any significant increases in inflation and related increase in interest rates could have a material adverse effect on our business, results of operations and financial condition.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research analysts do not publish research or reports, or publish unfavorable research or reports, about us, our business or our market, our stock price and trading volume could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common stock will be influenced by the research and reports that industry or financial analysts publish about us or our business. We currently have research coverage by a few industry or financial analysts and may never obtain additional coverage. Equity research analysts may elect not to provide research coverage of our common stock or may drop coverage and such lack of research coverage may adversely affect the market price of our common stock. In the event we do have additional equity research analyst coverage, we will not have any control over the analysts or the content and opinions included in their reports. The price of our shares could decline if one or more equity research analysts downgrade our shares, reduce their price-targets, or issue other unfavorable commentary or research about us. If one or more equity research analysts cease coverage of us or fail to publish reports on us regularly, demand for our shares could decrease, which in turn could cause the trading price or trading volume of our common stock to decline.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We will continue to incur increased costs as a result of operating as a public company, and our management will continue to be required to devote substantial time to new compliance initiatives.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 company, and particularly after we are no longer an emerging growth company ("EGC") as defined under the Jobs Act, or smaller reporting company, we will continue to incur significant legal, accounting and other expenses that we did not incur as a private company. In addition, the Sarbanes-Oxley Act of 2002 ("Sarbanes-Oxley Act") and rules subsequently implemented by the SEC and The Nasdaq Stock Market LLC impose various requirements on public companies, including establishment and maintenance of effective disclosure and financial controls and corporate governance practices. Our management and other personnel will need to devote a substantial amount of time to comply with these requirements. Moreover, these rules and regulations will increase our legal and financial compliance costs and will make some activities more time-consuming and costly.</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harm our business and have a negative effect on the trading price of our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Section 404 of the Sarbanes-Oxley Act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or a smaller reporting company with less than $100 million in annual revenue, we will not be required to include an attestation report on internal control over financial reporting issued by our independent registered public accounting firm. We could be an EGC until the end of the fiscal year following the fifth anniversary of our initial public offering.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our assessment of internal controls and procedures may not detect material weaknesses in our internal control over financial reporting. Undetected material weaknesses in our internal control over financial reporting could lead to financial statement restatements and require us to incur the expense of remediation, which could have a negative effect on the trading price of our stock. These events could result in an adverse reaction in the financial markets due to a loss of confidence in the reliability of our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before="240" w:after="283"/>
        <w:jc w:val="both"/>
        <w:rPr>
          <w:rFonts w:ascii="Times New Roman" w:hAnsi="Times New Roman"/>
          <w:sz w:val="20"/>
        </w:rPr>
      </w:pPr>
      <w:bookmarkStart w:id="5" w:name="unresolved_staff_comments"/>
      <w:bookmarkEnd w:id="5"/>
      <w:r>
        <w:rPr>
          <w:rFonts w:ascii="Times New Roman" w:hAnsi="Times New Roman"/>
          <w:b/>
          <w:color w:val="000000"/>
          <w:sz w:val="20"/>
        </w:rPr>
        <w:t>Item 1B.</w:t>
      </w:r>
      <w:r>
        <w:rPr>
          <w:rFonts w:ascii="Times New Roman" w:hAnsi="Times New Roman"/>
          <w:color w:val="000000"/>
          <w:sz w:val="20"/>
        </w:rPr>
        <w:t xml:space="preserve"> </w:t>
      </w:r>
      <w:r>
        <w:rPr>
          <w:rFonts w:ascii="Times New Roman" w:hAnsi="Times New Roman"/>
          <w:b/>
          <w:color w:val="000000"/>
          <w:sz w:val="20"/>
        </w:rPr>
        <w:t>Unresolved Staff Comments.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sz w:val="20"/>
        </w:rPr>
      </w:pPr>
      <w:bookmarkStart w:id="6" w:name="item_1c_cybersecurity"/>
      <w:bookmarkEnd w:id="6"/>
      <w:r>
        <w:rPr>
          <w:rFonts w:ascii="Times New Roman" w:hAnsi="Times New Roman"/>
          <w:b/>
          <w:color w:val="000000"/>
          <w:sz w:val="20"/>
        </w:rPr>
        <w:t>Item 1C. Cybersecurity.</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data related to our clinical trials and employees (“Information Systems and Data”).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information security function is led by our Director of IT, with whom we have worked since formation, who helps identify, assess and manage the Company’s cybersecurity threats and risks. The information security function identifies and assesses risks from cybersecurity threats by monitoring and evaluating our threat environment and the Company’s risk profile using various methods including, for example automated tools, subscribing to reports and services that identify certain cybersecurity threats, conducting threat assessments for internal and external threats, engaging third parties for threat assessments, and conducting assessments to identify vulnerabilities. Our assessment and management of material risks from cybersecurity threats are integrated into our risk management processes. For example, our Director of IT and certain management, including our CFO, evaluate material risks from cybersecurity threats against our overall business objectives and our CFO periodically reports to the audit committee of the board of directors, which evaluates our overall enterprise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Depending on the environment, systems, and data, we implement and maintain various technical, physical, and organizational measures, processes, standards and policies designed to manage and mitigate material risks from cybersecurity threats to our Information Systems and Data, including, for example: risk assessments, encryption of certain data, segregation of certain data, network security controls, physical security controls, asset management, employee training, penetration testing, and cybersecurity insurance. We use third-party service providers to assist us from time to time to identify, assess, and manage material risks from cybersecurity threats, including for example penetration testing firms, dark web monitoring services, and professional services firms, including legal counsel.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use third-party service providers to perform a variety of functions throughout our business, such as application providers, hosting companies, contract research organizations, and contract manufacturing organizations. We utilize certain vendor management processes to help manage cybersecurity risks associated with our use of certain these providers, including, for example, risk assessments and reviews of the provider’s written security program documentation. Our vendor management processes may vary depending on the nature of the services provided, the sensitivity of the Information Systems and Data at issue, and the identity of the provider.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a description of the risks from cybersecurity threats that may materially affect the Company and how they may do so, see our risk factors under Part 1. Item 1A. Risk Factors in this Annual Report on Form 10-K, including the rick factor entitled "If our information technology systems, or those of the third parties with whom we work, or our data, are or were compromised, we could experience adverse consequences resulting from such compromise, including but not limited to, a significant disruption of our product development programs and our ability to operate our business effectively, regulatory investigations or actions, litigation, fines and penalties, reputational harm, loss of revenue or profits, and other adverse consequences."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board of directors addresses the Company’s cybersecurity risk management as part of its general oversight function. The board of directors’ audit committee is responsible for overseeing Company’s cybersecurity risk management processes, including oversight and mitigation of risks from cybersecurity threats.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cybersecurity risk assessment and management processes are implemented and maintained by certain Company management, including the CFO, the COO and the Director of IT having over 30 years of information security experience. The CFO and COO each have over 10 years of experience in roles with responsibility for overseeing information technology and security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CFO is responsible for hiring appropriate personnel, helping to integrate cybersecurity risk considerations into the Company’s overall risk management strategy, communicating key priorities to relevant personnel, helping prepare for cybersecurity incidents, approving cybersecurity processes, and reviewing security assessments and other security-related reports.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cybersecurity incident response processes are designed to escalate certain cybersecurity incidents to members of management depending on the circumstances, including the CFO, COO and CEO, who help the Company mitigate and remediate cybersecurity incidents of which they are notified. In addition, the Company’s incident response processes include reporting to the audit committee for certain cybersecurity incidents.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audit committee receives periodic reports from our CFO concerning the Company’s significant cybersecurity threats and risk and the processes the Company has implemented to address them. The audit committee also has access to various reports, summaries or presentations related to cybersecurity threats, risk and mitigation.</w:t>
      </w:r>
    </w:p>
    <w:p>
      <w:pPr>
        <w:pStyle w:val="TextBody"/>
        <w:bidi w:val="0"/>
        <w:spacing w:before="240" w:after="283"/>
        <w:jc w:val="left"/>
        <w:rPr>
          <w:rFonts w:ascii="Times New Roman" w:hAnsi="Times New Roman"/>
          <w:sz w:val="20"/>
        </w:rPr>
      </w:pPr>
      <w:bookmarkStart w:id="7" w:name="item_2_properties"/>
      <w:bookmarkEnd w:id="7"/>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lease approximately 3,900 square feet of office space for our principal executive offices in New York, New York, under an operating lease that expires on February 28, 2027, with no renewal option. We are also leasing approximately 10,000 square feet of space located in the Martin Biscuit Building in Birmingham, Alabama. The lease is a 68-month term, expiring on October 31, 2029 and has an option for a five-year extension. We developed approximately 5,250 square feet of this space as laboratory space, as well as approximately 3,700 square feet as office and conference space. Our Birmingham facilities are both located within Qualified Opportunity Zones as defined in Section 1400Z-2 of the Internal Revenue Code. We will seek to use commercially reasonable efforts to expand our facilities within Qualified Opportunity Zones, as long as it remains consistent with the best interests of the Company. We believe that our facilities are adequate to meet our current needs and that additional space can be obtained on commercially reasonable terms as needed.</w:t>
      </w:r>
    </w:p>
    <w:p>
      <w:pPr>
        <w:pStyle w:val="TextBody"/>
        <w:bidi w:val="0"/>
        <w:spacing w:before="240" w:after="283"/>
        <w:jc w:val="left"/>
        <w:rPr>
          <w:rFonts w:ascii="Times New Roman" w:hAnsi="Times New Roman"/>
          <w:sz w:val="20"/>
        </w:rPr>
      </w:pPr>
      <w:bookmarkStart w:id="8" w:name="item_3_legal_proceedings"/>
      <w:bookmarkEnd w:id="8"/>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become involved in various legal proceedings arising in the ordinary course of our business. We are not currently a party to any material legal proceedings that we believe could have a material adverse effect on our business, operating results or financial condition.</w:t>
      </w:r>
    </w:p>
    <w:p>
      <w:pPr>
        <w:pStyle w:val="TextBody"/>
        <w:bidi w:val="0"/>
        <w:spacing w:before="240" w:after="283"/>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part_ii"/>
      <w:bookmarkEnd w:id="10"/>
      <w:r>
        <w:rPr>
          <w:rFonts w:ascii="Times New Roman" w:hAnsi="Times New Roman"/>
          <w:b/>
          <w:color w:val="000000"/>
          <w:sz w:val="20"/>
        </w:rPr>
        <w:t>PART II</w:t>
      </w:r>
    </w:p>
    <w:p>
      <w:pPr>
        <w:pStyle w:val="TextBody"/>
        <w:bidi w:val="0"/>
        <w:spacing w:before="120" w:after="283"/>
        <w:jc w:val="both"/>
        <w:rPr>
          <w:rFonts w:ascii="Times New Roman" w:hAnsi="Times New Roman"/>
          <w:sz w:val="20"/>
        </w:rPr>
      </w:pPr>
      <w:bookmarkStart w:id="11" w:name="item_5_market_for_registrants_common_equ"/>
      <w:bookmarkEnd w:id="11"/>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Market Information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common stock began trading on The Nasdaq Stock Market LLC under the symbol “INAB” on July 30, 2021. Prior to that time, there was no public market for our common stock.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March 9, 2025, there were approximately 122 stockholders of record.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 </w:t>
      </w:r>
    </w:p>
    <w:p>
      <w:pPr>
        <w:pStyle w:val="TextBody"/>
        <w:bidi w:val="0"/>
        <w:spacing w:before="240" w:after="283"/>
        <w:jc w:val="both"/>
        <w:rPr>
          <w:rFonts w:ascii="Times New Roman" w:hAnsi="Times New Roman"/>
          <w:sz w:val="20"/>
        </w:rPr>
      </w:pPr>
      <w:r>
        <w:rPr>
          <w:rFonts w:ascii="Times New Roman" w:hAnsi="Times New Roman"/>
          <w:b/>
          <w:color w:val="000000"/>
          <w:sz w:val="20"/>
        </w:rPr>
        <w:t>Dividend Policy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never declared or paid any cash dividends on our capital stock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Recent Sales of Unregistered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sz w:val="20"/>
        </w:rPr>
      </w:pPr>
      <w:r>
        <w:rPr>
          <w:rFonts w:ascii="Times New Roman" w:hAnsi="Times New Roman"/>
          <w:b/>
          <w:color w:val="000000"/>
          <w:sz w:val="20"/>
        </w:rPr>
        <w:t>Issuer Purchases of Equity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both"/>
        <w:rPr>
          <w:rFonts w:ascii="Times New Roman" w:hAnsi="Times New Roman"/>
          <w:sz w:val="20"/>
        </w:rPr>
      </w:pPr>
      <w:bookmarkStart w:id="12" w:name="selected_financial_data"/>
      <w:bookmarkStart w:id="13" w:name="item_6_reserved"/>
      <w:bookmarkEnd w:id="12"/>
      <w:bookmarkEnd w:id="13"/>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4" w:name="item_7_managements_discussion_analysis_f"/>
      <w:bookmarkEnd w:id="14"/>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You should read the following discussion of our financial condition and results of operations in conjunction with the financial statements and the related notes included elsewhere in this Annual Report on Form 10-K.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10-K, particularly in “Special Note Regarding Forward-Looking Statements” and “Risk Factors.”</w:t>
      </w:r>
    </w:p>
    <w:p>
      <w:pPr>
        <w:pStyle w:val="TextBody"/>
        <w:bidi w:val="0"/>
        <w:spacing w:before="240" w:after="283"/>
        <w:jc w:val="both"/>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120"/>
        <w:jc w:val="both"/>
        <w:rPr>
          <w:rFonts w:ascii="Times New Roman" w:hAnsi="Times New Roman"/>
          <w:sz w:val="20"/>
        </w:rPr>
      </w:pPr>
      <w:r>
        <w:rPr>
          <w:rFonts w:ascii="Times New Roman" w:hAnsi="Times New Roman"/>
          <w:color w:val="000000"/>
          <w:sz w:val="20"/>
        </w:rPr>
        <w:t>We are a leading clinical-stage biopharmaceutical company focused on the discovery, development and commercialization of gamma-delta T cell product candidates and T cell engagers ("TCEs") for cancer and autoimmune diseases. We are the most clinically advanced gamma-delta T cell-focused company and are utilizing our suite of DeltEx platform technologies as we aspire to eliminate cancer cells to achieve our mission of what we refer to as Cancer Zero</w:t>
      </w:r>
      <w:r>
        <w:rPr>
          <w:rFonts w:ascii="Times New Roman" w:hAnsi="Times New Roman"/>
          <w:color w:val="000000"/>
          <w:sz w:val="13"/>
        </w:rPr>
        <w:t>TM</w:t>
      </w:r>
      <w:r>
        <w:rPr>
          <w:rFonts w:ascii="Times New Roman" w:hAnsi="Times New Roman"/>
          <w:color w:val="000000"/>
          <w:sz w:val="20"/>
        </w:rPr>
        <w:t xml:space="preserve"> — the safe elimination of all cancer cells in every patient battling the disease. We develop </w:t>
      </w:r>
      <w:r>
        <w:rPr>
          <w:rFonts w:ascii="Times New Roman" w:hAnsi="Times New Roman"/>
          <w:i/>
          <w:color w:val="000000"/>
          <w:sz w:val="20"/>
        </w:rPr>
        <w:t xml:space="preserve">ex vivo </w:t>
      </w:r>
      <w:r>
        <w:rPr>
          <w:rFonts w:ascii="Times New Roman" w:hAnsi="Times New Roman"/>
          <w:color w:val="000000"/>
          <w:sz w:val="20"/>
        </w:rPr>
        <w:t>expanded and activated gamma-delta T cell candidates and TCEs based upon our deep expertise in gamma-delta T cell biology, proprietary genetic engineering, and cell-type specific manufacturing capabilities, which we refer to collectively as our DeltEx platform. Our platform employs allogeneic, autologous, induced pluripotent stem cell ("iPSC"), genetically modified cell therapy approaches, and TCEs that are designed to effectively identify and eradicate tumor or target cells. To date, we have conducted two primary investigator-sponsored Phase 1 clinical trials evaluating our gamma-delta T cell technologies in cancer patients, which have both completed primary enrollment. INB-100 is assessing our DeltEx Allogeneic (“Allo”) gamma-delta T cell therapy in adult patients with high-risk leukemias undergoing haploidentical stem cell transplantation (“HSCT”). INB-200 evaluated our DeltEx Drug Resistant Immunotherapy (“DRI”) in patients with newly diagnosed glioblastoma (“GBM”). Both trials have demonstrated encouraging clinical activity, including long-term durable remissions, with patients remaining alive and in remission or progression-free for more than four years.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INB-100, our first DeltEx allogeneic product candidate, was developed to assess the safety and tolerability of donor-derived manufactured expanded and activated gamma-delta T cells that do not undergo additional genetic modification. The Phase 1 trial of INB-100 has completed primary enrollment and a recommended Phase 2 dose ("RP2D") has been determined. We are currently enrolling an expansion cohort at the RP2D, with a target of up to an additional 15 patients (for a minimum of 25 total patients in the INB-100 Phase 1 trial), to confirm the improvements in relapse free and OS observed to date. We expect to complete the treatment of all patients in the expansion cohort in early 2026 with long-term follow-up results anticipated at a medical meeting in late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DeltEx DRI product candidate, INB-200, is being developed for newly diagnosed GBM. Patient dosing in the investigator-sponsored Phase 1 trial of INB-200 (NCT04165941) has been completed and we continue to follow patients for PFS and OS. In May 2025, we delivered an oral plenary presentation at the American Society of Clinical Oncology ("ASCO") Annual Meeting presenting longer-term patient follow-up data.</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INB-400 is our corporate-sponsored investigational new drug application (“IND”) for the Phase 2, multi-center clinical trial evaluating our DeltEx DRI technology in newly diagnosed GBM. Treatment of any enrolled patients has been completed and the IND remains open. In September 2024, following a pipeline prioritization review, we suspended further enrollment in the Phase 2 trial of INB-400 to conserve capital. The trial was designed to further evaluate genetically modified, DRI gamma-delta T cells in newly diagnosed GBM patients across multiple centers in the United States.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At the 2025 Annual Meeting of the Society of Neuro-Oncology (“SNO”), we presented consolidated data from the INB-200 (Phase 1) and INB-400 (Phase 2) trials in both poster and oral presentations.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This data was updated through December 31, 2025, and patients who received repeated doses of DeltEx DRI gamma-delta T cells reported an mPFS of 13.0 months and a mOS of 17.2+ months, with median overall survival continuing to grow. We continue to believe that our DeltEx DRI approach has the potential to address this significant unmet need and expect to provide further clinical updates, including additional mOS data from the total data set, at medical meetings in mid- and late- 2026.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believe our DeltEx DRI gamma-delta T cell therapeutic approach is demonstrating clinical activity and may have the potential applicability across multiple solid tumor types. In April 2023, we received Orphan Drug Designation from the FDA for both the autologous and allogeneic DeltEx DRI INB-400 product candidates, covering a broad range of malignant glioma indications, including relapsed and newly diagnosed GBM. We believe there may be potential regulatory designation pathways available for the autologous DeltEx DRI program in newly diagnosed GBM and intend to seek further guidance from the FDA regarding potential development and regulatory pathways in 2026. Following such regulatory guidance, we expect to evaluate potential funding sources and strategic opportunities to support continued development of this program toward potential commercialization.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Most recently we introduced INB-600, our proprietary, internally developed TCE platform. We have demonstrated that INB-619, a CD19 targeted gamma-delta TCE can efficiently and completely eliminate targeted B cells in a dose-dependent manner. Data presented at The American College of Rheumatology Convergence 2025 meeting (“ACR Convergence 2025”) highlighted the potential of INB-619 in B cell-driven autoimmune diseases such as systemic lupus erythematosus (“SLE”) and demonstrated deep B cell depletion through selective activation and expansion of gamma-delta T cells.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also have a portfolio of preclinical programs within our DeltEx pipeline which currently remain paused in development due to financial market conditions and prioritization. These include INB-300, a targeted non-signaling gamma-delta T cell based chimeric antigen receptor (“nsCAR”) construct which is applicable to both solid and liquid tumors, and INB-500, which encompasses our ability to produce gamma-delta T cells from iPSCs. iPSCs represent a significant step toward next generation approaches of cellular manufacturing for true allogeneic and potentially "off-the-shelf" innate cellular therapies. We presented additional preclinical data for INB-300 demonstrating our proof-of-concept in vitro studies, against the leukemia antigen targets CD33 and CD123, at the American Association for Cancer Research ("AACR") Annual Meeting in 2024. These data demonstrated the ability of our nsCAR constructs to distinguish between tumor tissue and healthy tissue.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2025 Private Placement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2025, we entered into a Securities Purchase Agreement (the “Purchase Agreement”) with the purchasers named therein (the “Investors”), pursuant to which we agreed to issue and sell shares of common stock (the “2025 Shares”) and, in lieu of common stock, pre-funded warrants (the “2025 Pre-Funded Warrants” and, together with the 2025 Shares, the “2025 Securities”) to purchase shares of common stock, in up to two closings in a private placement (the “2025 Private Placement”).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initial closing of the 2025 Private Placement occurred on December 22, 2025. At the initial closing, we issued and sold an aggregate of 5,127,029 shares of our common stock at a purchase price of $1.38 per share (the “2025 Share Price”) and, in lieu of shares of common stock, 9,452,677 pre-funded warrants to purchase one share of common stock (the “2025 Pre-Funded Warrants”) at a purchase price of $1.3799 per 2025 Pre-Funded Warrant (the “2025 Pre-Funded Warrant Price”), for net proceeds of $18.5 million, after deducting private placement fees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Purchase Agreement, subject to the occurrence of the Second Closing Trigger (as defined below), we also agreed to issue and sell to the Investors in a second closing up to an additional 14,579,706 shares of common stock or pre-funded warrants in lieu of common stock, at the 2025 Share Price and the 2025 Pre-Funded Warrant Price, respectively, for additional aggregate gross proceeds of approximately $20.1 million, before deducting placement agent fees and other private placement expenses. The Second Closing Trigger shall occur upon (i) the achievement, during the period commencing on the date of the initial closing and ending on December 31, 2026, of our presentation of animal model data for our INB-619 product candidate (the “INB-619 Milestone”), and (ii) either (A) the achievement of a volume weighted average price per share of equal to or greater than 200% of the 2025 Share Price (subject to appropriate, proportional adjustment for any stock splits or combinations of the common stock occurring after the date of the Purchase Agreement) measured during any five consecutive trading days during the 90 trading days following the date of our first announcement via a press release or Current Report on Form 8-K of the occurrence of the INB-619 Milestone (such period the “Measurement Period” and such price threshold requirement, the “Price Threshold”) or (b) our receipt of a written notice signed by the Investors holding a majority of the 2025 Securities outstanding from time to time and delivered to the Company during the Measurement Period that waives the Price Threshold for purposes of the second closing.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2025 Pre-Funded Warrants have an exercise price of $0.0001 per share. Each 2025 Pre-Funded Warrant is exercisable immediately and remains exercisable until exercised in full. In lieu of a cash payment to us in payment of the aggregate exercise price upon exercise of a 2025 Pre-Funded Warrant, the holder may elect instead to receive upon such exercise (either in whole or in part) the net number of shares of common stock determined according to a formula set forth in the 2025 Pre-Funded Warrants.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January 20, 2026, we filed a registration statement on Form S-3 to register for resale the 2025 Shares and the common stock underlying the 2025 Pre-Funded Warrants, which became effective on January 28,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June 5, 2025, we effected a reverse stock split at a ratio of one-for-thirty (the "Reverse Stock Split"). Pursuant to their terms, a proportionate adjustment was made to the per share exercise price and the number of shares issuable upon the exercise or vesting of all outstanding stock options and warrants, and the number of shares of our common stock authorized for issuance pursuant to our equity incentive plans was reduced proportionally. The Reverse Stock Split did not reduce the number of authorized shares of common stock and did not alter the par value. No fractional shares were issued as a result of the Reverse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Split. Stockholders of record who would have otherwise been entitled to receive a fractional share received a cash payment in lieu thereof.</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Pipeline Prioritization and Workforce Reduction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2024, we implemented a pipeline prioritization by suspending further development on INB-400 and focusing on development of INB-100 and reduced our workforce by approximately 49%, across all functions. In combination with this reduction, the executive management team and the Board also agreed to a 11% reduction in their cash compensation, effective as of September 1, 2024. In connection with the pipeline reprioritization, we suspended patient enrollment in the INB-400 Phase 2 clinical trial for newly diagnosed GBM while we seek additional funding sources, potential accelerated approval pathways and/or strategic opportunities to potentially partner this program. We continue to track the patients as we have not yet reached median OS and expect to provide additional updates in mid- and late- 2026.</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inception in 2016, our operations have focused on identifying and developing potential product candidates, conducting clinical trials, organizing and staffing, business planning, establishing our intellectual property portfolio, raising capital, and providing general and administrative support for these operations. We do not have any product candidates approved for sale and have not generated any revenue. We have funded our operations primarily through the sale of equity and equity-linked securities, including through our initial public offering ("IPO"), follow-on offering, our at-the-market ("ATM"), program with Cantor Fitzgerald &amp; Co. ("Cantor Fitzgerald"), and the private placements.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incur additional losses in the future as we advance our product candidates through clinical trials, seek to expand our product candidate portfolio through developing additional product candidates, grow our clinical, regulatory and quality capabilities, and incur costs associated with operating as a public company. Based on our business strategy, our existing cash of $27.1 million as of December 31, 2025, is not anticipated to fund our projected operating expenses and capital expenditure requirements after April 2027. Accordingly, there continues to be a substantial doubt about our ability to continue to operate as a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continue to maintain cash preservation measures to defer or reduce costs in the near term in order to preserve capital and increase financial flexibility given the ongoing market environment for biotechnology stocks. These cash preservation measures may impact our ability and the timing to execute our strategy, including our ability to achieve the anticipated milestones and the timing of regulatory filings for our preclinical and clinical programs. To continue to fund our operations, management has developed plans, which primarily consist of the pipeline prioritization, raising additional capital through some combination of equity and/or debt offerings, including through our ATM program, and identifying strategic collaborations, licensing or other arrangements to support development of our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as of March 9, 2026, we may receive an additional $6.7 million in aggregate proceeds if the holders of our Series C warrants exercise their warrants in full. Further, if not otherwise redeemed by us, we may also receive aggregate proceeds of up to $2.3 million from the exercise of our outstanding Series B warrants in full. There is no assurance, however, that we will receive any additional proceeds from the second closing of the 2025 Private Placement or the exercise of outstanding warrants or pre-funded warrants, that any additional financing or any revenue-generating collaboration will be available when needed, that management will be able to obtain financing or enter into a collaboration on terms acceptable to us, or that any additional financing or revenue generated through third-party collaborations will be sufficient to fund our operations. If additional capital is not available to us on a timely basis, or at all, we will be required to take additional actions beyond the cash preservation measures initiated to date to address our liquidity needs, including exploring other strategic options, continuing to further reduce operating expense or delaying, reducing the scope of, discontinuing or altering our research and development activities. For additional information, see “—Liquidity” below.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actual amount of cash that we will need to operate is subject to many factors, including those described in the section titled “Risk Factors.” The financial statements have been prepared on the basis that we will continue as a going concern and do not include adjustments that might result from the outcome of this uncertainty.</w:t>
      </w:r>
    </w:p>
    <w:p>
      <w:pPr>
        <w:pStyle w:val="TextBody"/>
        <w:bidi w:val="0"/>
        <w:spacing w:before="240" w:after="283"/>
        <w:jc w:val="both"/>
        <w:rPr>
          <w:rFonts w:ascii="Times New Roman" w:hAnsi="Times New Roman"/>
          <w:sz w:val="20"/>
        </w:rPr>
      </w:pPr>
      <w:r>
        <w:rPr>
          <w:rFonts w:ascii="Times New Roman" w:hAnsi="Times New Roman"/>
          <w:b/>
          <w:color w:val="000000"/>
          <w:sz w:val="20"/>
        </w:rPr>
        <w:t>Components of Our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expenses consist primarily of costs incurred for our research activities, including our discovery efforts and the development of our product candidates, and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employee-related expenses, including salaries, related benefits, severance payments and stock-based compensation expense for employees engaged in research and development functions;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fees paid to consultants for services directly related to our product development and regulatory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associated with conducting preclinical studies performed by ourselves, outside vendors or academic collaborators;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incurred in connection with conducting clinical trials including investigator grants and site payments for time and pass-through expenses and expenses incurred under agreements with contract research organizations ("CROs") as well as contract manufacturing organizations ("CMOs") and consultants that conduct and provide supplies for our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to manufacture drug product candidates for use in our preclinical studies and clinical trials;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associated with preclinical activities and development activities;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associated with our intellectual property portfolio;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costs related to compliance with regulatory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each product candidate. Preclinical expenses consist of external research and development costs associated with activities to support our current and future clinical programs but are not allocated by product candidate due to the overlap of the potential benefit of those efforts across multiple product candidates.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activities are central to our business. Although we have experienced recent decreases in our research and development expenses as a result of the pipeline prioritization implemented in September 2024, we expect that our research and development expenses will increase in the future as we continue clinical development for our product candidates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director and officer insurance expenses as a publicly traded company; and facility-related expenses, which include shared expenses for rent and maintenance of facilities and other operating costs not included in research and development.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Although we have experienced recent decreases in our general and administrative expenses as a result of the pipeline prioritization and related workforce reduction implemented in September 2024, we expect that our general and administrative expenses will increase in the future, contingent on additional funding as our organization and headcount needed in the future grow to support continued research and development activities and potential commercialization of our product candidates. These increases will likely include increased costs related to building a team to support our administrative, accounting and finance, communications, legal and business development efforts. In addition, we expect increased expenses associated with being a public company, including costs of additional personnel, accounting, audit, legal, regulatory and tax-related services associated with maintaining compliance with exchange listing and SEC requirements; director and officer insurance costs; and investor and public relations costs.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Severance and related charges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Severance and related charges include one-time costs related to the September 2024 workforce reduction, including severance payments and stock-based compensation expense resulting from acceleration in full of outstanding unvested stock options at the separation date for the impacted employees.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includes interest earned from certain bank accounts.</w:t>
      </w:r>
    </w:p>
    <w:p>
      <w:pPr>
        <w:pStyle w:val="TextBody"/>
        <w:bidi w:val="0"/>
        <w:spacing w:before="24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Comparison of the Years Ended December 31,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our results of operations for the years ended December 31, 2025 and 2024 (in thousands):</w:t>
      </w:r>
    </w:p>
    <w:p>
      <w:pPr>
        <w:pStyle w:val="TextBody"/>
        <w:bidi w:val="0"/>
        <w:jc w:val="both"/>
        <w:rPr/>
      </w:pPr>
      <w:r>
        <w:rPr/>
        <w:t> </w:t>
      </w:r>
    </w:p>
    <w:tbl>
      <w:tblPr>
        <w:tblW w:w="6876" w:type="dxa"/>
        <w:jc w:val="left"/>
        <w:tblInd w:w="0" w:type="dxa"/>
        <w:tblLayout w:type="fixed"/>
        <w:tblCellMar>
          <w:top w:w="28" w:type="dxa"/>
          <w:left w:w="28" w:type="dxa"/>
          <w:bottom w:w="28" w:type="dxa"/>
          <w:right w:w="28" w:type="dxa"/>
        </w:tblCellMar>
      </w:tblPr>
      <w:tblGrid>
        <w:gridCol w:w="2751"/>
        <w:gridCol w:w="146"/>
        <w:gridCol w:w="221"/>
        <w:gridCol w:w="771"/>
        <w:gridCol w:w="173"/>
        <w:gridCol w:w="152"/>
        <w:gridCol w:w="221"/>
        <w:gridCol w:w="771"/>
        <w:gridCol w:w="166"/>
        <w:gridCol w:w="146"/>
        <w:gridCol w:w="211"/>
        <w:gridCol w:w="736"/>
        <w:gridCol w:w="411"/>
      </w:tblGrid>
      <w:tr>
        <w:trPr/>
        <w:tc>
          <w:tcPr>
            <w:tcW w:w="2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Severance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19,861</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(19,440</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(19,440</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our research and development expenses for the years ended December 31, 2025 and 2024 (in thousands):</w:t>
      </w:r>
    </w:p>
    <w:p>
      <w:pPr>
        <w:pStyle w:val="TextBody"/>
        <w:bidi w:val="0"/>
        <w:jc w:val="both"/>
        <w:rPr/>
      </w:pPr>
      <w:r>
        <w:rPr/>
        <w:t> </w:t>
      </w:r>
    </w:p>
    <w:tbl>
      <w:tblPr>
        <w:tblW w:w="9047" w:type="dxa"/>
        <w:jc w:val="left"/>
        <w:tblInd w:w="0" w:type="dxa"/>
        <w:tblLayout w:type="fixed"/>
        <w:tblCellMar>
          <w:top w:w="28" w:type="dxa"/>
          <w:left w:w="28" w:type="dxa"/>
          <w:bottom w:w="28" w:type="dxa"/>
          <w:right w:w="28" w:type="dxa"/>
        </w:tblCellMar>
      </w:tblPr>
      <w:tblGrid>
        <w:gridCol w:w="5046"/>
        <w:gridCol w:w="146"/>
        <w:gridCol w:w="236"/>
        <w:gridCol w:w="756"/>
        <w:gridCol w:w="163"/>
        <w:gridCol w:w="163"/>
        <w:gridCol w:w="236"/>
        <w:gridCol w:w="756"/>
        <w:gridCol w:w="146"/>
        <w:gridCol w:w="146"/>
        <w:gridCol w:w="211"/>
        <w:gridCol w:w="631"/>
        <w:gridCol w:w="411"/>
      </w:tblGrid>
      <w:tr>
        <w:trPr/>
        <w:tc>
          <w:tcPr>
            <w:tcW w:w="50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INB-400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expenses (including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5,294</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Facility-related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3,039</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10,211</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(6,751</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Research and development expenses were $10.2 million for the year ended December 31, 2025, compared to $17.0 million for the prior year. The decrease was primarily due to a $4.4 million net decrease in direct costs related to our clinical trials, primarily related to our INB-200 and INB-400 programs, and a decrease of $2.4 million in personnel-related costs, primarily related to a decrease in salaries, stock-based compensation, benefits and payroll taxes, partially offset by an increase in discretionary bonuses.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were $9.7 million for the year ended December 31, 2025, compared to $12.6 million for the prior year. The decrease of $2.9 million was primarily due to decreases in insurance costs related to D&amp;O insurance premiums, professional services, and salaries, partially offset by an increase in discretionary bonuses, legal and consulting expenses.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Severance and related charges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Severance and related charges were $1.1 million for the year ended December 31, 2024. There were no such costs incurred during the year ended December 31, 2025. Severance and related charges for the year ended December 31, 2024 related to the workforce reduction and included stock-based compensation expense of $0.8 million resulting from acceleration in full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outstanding unvested stock options at the separation date for the impacted employees and $0.3 million related to severance payments.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was $0.4 million for the year ended December 31, 2025, compared to $0.2 million for the prior year. The increase was due to additional interest income earned from cash sweep accounts.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funded our operations primarily through the sale of equity and equity-linked securities, including through our IPO, follow-on offering, our ATM program and the Private Placements. Through December 31, 2025, we have raised an aggregate of $163.2 million of gross proceeds from the sale of our securities.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December 31, 2025, we had cash of $27.1 million which is only expected to fund our projected operating expenses and capital expenditure requirements through April 2027. We continue to deploy cash preservation measures to defer or reduce costs in the near term in order to preserve capital and increase financial flexibility given the ongoing market environment for biotechnology stocks. These cash preservation measures may impact our ability and the timing to execute our strategy, including our ability to achieve the anticipated milestones and the timing of regulatory filings for our preclinical and clinical programs. To continue to fund our operations, management has developed plans, which primarily consist of the pipeline prioritization, raising additional capital through some combination of equity and/or debt offerings, including through our ATM program, and identifying strategic collaborations, licensing or other arrangements to support development of our product candidates. We may also be eligible to receive up to approximately $20.1 million in additional gross proceeds in exchange for up to 14,579,706 shares of common stock (or, for certain investors, pre-funded warrants in lieu of common stock), subject to the achievement of certain milestone-driven conditions related to preclinical data for our CD-19 targeting INB-619 product candidate. There is no assurance, however, that we will receive any additional proceeds from these warrants or that any additional financing or any revenue-generating collaboration will be available, when needed. See Note 7, Warrants, for additional information. If we are unable to raise capital when needed or on acceptable terms, we could be forced to delay, reduce, or explore other strategic options for our research and development programs or other opportunities, or even terminate our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Warrant Exercises and Exchanges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2025, we entered into privately negotiated letter agreements with certain holders of outstanding Series A Warrants and Series B Warrants (the "Participating Holders") to (i) exercise, for cash, 239,293 Series A Warrants and 71,403 Series B Warrants for the purchase of an aggregate of 310,696 shares of common stock, in each case at a reduced exercise price of (a) $5.53 per share for Participating Holders who are directors or executive officers of the Company and (b) $5.35 per share for all other Participating Holders (the "Warrant Exercises") and (ii) exchange certain Series A Warrants and Series B Warrants for 41,014 pre-funded warrants, in each case for a cash payment of (a) $5.53 per warrant share for Participating Holders who are directors or executive officers of the Company and (b) $5.35 per warrant share for all other Participating Holders (the "Warrant Exchanges"), for aggregate net proceeds of $1.9 million. See Note 7, Warrants, in our financial statements contained elsewhere in this Annual Report for additional information.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ATM Program</w:t>
      </w:r>
    </w:p>
    <w:p>
      <w:pPr>
        <w:pStyle w:val="TextBody"/>
        <w:bidi w:val="0"/>
        <w:spacing w:before="120" w:after="283"/>
        <w:jc w:val="both"/>
        <w:rPr>
          <w:rFonts w:ascii="Times New Roman" w:hAnsi="Times New Roman"/>
          <w:sz w:val="20"/>
        </w:rPr>
      </w:pPr>
      <w:r>
        <w:rPr>
          <w:rFonts w:ascii="Times New Roman" w:hAnsi="Times New Roman"/>
          <w:color w:val="000000"/>
          <w:sz w:val="20"/>
        </w:rPr>
        <w:t>In November 2022, we filed a shelf registration statement on Form S-3 (File No. 333-268288) (the "2022 Shelf Registration Statement") with the SEC, which permitted the offering, issuance and sale by us of up to a maximum aggregate offering price of $200 million of our securities, of which $50 million of common stock may be issued and sold pursuant to an ATM program. We entered into a Controlled Equity Offering</w:t>
      </w:r>
      <w:r>
        <w:rPr>
          <w:rFonts w:ascii="Times New Roman" w:hAnsi="Times New Roman"/>
          <w:color w:val="000000"/>
          <w:sz w:val="13"/>
        </w:rPr>
        <w:t>SM</w:t>
      </w:r>
      <w:r>
        <w:rPr>
          <w:rFonts w:ascii="Times New Roman" w:hAnsi="Times New Roman"/>
          <w:color w:val="000000"/>
          <w:sz w:val="20"/>
        </w:rPr>
        <w:t xml:space="preserve"> sales agreement (the "Sales Agreement"), with Cantor Fitzgerald and Truist, under which Cantor Fitzgerald and Truist agreed to act as our sales agents to sell shares of our common stock, from time to time, through the ATM program. On March 8, 2024, we delivered a termination notice to Truist, removing them as a sales agent under the ATM program which became effective on March 14, 2024. During the year ended December 31, 2025, we sold an aggregate of 1,865,253 shares of common stock under the ATM program, resulting in net proceeds of approximately $8.6 million, after deducting underwriting discounts. As of March 9, 2026, $5.9 million remained available for the sale of our common stock under the ATM program.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2025, we filed a shelf registration statement on Form S-3 (File No. 333-291393) ("2025 Shelf Registration Statement") with the SEC, which would permit the offering, issuance and sale by us of up to a maximum aggregate offering price of $200 million of our securities and which has not yet been declared effective, to replace the expiring 2022 Shelf Registration Statement. The 2022 Shelf Registration Statement will remain in effect until the earlier of May 20, 2026 and the effective date of the 2025 Shelf Registration Statement.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the date of this Form 10-K, our public float was less than $75 million. As a result, we are subject to the limitations of General Instruction I.B.6 to Form S-3 until such time as our public float exceeds $75 million, which means we only have the capacity to sell shares up to one-third of our public float under shelf registration statements in any 12-month period. We will remain constrained by the limitations of General Instruction I.B.6 to Form S-3 until such time as our public float exceeds $75 million, at which time the number of securities we may sell under a Form S-3 registration statement will no longer be limited by limitations of General Instruction I.B.6 to Form S-3.</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expect our expenses to increase substantially contingent on additional funding in connection with our ongoing activities, particularly as we advance the preclinical activities and clinical trials of our product candidates. Our primary uses of capital are, and we expect will continue to be, compensation and related expenses, third-party clinical research and development services, the costs of manufacturing our clinical and preclinical product candidates, clinical costs, legal and other regulatory expenses and general overhead costs.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the process of testing drug candidates in clinical trials is costly, and the timing of progress in these trials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timing, progress, costs, and results of discovery, preclinical development, and clinical trials for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number of clinical trials required for regulatory approval of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any of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and timing of manufacturing clinical and commercial supplies of our current and future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and timing of future commercialization activities, including manufacturing, marketing, sales, and distribution, for any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maintain existing, and establish new, strategic collaborations, licensing, or other arrangements and the financial terms of any such agreements, including the timing and amount of any future milestone, royalty, or other payments due under any such agreement;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revenue, if any, received from commercial sales of our product candidates for which we receive marketing approval;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expenses to attract, hire and retain skilled personnel;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operating as a public company;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establish a commercially viable pricing structure and obtain approval for coverage and adequate reimbursement from third party and government payers;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addressing any potential interruptions, delays and/or cost increases resulting from public health crises, increased interest rates and geopolitical tensions, such as wars and terrorism;</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economic weakness, including inflation, or political instability in particular economies and markets;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we acquire or invest in businesses, products and technologies.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change in the outcome of any of these variables with respect to the development of a product candidate could mean a significant change in the costs and timing associated with the development of that product candidate.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Additionally, inflationary factors, such as increases in the cost of our clinical trial materials and supplies, interest rates, tariffs and overhead costs may adversely affect our operating results. Although we do not believe that inflation has had a material impact on our financial position or results of operations to date, we may experience increases in the near future (especially if inflation rates rise) on our operating costs, including our labor costs and research and development costs, due to supply chain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constraints, consequences associated with geopolitical tensions existing and any future tariffs enacted by the U.S. government and employee availability and wage increases, which may result in additional stress on our working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Since inception, we have not generated any product revenue and have incurred net losses and negative cash flows from our operations. We have not yet commercialized any of our product candidates, which are in various phases of preclinical and clinical development, and we do not expect to generate revenue from sales of any products for the foreseeable future, if at all. It is likely that we will seek third-party collaborators for the future commercialization of our product candidates that are approved for marketing. However, we may seek to commercialize our products at our own expense, which would require us to incur significant additional expenses for marketing, sales, manufacturing and distribution.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Until such time as we can generate significant revenue from product sales, if ever, we expect to continue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debt securities, it may result in dilution to our existing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including as a result of increases in inflation and interest rates, disruptions to, and volatility in, the credit and financial markets in the United States, tariffs and trade wars, and other geopolitical tensions, such as wars and terrorism and future U.S. government shutdowns. If we are unable to raise additional funds through equity or debt financings when needed, we may be required to delay, limit, reduce or explore other strategic options for our product development or future commercialization efforts or grant rights to develop and market products or product candidates that we would otherwise prefer to develop and market ourselves.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Material Cash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material cash requirements as of December 31, 2025 included operating lease commitments, including the lease of our current headquarters office in New York, New York, laboratory and office space in Birmingham, Alabama and a manufacturing service agreement with a third party to engage in research of cell therapy products. As of December 31, 2025, we had fixed lease payment obligations of $3.3 million, with $1.5 million payable within 12 months. See Note 13, Equipment and Facility Leases, for additional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disclosed above, we have no long-term debt and no material non-cancelable purchase commitments with service providers, as we have generally contracted on a cancelable, purchase-order basis. We enter into contracts in the normal course of business with equipment and reagent vendors, CROs, CMOs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These payments are not determinable.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summarizes our sources and uses of cash for each of the periods below (in thousands): </w:t>
      </w:r>
    </w:p>
    <w:p>
      <w:pPr>
        <w:pStyle w:val="TextBody"/>
        <w:bidi w:val="0"/>
        <w:jc w:val="both"/>
        <w:rPr/>
      </w:pPr>
      <w:r>
        <w:rPr/>
        <w:t> </w:t>
      </w:r>
    </w:p>
    <w:tbl>
      <w:tblPr>
        <w:tblW w:w="6132" w:type="dxa"/>
        <w:jc w:val="left"/>
        <w:tblInd w:w="0" w:type="dxa"/>
        <w:tblLayout w:type="fixed"/>
        <w:tblCellMar>
          <w:top w:w="28" w:type="dxa"/>
          <w:left w:w="28" w:type="dxa"/>
          <w:bottom w:w="28" w:type="dxa"/>
          <w:right w:w="28" w:type="dxa"/>
        </w:tblCellMar>
      </w:tblPr>
      <w:tblGrid>
        <w:gridCol w:w="3466"/>
        <w:gridCol w:w="146"/>
        <w:gridCol w:w="221"/>
        <w:gridCol w:w="771"/>
        <w:gridCol w:w="173"/>
        <w:gridCol w:w="152"/>
        <w:gridCol w:w="221"/>
        <w:gridCol w:w="77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(12,712</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28,638</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15,926</w:t>
            </w:r>
          </w:p>
        </w:tc>
        <w:tc>
          <w:tcPr>
            <w:tcW w:w="1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used in operating activities was $12.7 million during the year ended December 31, 2025, primarily due to our net loss of $19.4 million, partially offset by our non-cash charges of $5.7 million. Non-cash charges consisted primarily of $3.2 million in stock-based compensation for the year, $1.5 million in amortization of operating and financing leases, and $1.0 million in depreciation expense.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used in operating activities was $24.1 million during the year ended December 31, 2024, primarily due to our net loss of $30.4 million, partially offset by our non-cash charges of $7.7 million. Non-cash charges consisted primarily of $5.0 million in stock-based compensation due to increased employee headcount resulting from growth in our business, $1.7 million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amortization of operating and financing leases, and $1.0 million in depreciation expense. The non-cash charges were offset by a decrease of $1.4 million in changes in operating assets and liabilities.</w:t>
      </w:r>
    </w:p>
    <w:p>
      <w:pPr>
        <w:pStyle w:val="TextBody"/>
        <w:bidi w:val="0"/>
        <w:spacing w:before="240" w:after="283"/>
        <w:jc w:val="both"/>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was nil during the year ended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was $0.2 million during the year ended December 31, 2024, primarily due to purchases of property and equipment and construction in progress activity in relation to leasehold improvements to the leased space located in Alabama.</w:t>
      </w:r>
    </w:p>
    <w:p>
      <w:pPr>
        <w:pStyle w:val="TextBody"/>
        <w:bidi w:val="0"/>
        <w:spacing w:before="240" w:after="283"/>
        <w:jc w:val="both"/>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provided by financing activities was $28.6 million during the year ended December 31, 2025, primarily due to $18.5 million in net proceeds received from the 2025 Private Placement, $8.6 million in net proceeds received from our ATM program, and $2.3 million in proceeds received from the exercise of warrants, partially offset by $0.7 million in principal payments on finance leases.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provided by financing activities was $14.2 million during the year ended December 31, 2024, primarily due to $11.2 million in proceeds received from the 2024 Private Placement and $3.8 million in proceeds received from our ATM program, partially offset by $0.8 million in principal payments of finance leases. </w:t>
      </w:r>
    </w:p>
    <w:p>
      <w:pPr>
        <w:pStyle w:val="TextBody"/>
        <w:bidi w:val="0"/>
        <w:spacing w:before="240" w:after="283"/>
        <w:jc w:val="both"/>
        <w:rPr>
          <w:rFonts w:ascii="Times New Roman" w:hAnsi="Times New Roman"/>
          <w:sz w:val="20"/>
        </w:rPr>
      </w:pPr>
      <w:r>
        <w:rPr>
          <w:rFonts w:ascii="Times New Roman" w:hAnsi="Times New Roman"/>
          <w:b/>
          <w:color w:val="000000"/>
          <w:sz w:val="20"/>
        </w:rPr>
        <w:t>Critical Accounting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This Management’s Discussion and Analysis of Financial Condition and Results of Operations is based on our financial statements, which are prepared in accordance with accounting principles generally accepted in the United States of America. The preparation of our financial statements requires us to make estimates, assumptions and judgments that affect the reported amounts of assets, liabilities, costs and expenses. We base our estimates and assumptions on historical experience, known trends and other factors that we believe to be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In making estimates and judgments, management employs critical accounting policies.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listed below our critical accounting policies that we believe to have the greatest potential impact on our financial statements. Historically, our assumptions, judgments and estimates relative to our critical accounting estimates have not differed materially from actual results. </w:t>
      </w:r>
    </w:p>
    <w:p>
      <w:pPr>
        <w:pStyle w:val="TextBody"/>
        <w:bidi w:val="0"/>
        <w:spacing w:before="240" w:after="283"/>
        <w:jc w:val="both"/>
        <w:rPr>
          <w:rFonts w:ascii="Times New Roman" w:hAnsi="Times New Roman"/>
          <w:sz w:val="20"/>
        </w:rPr>
      </w:pPr>
      <w:r>
        <w:rPr>
          <w:rFonts w:ascii="Times New Roman" w:hAnsi="Times New Roman"/>
          <w:b/>
          <w:color w:val="000000"/>
          <w:sz w:val="20"/>
        </w:rPr>
        <w:t>Critical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Our significant accounting policies are more fully described in Note 2 to our financial statements located elsewhere in this Annual Report on Form 10-K. We have listed below our critical accounting estimates and accounting policies that we believe to have the greatest potential impact on our financial statements. Historically, our assumptions, judgments and estimates relative to our critical accounting estimates have not differed materially from actual results.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expense all costs incurred in performing research and development activities. Research and development expenses include salaries and benefits, stock-based compensation expense, lab supplies and facility costs, as well as fees paid to nonemployees and entities that conduct certain research and development activities on our behalf and expenses incurred in connection with license agreements. Non-refundable advance payments for goods or services that will be used for rendered or future research and development activities are deferred and amortized over the period that the goods are delivered, or the related services are performed, subject to an assessment of recoverability.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part of the process of preparing our financial statements, we are required to estimate our accrued research and development expenses. We make estimates of our accrued expenses as of each balance sheet date in the financial statements based on facts and circumstances known to us at that time.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vary and may result in reporting amounts that are too high or too low in any particular period. To date, there have not been any material adjustments to our prior estimates of accrued research and development expenses.</w:t>
      </w:r>
    </w:p>
    <w:p>
      <w:pPr>
        <w:pStyle w:val="Heading2"/>
        <w:bidi w:val="0"/>
        <w:spacing w:before="240" w:after="120"/>
        <w:jc w:val="both"/>
        <w:rPr>
          <w:rFonts w:ascii="Times New Roman" w:hAnsi="Times New Roman"/>
          <w:i/>
          <w:color w:val="000000"/>
          <w:sz w:val="20"/>
        </w:rPr>
      </w:pPr>
      <w:r>
        <w:rPr>
          <w:rFonts w:ascii="Times New Roman" w:hAnsi="Times New Roman"/>
          <w:i/>
          <w:color w:val="000000"/>
          <w:sz w:val="20"/>
        </w:rPr>
        <w:t>Stock-Based Compensation</w:t>
      </w:r>
    </w:p>
    <w:p>
      <w:pPr>
        <w:pStyle w:val="TextBody"/>
        <w:bidi w:val="0"/>
        <w:jc w:val="both"/>
        <w:rPr>
          <w:rFonts w:ascii="Times New Roman" w:hAnsi="Times New Roman"/>
          <w:color w:val="000000"/>
          <w:sz w:val="20"/>
        </w:rPr>
      </w:pPr>
      <w:r>
        <w:rPr>
          <w:rFonts w:ascii="Times New Roman" w:hAnsi="Times New Roman"/>
          <w:color w:val="000000"/>
          <w:sz w:val="20"/>
        </w:rPr>
        <w:t>We measure all stock-based awards granted to employees, nonemployees and directors based on the fair value on the date of the grant and recognize compensation expense for those awards over the requisite service period, which is generally the vesting period of the respective award. We account for our stock-based compensation as an expense in the statements of operations based on the awards’ grant date fair values. We account for forfeitures as they occur by reversing any expense recognized for unvested awards. We estimate the fair value of options granted using the Black-Scholes option-pricing model. The Black-Scholes option-pricing model requires inputs based on certain subjective assumptions, including (a) the expected stock price volatility, (b) the calculation of expected term of the award, (c) the risk-free interest rate and (d) expected dividends. Due to the lack of company-specific historical and implied volatility data, we have based our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us, including stage of product development and life science industry focus. We use the simplified method as allowed by the SEC Staff Accounting Bulletin (SAB) No. 107, Share-Based Payment, to calculate the expected term for options granted to employees, as we do not have sufficient historical exercise data to provide a reasonable basis upon which to estimate the expected term. The risk-free interest rate is based on a treasury instrument whose term is consistent with the expected term of the stock options. The expected dividend yield is assumed to be zero as we have never paid dividends and have no current plans to pay any dividends on our common stock.</w:t>
      </w:r>
    </w:p>
    <w:p>
      <w:pPr>
        <w:pStyle w:val="TextBody"/>
        <w:bidi w:val="0"/>
        <w:spacing w:before="240" w:after="283"/>
        <w:jc w:val="both"/>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2023, the Financial Accounting Standards Board ("FASB") issued Accounting Standards Update ("ASU") 2023-09, Income Taxes (Topic 740): Improvements to Income Tax Disclosures, which expands the disclosures required for income taxes. This ASU is effective for fiscal years beginning after December 15, 2024, with early adoption permitted. We adopted the standard effective January 1, 2025 on a retrospective basis. See Note 10, Income Taxes, for further disclosure.</w:t>
      </w:r>
    </w:p>
    <w:p>
      <w:pPr>
        <w:pStyle w:val="TextBody"/>
        <w:bidi w:val="0"/>
        <w:spacing w:before="240" w:after="283"/>
        <w:jc w:val="both"/>
        <w:rPr>
          <w:rFonts w:ascii="Times New Roman" w:hAnsi="Times New Roman"/>
          <w:sz w:val="20"/>
        </w:rPr>
      </w:pPr>
      <w:r>
        <w:rPr>
          <w:rFonts w:ascii="Times New Roman" w:hAnsi="Times New Roman"/>
          <w:b/>
          <w:color w:val="000000"/>
          <w:sz w:val="20"/>
        </w:rPr>
        <w:t>Emerging Growth Company and Smaller Reporting Company Status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qualify as an emerging growth company ("EGC") as defined in the Jumpstart Our Business Startups Act ("JOBS Act"). As an EGC,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take advantage of these exemptions until December 31, 2026, or such earlier time that we are no longer an emerging growth company. We would cease to be an EGC earlier if we have more than $1.235 billion in annual revenue, we have more than $700.0 million in market value of our stock held by non-affiliates or we issue more than $1.0 billion of non-convertible debt securities over a three-year period. For so long as we remain an EGC, we are permitted, and intend, to rely on exemptions from certain disclosure requirements that are applicable to other public companies that are not EGCs. We may choose to take advantage of some, but not all, of the available exemptions.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 JOBS Act provides that an EGC can take advantage of an extended transition period for complying with new or revised accounting standards. This allows an EGC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 (i) irrevocably elect to "opt out" of such extended transition period or (ii) no longer qualify as an EGC. Therefore, the reported results of operations contained in our financial statements may not be directly comparable to those of other public companies.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also a "smaller reporting company," and we may continue to be a smaller reporting company until either (i) the market value of our stock held by non-affiliates is less than $250.0 million or (ii) our annual revenue is less than $100.0 million during the most recently completed fiscal year and the market value of our stock held by non-affiliates is less than $700.0 million.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we are a smaller reporting company at the time we cease to be an EGC,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and, similar to EGCs, smaller reporting companies have reduced disclosure obligations regarding executive compensation.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bookmarkStart w:id="15" w:name="item_7a_quantitative_qualitative_disclos"/>
      <w:bookmarkEnd w:id="15"/>
      <w:r>
        <w:rPr>
          <w:rFonts w:ascii="Times New Roman" w:hAnsi="Times New Roman"/>
          <w:b/>
          <w:color w:val="000000"/>
          <w:sz w:val="20"/>
        </w:rPr>
        <w:t>Item 7A.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smaller reporting company as defined by Item 10 of Regulation S-K and are not required to provide the information otherwise required under this item.</w:t>
      </w:r>
    </w:p>
    <w:p>
      <w:pPr>
        <w:pStyle w:val="TextBody"/>
        <w:bidi w:val="0"/>
        <w:spacing w:before="240" w:after="283"/>
        <w:jc w:val="both"/>
        <w:rPr>
          <w:rFonts w:ascii="Times New Roman" w:hAnsi="Times New Roman"/>
          <w:sz w:val="20"/>
        </w:rPr>
      </w:pPr>
      <w:bookmarkStart w:id="16" w:name="item_8_financial_statements_supplementar"/>
      <w:bookmarkEnd w:id="16"/>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financial statements required by this item, together with the report of our independent registered public accounting firm, appear beginning on page 107 of this Annual Report on Form 10-K.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spacing w:before="40" w:after="283"/>
        <w:jc w:val="left"/>
        <w:rPr/>
      </w:pPr>
      <w:r>
        <w:rPr/>
        <w:t> </w:t>
      </w:r>
    </w:p>
    <w:tbl>
      <w:tblPr>
        <w:tblW w:w="10097" w:type="dxa"/>
        <w:jc w:val="left"/>
        <w:tblInd w:w="0" w:type="dxa"/>
        <w:tblLayout w:type="fixed"/>
        <w:tblCellMar>
          <w:top w:w="28" w:type="dxa"/>
          <w:left w:w="28" w:type="dxa"/>
          <w:bottom w:w="28" w:type="dxa"/>
          <w:right w:w="28" w:type="dxa"/>
        </w:tblCellMar>
      </w:tblPr>
      <w:tblGrid>
        <w:gridCol w:w="9631"/>
        <w:gridCol w:w="466"/>
      </w:tblGrid>
      <w:tr>
        <w:trPr/>
        <w:tc>
          <w:tcPr>
            <w:tcW w:w="96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9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of_independent">
              <w:r>
                <w:rPr>
                  <w:rStyle w:val="InternetLink"/>
                  <w:rFonts w:ascii="Times New Roman" w:hAnsi="Times New Roman"/>
                  <w:color w:val="0000FF"/>
                  <w:sz w:val="20"/>
                  <w:u w:val="single"/>
                </w:rPr>
                <w:t>Report of Independent Registered Public Accounting Firm (CohnReznick LLP New York, New York, PCAOB ID 596)</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r>
      <w:tr>
        <w:trPr/>
        <w:tc>
          <w:tcPr>
            <w:tcW w:w="9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balance_sheets">
              <w:r>
                <w:rPr>
                  <w:rStyle w:val="InternetLink"/>
                  <w:rFonts w:ascii="Times New Roman" w:hAnsi="Times New Roman"/>
                  <w:color w:val="0000FF"/>
                  <w:sz w:val="20"/>
                  <w:u w:val="single"/>
                </w:rPr>
                <w:t>Balance Sheets</w:t>
              </w:r>
            </w:hyperlink>
            <w:hyperlink w:anchor="balance_sheets">
              <w:r>
                <w:rPr>
                  <w:rStyle w:val="InternetLink"/>
                  <w:rFonts w:ascii="Times New Roman" w:hAnsi="Times New Roman"/>
                  <w:color w:val="0000FF"/>
                  <w:sz w:val="20"/>
                </w:rPr>
                <w:t xml:space="preserve"> </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r>
      <w:tr>
        <w:trPr/>
        <w:tc>
          <w:tcPr>
            <w:tcW w:w="9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operations">
              <w:r>
                <w:rPr>
                  <w:rStyle w:val="InternetLink"/>
                  <w:rFonts w:ascii="Times New Roman" w:hAnsi="Times New Roman"/>
                  <w:color w:val="0000FF"/>
                  <w:sz w:val="20"/>
                  <w:u w:val="single"/>
                </w:rPr>
                <w:t>Statements of Operations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r>
      <w:tr>
        <w:trPr/>
        <w:tc>
          <w:tcPr>
            <w:tcW w:w="9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redeemable_convertible">
              <w:r>
                <w:rPr>
                  <w:rStyle w:val="InternetLink"/>
                  <w:rFonts w:ascii="Times New Roman" w:hAnsi="Times New Roman"/>
                  <w:color w:val="0000FF"/>
                  <w:sz w:val="20"/>
                  <w:u w:val="single"/>
                </w:rPr>
                <w:t>Statements of Changes in Stockholders’ Equity</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r>
      <w:tr>
        <w:trPr/>
        <w:tc>
          <w:tcPr>
            <w:tcW w:w="9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tatements_of_cash_flows">
              <w:r>
                <w:rPr>
                  <w:rStyle w:val="InternetLink"/>
                  <w:rFonts w:ascii="Times New Roman" w:hAnsi="Times New Roman"/>
                  <w:color w:val="0000FF"/>
                  <w:sz w:val="20"/>
                  <w:u w:val="single"/>
                </w:rPr>
                <w:t>Statements of Cash Flows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r>
      <w:tr>
        <w:trPr/>
        <w:tc>
          <w:tcPr>
            <w:tcW w:w="96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Financial Statements</w:t>
              </w:r>
            </w:hyperlink>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00"/>
        <w:jc w:val="center"/>
        <w:rPr>
          <w:rFonts w:ascii="Times New Roman" w:hAnsi="Times New Roman"/>
          <w:b/>
          <w:color w:val="000000"/>
          <w:sz w:val="20"/>
        </w:rPr>
      </w:pPr>
      <w:bookmarkStart w:id="17" w:name="report_of_independent"/>
      <w:bookmarkEnd w:id="17"/>
      <w:r>
        <w:rPr>
          <w:rFonts w:ascii="Times New Roman" w:hAnsi="Times New Roman"/>
          <w:b/>
          <w:color w:val="000000"/>
          <w:sz w:val="20"/>
        </w:rPr>
        <w:t>Report of Independent Registered Public Accounting Firm</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To the Board of Directors and Stockholders</w:t>
      </w:r>
    </w:p>
    <w:p>
      <w:pPr>
        <w:pStyle w:val="TextBody"/>
        <w:bidi w:val="0"/>
        <w:jc w:val="both"/>
        <w:rPr>
          <w:rFonts w:ascii="Times New Roman" w:hAnsi="Times New Roman"/>
          <w:color w:val="000000"/>
          <w:sz w:val="20"/>
        </w:rPr>
      </w:pPr>
      <w:r>
        <w:rPr>
          <w:rFonts w:ascii="Times New Roman" w:hAnsi="Times New Roman"/>
          <w:color w:val="000000"/>
          <w:sz w:val="20"/>
        </w:rPr>
        <w:t>IN8bio, Inc.</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Opinion on the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audited the accompanying balance sheets of IN8bio, Inc. (the “Company”) as of December 31, 2025 and 2024, and the related statements of operations, changes in stockholders’ equity and cash flows for the years then ended,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jc w:val="both"/>
        <w:rPr/>
      </w:pPr>
      <w:r>
        <w:rPr/>
        <w:t> </w:t>
      </w:r>
    </w:p>
    <w:p>
      <w:pPr>
        <w:pStyle w:val="TextBody"/>
        <w:bidi w:val="0"/>
        <w:jc w:val="both"/>
        <w:rPr>
          <w:rFonts w:ascii="Times New Roman" w:hAnsi="Times New Roman"/>
          <w:color w:val="000000"/>
          <w:sz w:val="20"/>
          <w:u w:val="single"/>
        </w:rPr>
      </w:pPr>
      <w:r>
        <w:rPr>
          <w:rFonts w:ascii="Times New Roman" w:hAnsi="Times New Roman"/>
          <w:color w:val="000000"/>
          <w:sz w:val="20"/>
          <w:u w:val="single"/>
        </w:rPr>
        <w:t>The Company's Ability to Continue as a Going Concern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accompanying financial statements have been prepared assuming that the Company will continue as a going concern. As discussed in Note 1 to the financial statements, the Company has incurred recurring losses from operations since inception and has stated that substantial doubt exists about the Company's ability to continue as a going concern. Management's plans in regard to these matters are also described in Note 1. The financial statements do not include any adjustments that might result from the outcome of this uncertainty.</w:t>
      </w:r>
    </w:p>
    <w:p>
      <w:pPr>
        <w:pStyle w:val="TextBody"/>
        <w:bidi w:val="0"/>
        <w:spacing w:before="120" w:after="283"/>
        <w:jc w:val="both"/>
        <w:rPr>
          <w:rFonts w:ascii="Times New Roman" w:hAnsi="Times New Roman"/>
          <w:color w:val="000000"/>
          <w:sz w:val="20"/>
          <w:u w:val="single"/>
        </w:rPr>
      </w:pPr>
      <w:r>
        <w:rPr>
          <w:rFonts w:ascii="Times New Roman" w:hAnsi="Times New Roman"/>
          <w:color w:val="000000"/>
          <w:sz w:val="20"/>
          <w:u w:val="single"/>
        </w:rPr>
        <w:t>Basis for Opinion</w:t>
      </w:r>
    </w:p>
    <w:p>
      <w:pPr>
        <w:pStyle w:val="TextBody"/>
        <w:bidi w:val="0"/>
        <w:spacing w:before="116" w:after="283"/>
        <w:jc w:val="both"/>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1" w:after="283"/>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from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121" w:after="283"/>
        <w:jc w:val="both"/>
        <w:rPr/>
      </w:pPr>
      <w:r>
        <w:rPr/>
        <w:t> </w:t>
      </w:r>
    </w:p>
    <w:p>
      <w:pPr>
        <w:pStyle w:val="TextBody"/>
        <w:bidi w:val="0"/>
        <w:spacing w:before="121" w:after="283"/>
        <w:jc w:val="both"/>
        <w:rPr>
          <w:rFonts w:ascii="Times New Roman" w:hAnsi="Times New Roman"/>
          <w:color w:val="000000"/>
          <w:sz w:val="20"/>
        </w:rPr>
      </w:pPr>
      <w:r>
        <w:rPr>
          <w:rFonts w:ascii="Times New Roman" w:hAnsi="Times New Roman"/>
          <w:color w:val="000000"/>
          <w:sz w:val="20"/>
        </w:rPr>
        <w:t>/s/ CohnReznick LLP</w:t>
      </w:r>
    </w:p>
    <w:p>
      <w:pPr>
        <w:pStyle w:val="TextBody"/>
        <w:bidi w:val="0"/>
        <w:spacing w:before="121" w:after="283"/>
        <w:jc w:val="both"/>
        <w:rPr/>
      </w:pPr>
      <w:r>
        <w:rPr/>
        <w:t> </w:t>
      </w:r>
    </w:p>
    <w:p>
      <w:pPr>
        <w:pStyle w:val="TextBody"/>
        <w:bidi w:val="0"/>
        <w:spacing w:before="121" w:after="283"/>
        <w:jc w:val="both"/>
        <w:rPr>
          <w:rFonts w:ascii="Times New Roman" w:hAnsi="Times New Roman"/>
          <w:color w:val="000000"/>
          <w:sz w:val="20"/>
        </w:rPr>
      </w:pPr>
      <w:r>
        <w:rPr>
          <w:rFonts w:ascii="Times New Roman" w:hAnsi="Times New Roman"/>
          <w:color w:val="000000"/>
          <w:sz w:val="20"/>
        </w:rPr>
        <w:t>We have served as the Company’s auditor since 2017</w:t>
      </w:r>
    </w:p>
    <w:p>
      <w:pPr>
        <w:pStyle w:val="TextBody"/>
        <w:bidi w:val="0"/>
        <w:spacing w:before="121" w:after="283"/>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New York, New York</w:t>
      </w:r>
    </w:p>
    <w:p>
      <w:pPr>
        <w:pStyle w:val="TextBody"/>
        <w:bidi w:val="0"/>
        <w:jc w:val="both"/>
        <w:rPr>
          <w:rFonts w:ascii="Times New Roman" w:hAnsi="Times New Roman"/>
          <w:color w:val="000000"/>
          <w:sz w:val="20"/>
        </w:rPr>
      </w:pPr>
      <w:r>
        <w:rPr>
          <w:rFonts w:ascii="Times New Roman" w:hAnsi="Times New Roman"/>
          <w:color w:val="000000"/>
          <w:sz w:val="20"/>
        </w:rPr>
        <w:t>March 12, 2026</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IN8BIO, INC.</w:t>
      </w:r>
    </w:p>
    <w:p>
      <w:pPr>
        <w:pStyle w:val="TextBody"/>
        <w:bidi w:val="0"/>
        <w:jc w:val="center"/>
        <w:rPr>
          <w:rFonts w:ascii="Times New Roman" w:hAnsi="Times New Roman"/>
          <w:sz w:val="20"/>
        </w:rPr>
      </w:pPr>
      <w:bookmarkStart w:id="18" w:name="balance_sheets"/>
      <w:bookmarkEnd w:id="18"/>
      <w:r>
        <w:rPr>
          <w:rFonts w:ascii="Times New Roman" w:hAnsi="Times New Roman"/>
          <w:b/>
          <w:color w:val="000000"/>
          <w:sz w:val="20"/>
        </w:rPr>
        <w:t>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share and per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02"/>
        <w:gridCol w:w="146"/>
        <w:gridCol w:w="213"/>
        <w:gridCol w:w="853"/>
        <w:gridCol w:w="166"/>
        <w:gridCol w:w="146"/>
        <w:gridCol w:w="213"/>
        <w:gridCol w:w="853"/>
        <w:gridCol w:w="413"/>
      </w:tblGrid>
      <w:tr>
        <w:trPr/>
        <w:tc>
          <w:tcPr>
            <w:tcW w:w="7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3,899</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8,366</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20,944</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finance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3,088</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par value $0.0001 per share; 10,000,000 shares authorized at December 31, 2025 and 2024. No shares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Common stock, par value $0.0001 per share; 490,000,000 shares authorized at December 31, 2025 and 2024; 9,766,132 and 2,416,066 shares issued and outstanding at December 31, 2025 and 2024, respectively</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136,127</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(121,656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14,478</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20,944</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color w:val="000000"/>
          <w:sz w:val="11"/>
        </w:rPr>
        <w:t>(1)</w:t>
      </w:r>
      <w:r>
        <w:rPr>
          <w:rFonts w:ascii="Times New Roman" w:hAnsi="Times New Roman"/>
          <w:color w:val="000000"/>
          <w:sz w:val="16"/>
        </w:rPr>
        <w:t>All share amounts and per share amounts disclosed in this Annual Report on Form 10-K have been restated to reflect a one-for-thirty reverse stock split effected in June 2025. See Note 1, Organization and Nature of Operations, for details.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i/>
          <w:color w:val="000000"/>
          <w:sz w:val="20"/>
        </w:rPr>
        <w:t>The accompanying notes are an integral part of these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IN8BIO, INC.</w:t>
      </w:r>
    </w:p>
    <w:p>
      <w:pPr>
        <w:pStyle w:val="TextBody"/>
        <w:bidi w:val="0"/>
        <w:jc w:val="center"/>
        <w:rPr>
          <w:rFonts w:ascii="Times New Roman" w:hAnsi="Times New Roman"/>
          <w:b/>
          <w:color w:val="000000"/>
          <w:sz w:val="20"/>
        </w:rPr>
      </w:pPr>
      <w:bookmarkStart w:id="19" w:name="statements_of_operations"/>
      <w:bookmarkEnd w:id="19"/>
      <w:r>
        <w:rPr>
          <w:rFonts w:ascii="Times New Roman" w:hAnsi="Times New Roman"/>
          <w:b/>
          <w:color w:val="000000"/>
          <w:sz w:val="20"/>
        </w:rPr>
        <w:t>Statements of Operations</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72"/>
        <w:gridCol w:w="146"/>
        <w:gridCol w:w="211"/>
        <w:gridCol w:w="931"/>
        <w:gridCol w:w="166"/>
        <w:gridCol w:w="146"/>
        <w:gridCol w:w="211"/>
        <w:gridCol w:w="931"/>
        <w:gridCol w:w="391"/>
      </w:tblGrid>
      <w:tr>
        <w:trPr/>
        <w:tc>
          <w:tcPr>
            <w:tcW w:w="7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Severance and related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Weighted-average number of shares used in computing net loss per common share – basic and diluted</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4,374,328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1,784,890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color w:val="000000"/>
          <w:sz w:val="11"/>
        </w:rPr>
        <w:t>(1)</w:t>
      </w:r>
      <w:r>
        <w:rPr>
          <w:rFonts w:ascii="Times New Roman" w:hAnsi="Times New Roman"/>
          <w:color w:val="000000"/>
          <w:sz w:val="16"/>
        </w:rPr>
        <w:t>All share amounts and per share amounts disclosed in this Annual Report on Form 10-K have been restated to reflect a one-for-thirty reverse stock split effected in June 2025. See Note 1, Organization and Nature of Operations, for details.</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IN8BIO, INC.</w:t>
      </w:r>
    </w:p>
    <w:p>
      <w:pPr>
        <w:pStyle w:val="TextBody"/>
        <w:bidi w:val="0"/>
        <w:jc w:val="center"/>
        <w:rPr>
          <w:rFonts w:ascii="Times New Roman" w:hAnsi="Times New Roman"/>
          <w:sz w:val="20"/>
        </w:rPr>
      </w:pPr>
      <w:bookmarkStart w:id="20" w:name="statements_of_redeemable_convertible"/>
      <w:bookmarkEnd w:id="20"/>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Changes in Stockholders’ Equity</w:t>
      </w:r>
    </w:p>
    <w:p>
      <w:pPr>
        <w:pStyle w:val="TextBody"/>
        <w:bidi w:val="0"/>
        <w:jc w:val="center"/>
        <w:rPr>
          <w:rFonts w:ascii="Times New Roman" w:hAnsi="Times New Roman"/>
          <w:sz w:val="20"/>
        </w:rPr>
      </w:pPr>
      <w:r>
        <w:rPr>
          <w:rFonts w:ascii="Times New Roman" w:hAnsi="Times New Roman"/>
          <w:b/>
          <w:color w:val="000000"/>
          <w:sz w:val="20"/>
        </w:rPr>
        <w:t>(In thousands, except share data)</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19"/>
        <w:gridCol w:w="146"/>
        <w:gridCol w:w="146"/>
        <w:gridCol w:w="691"/>
        <w:gridCol w:w="146"/>
        <w:gridCol w:w="146"/>
        <w:gridCol w:w="196"/>
        <w:gridCol w:w="375"/>
        <w:gridCol w:w="146"/>
        <w:gridCol w:w="146"/>
        <w:gridCol w:w="181"/>
        <w:gridCol w:w="586"/>
        <w:gridCol w:w="151"/>
        <w:gridCol w:w="146"/>
        <w:gridCol w:w="194"/>
        <w:gridCol w:w="677"/>
        <w:gridCol w:w="151"/>
        <w:gridCol w:w="146"/>
        <w:gridCol w:w="225"/>
        <w:gridCol w:w="694"/>
        <w:gridCol w:w="397"/>
      </w:tblGrid>
      <w:tr>
        <w:trPr/>
        <w:tc>
          <w:tcPr>
            <w:tcW w:w="45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4"/>
              </w:rPr>
            </w:pPr>
            <w:r>
              <w:rPr>
                <w:rFonts w:ascii="Times New Roman" w:hAnsi="Times New Roman"/>
                <w:b/>
                <w:color w:val="000000"/>
                <w:sz w:val="14"/>
              </w:rPr>
              <w:t>Common Stock</w:t>
            </w:r>
            <w:r>
              <w:rPr>
                <w:rFonts w:ascii="Times New Roman" w:hAnsi="Times New Roman"/>
                <w:b/>
                <w:color w:val="000000"/>
                <w:sz w:val="9"/>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Equity</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1,442,929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116,152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(91,219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24,937</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115,972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3,816</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of private placement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25</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856,499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6,127</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of private placement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5,099</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of private placement warrants,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(89</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w:t>
            </w:r>
          </w:p>
        </w:tc>
      </w:tr>
      <w:tr>
        <w:trPr/>
        <w:tc>
          <w:tcPr>
            <w:tcW w:w="4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5,000</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(30,437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(30,437</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2,416,066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136,127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(121,656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14,478</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of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1,865,253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8,566</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of common stock upon exercise of Series A, B and C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357,784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2,264</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Issuance of private placement common stock,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5,127,029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18,501</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3,189</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1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4"/>
              </w:rPr>
            </w:pPr>
            <w:r>
              <w:rPr>
                <w:rFonts w:ascii="Times New Roman" w:hAnsi="Times New Roman"/>
                <w:color w:val="000000"/>
                <w:sz w:val="14"/>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(19,440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(19,440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45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9,766,132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168,644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(141,096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27,558</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sz w:val="20"/>
        </w:rPr>
      </w:pPr>
      <w:r>
        <w:rPr>
          <w:rFonts w:ascii="Times New Roman" w:hAnsi="Times New Roman"/>
          <w:color w:val="000000"/>
          <w:sz w:val="11"/>
        </w:rPr>
        <w:t>(1)</w:t>
      </w:r>
      <w:r>
        <w:rPr>
          <w:rFonts w:ascii="Times New Roman" w:hAnsi="Times New Roman"/>
          <w:color w:val="000000"/>
          <w:sz w:val="16"/>
        </w:rPr>
        <w:t>All share amounts and per share amounts disclosed in this Annual Report on Form 10-K have been restated to reflect a one-for-thirty reverse stock split effected in June 2025. See Note 1, Organization and Nature of Operations, for details.</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IN8BIO, INC.</w:t>
      </w:r>
    </w:p>
    <w:p>
      <w:pPr>
        <w:pStyle w:val="TextBody"/>
        <w:bidi w:val="0"/>
        <w:jc w:val="center"/>
        <w:rPr>
          <w:rFonts w:ascii="Times New Roman" w:hAnsi="Times New Roman"/>
          <w:sz w:val="20"/>
        </w:rPr>
      </w:pPr>
      <w:bookmarkStart w:id="21" w:name="statements_of_cash_flows"/>
      <w:bookmarkEnd w:id="21"/>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Cash Flows</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pPr>
      <w:r>
        <w:rPr/>
        <w:t> </w:t>
      </w:r>
    </w:p>
    <w:tbl>
      <w:tblPr>
        <w:tblW w:w="10194" w:type="dxa"/>
        <w:jc w:val="left"/>
        <w:tblInd w:w="0" w:type="dxa"/>
        <w:tblLayout w:type="fixed"/>
        <w:tblCellMar>
          <w:top w:w="28" w:type="dxa"/>
          <w:left w:w="28" w:type="dxa"/>
          <w:bottom w:w="28" w:type="dxa"/>
          <w:right w:w="28" w:type="dxa"/>
        </w:tblCellMar>
      </w:tblPr>
      <w:tblGrid>
        <w:gridCol w:w="7231"/>
        <w:gridCol w:w="146"/>
        <w:gridCol w:w="211"/>
        <w:gridCol w:w="736"/>
        <w:gridCol w:w="166"/>
        <w:gridCol w:w="146"/>
        <w:gridCol w:w="211"/>
        <w:gridCol w:w="736"/>
        <w:gridCol w:w="611"/>
      </w:tblGrid>
      <w:tr>
        <w:trPr/>
        <w:tc>
          <w:tcPr>
            <w:tcW w:w="7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Short-term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Long-term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issuance costs from December 2023 issuance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issuance of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Series A, B and C warrants,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private placement common stock,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private placement warrants,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Principal payments on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14,184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at 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at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operating, financing and investing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Initial measurement of operating lease right-of-use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Initial measurement of finance lease right-of-use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modification of operating lease right-of-use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modification of finance lease right-of-use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Transfer of construction in progress to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IN8BIO, INC.</w:t>
      </w:r>
    </w:p>
    <w:p>
      <w:pPr>
        <w:pStyle w:val="TextBody"/>
        <w:bidi w:val="0"/>
        <w:jc w:val="center"/>
        <w:rPr>
          <w:rFonts w:ascii="Times New Roman" w:hAnsi="Times New Roman"/>
          <w:b/>
          <w:color w:val="000000"/>
          <w:sz w:val="20"/>
        </w:rPr>
      </w:pPr>
      <w:r>
        <w:rPr>
          <w:rFonts w:ascii="Times New Roman" w:hAnsi="Times New Roman"/>
          <w:b/>
          <w:color w:val="000000"/>
          <w:sz w:val="20"/>
        </w:rPr>
        <w:t>Statements of Cash Flows Continued</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provides a reconciliation of cash and restricted cash reported within the balance sheets that sum to the total of the same such amounts shown in the statements of cash flows:</w:t>
      </w:r>
    </w:p>
    <w:p>
      <w:pPr>
        <w:pStyle w:val="TextBody"/>
        <w:bidi w:val="0"/>
        <w:jc w:val="left"/>
        <w:rPr/>
      </w:pPr>
      <w:r>
        <w:rPr/>
        <w:t> </w:t>
      </w:r>
    </w:p>
    <w:tbl>
      <w:tblPr>
        <w:tblW w:w="5464" w:type="dxa"/>
        <w:jc w:val="left"/>
        <w:tblInd w:w="0" w:type="dxa"/>
        <w:tblLayout w:type="fixed"/>
        <w:tblCellMar>
          <w:top w:w="28" w:type="dxa"/>
          <w:left w:w="28" w:type="dxa"/>
          <w:bottom w:w="28" w:type="dxa"/>
          <w:right w:w="28" w:type="dxa"/>
        </w:tblCellMar>
      </w:tblPr>
      <w:tblGrid>
        <w:gridCol w:w="3061"/>
        <w:gridCol w:w="146"/>
        <w:gridCol w:w="211"/>
        <w:gridCol w:w="676"/>
        <w:gridCol w:w="146"/>
        <w:gridCol w:w="146"/>
        <w:gridCol w:w="211"/>
        <w:gridCol w:w="676"/>
        <w:gridCol w:w="19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w:t>
              <w:b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restricted cash, 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IN8BIO, INC.</w:t>
      </w:r>
    </w:p>
    <w:p>
      <w:pPr>
        <w:pStyle w:val="TextBody"/>
        <w:bidi w:val="0"/>
        <w:jc w:val="center"/>
        <w:rPr>
          <w:rFonts w:ascii="Times New Roman" w:hAnsi="Times New Roman"/>
          <w:b/>
          <w:color w:val="000000"/>
          <w:sz w:val="20"/>
        </w:rPr>
      </w:pPr>
      <w:bookmarkStart w:id="22" w:name="notes_to_financial_statements"/>
      <w:bookmarkEnd w:id="22"/>
      <w:r>
        <w:rPr>
          <w:rFonts w:ascii="Times New Roman" w:hAnsi="Times New Roman"/>
          <w:b/>
          <w:color w:val="000000"/>
          <w:sz w:val="20"/>
        </w:rPr>
        <w:t>Notes to Financial Statements</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0"/>
        </w:rPr>
        <w:t>1. ORGANIZATION AND NATURE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Organization and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IN8bio, Inc. (the "Company" "our" or "we") is a leading clinical-stage biopharmaceutical company focused on the discovery, development and commercialization of gamma-delta T cell product candidates for cancer and autoimmune diseases. The Company’s lead product candidates, INB-100, currently in an ongoing investigator-sponsored Phase 1 clinical trial of acute myeloid leukemia ("AML"), and INB-200/400, evaluating its DeltEx Drug Resistant Immunotherapy (“DRI”) in patients with newly diagnosed glioblastoma (“GBM”). Most recently the Company introduced INB-600, its proprietary, internally developed T cell engager ("TCE") platform. In addition, the Company’s DeltEx platform has yielded a broad portfolio of preclinical programs, including INB-300 and INB-500, focused on addressing a range of potential applications, from solid tumors to autoimmune diseases and hematological cancers.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Incysus, Inc. ("Incysus") was a corporation formed in the State of Delaware on November 23, 2015 and Incysus, Ltd. was incorporated in Bermuda on February 8, 2016. Incysus was the wholly owned United States subsidiary of Incysus, Ltd. On May 7, 2018, Incysus, Ltd. reincorporated in the United States in a domestication transaction (the "Domestication") in which Incysus, Ltd. converted into a newly formed Delaware corporation, Incysus Therapeutics, Inc. ("Incysus Therapeutics"). On July 24, 2019, Incysus Therapeutics merged with Incysus. Incysus Therapeutics subsequently changed its name to IN8bio, Inc. in August 2020. Following the Domestication in May 2018 and the merging of Incysus Therapeutics and Incysus in July 2019, the Company does not have any subsidiaries to consolidate. The Company is headquartered in New York, New York.</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Pipeline Prioritization and Workforce Reduction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September 2024, the Company announced a plan to optimize its resource allocation through a pipeline prioritization by suspending further development on INB-400 while seeking partnership opportunities and focusing on development of INB-100 and a workforce reduction of approximately 49%, across all functions. The Company incurred one-time costs of $1.1 million, consisting of stock-based compensation expense of $0.8 million resulting from acceleration in full of outstanding unvested stock options at the separation date for the impacted employees, and $0.3 million related to severance payments during the year ended December 31, 2024. In combination with this reduction, the executive management team and the Board agreed to a 11% reduction in their cash compensation, effective as of September 1, 2024. No costs related to these initiatives were incurred during the year ended December 31,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Reverse Stock Split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5, 2025, the Company effected a reverse stock split at a ratio of one-for-thirty (the "Reverse Stock Split"). Pursuant to their terms, a proportionate adjustment was made to the per share exercise price and the number of shares issuable upon the exercise or vesting of all outstanding stock options and warrants, and the number of shares of the Company’s common stock authorized for issuance pursuant to the Company’s equity incentive plans was reduced proportionally. The Reverse Stock Split did not reduce the number of authorized shares of common stock and did not alter the par value.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 fractional shares were issued as a result of the Reverse Stock Split. Stockholders of record who would have otherwise been entitled to receive a fractional share received a cash payment in lieu thereof. The Reverse Stock Split affected all stockholders proportionately and did not affect any stockholder’s percentage ownership of the Company’s common stock (except to the extent that the reverse stock split resulted in any stockholder owning only a fractional share). All share and per share amounts of common stock disclosed in this Annual Report on Form 10-K have been restated to reflect the Reverse Stock Split on a retroactive basis in all periods presented.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Going Concern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date, the Company has funded its operations primarily with proceeds from various public and private offerings of its common stock, preferred stock and warrants. The Company has incurred recurring losses and negative operating cash flows since its inception, including net losses of $19.4 million and $30.4 million for the years ended December 31, 2025 and 2024, respectively. As of December 31, 2025, the Company had an accumulated deficit of $141.1 million. The Company continues to deploy cash preservation measures to defer or reduce costs in the near term in order to preserve capital and increase financial flexibility given the ongoing market environment for biotechnology stocks. These cash preservation measures may impact the Company's ability and the timing to execute its strategy. This includes the Company's ability to achieve the anticipated milestones and the timing of data releases and/or regulatory filings for its preclinical and clinical programs.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not yet generated product sales and as a result has experienced operating losses since inception. The Company expects to incur additional losses in the future as it advances its product candidates through clinical trials, seeks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expand its product candidate portfolio through developing additional product candidates, grows its clinical, regulatory and quality capabilities, and incurs costs associated with operating as a public company. The actual amount of cash that the Company will need to operate is subject to many factors. Based on the Company’s business strategy, its existing cash of $27.1 million as of December 31, 2025 is not anticipated to fund the Company’s projected operating expenses and capital expenditure requirements beyond April 2027, and accordingly, there is substantial doubt about the Company’s ability to continue to operate as a going concern.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continues to maintain cash preservation measures to defer or reduce costs in the near term in order to preserve capital and increase financial flexibility. To continue to fund the operations of the Company beyond this time period, management has developed plans, which primarily consist of pipeline prioritization, raising additional capital through some combination of equity and/or debt offerings, including through ATM offerings and private placements of securities, and identifying strategic collaborations, licensing or other arrangements to support development of the Company’s product candidates. During the year ended December 31, 2025, the Company sold an aggregate of 5,127,029 shares of common stock and 9,452,677 Pre-Funded Warrants for net proceeds of $18.5 million after deducting placement agent fees and other estimated private placement expenses, along with an aggregate of 1,865,253 shares of its common stock under the ATM program, resulting in net proceeds of $8.6 million after deducting commissions and offering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Company may receive aggregate proceeds of up to $2.3 million from the exercise of its outstanding Series B ordinary warrants ("Series B warrants") if not otherwise redeemed by the Company and up to $6.7 million from the exercise of its outstanding Series C common stock purchase warrants (“Series C warrants”). See Note 7, Warrants, for additional information. There is no assurance, however, that the Company will receive any additional proceeds from these warrants or that any additional financing or any revenue-generating collaboration will be available when needed, that management of the Company will be able to obtain financing or enter into a collaboration on terms acceptable to the Company, or that any additional financing or revenue generated through third-party collaborations will be sufficient to fund our operations through this time period. If additional capital is not available on a timely basis, or at all, the Company will have to significantly delay, scale back or discontinue its research and development programs. If the Company becomes unable to continue as a going concern, it may have to terminate its operations and dispose of its assets and might realize significantly less than the values at which they are carried on its financial statements. These actions may cause the Company’s stockholders to lose all or part of their investment in the Company’s common stock. The accompanying financial statements have been prepared on the basis that the Company will continue as a going concern and do not include adjustments that might result from the outcome of this uncertainty.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prepared the accompanying financial statements in conformity with generally accepted accounting principles in the United States (“U.S. GAAP”).</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expenses during the reporting periods presented. Such estimates and assumptions are used for, but are not limited to, the accrual of research and development expenses, deferred tax assets and liabilities and the related valuation allowance, stock-based compensation, the useful lives of property and equipment and the valuation of warrants. The Company bases its estimates on historical experience, known trends and other market-specific or other relevant factors that it believes to be reasonable under the circumstances. Actual results could differ from those estimates.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instruments that potentially expose the Company to significant concentrations of credit risk consist primarily of cash and restricted cash. All of the Company’s cash and restricted cash is deposited in accounts with major financial institutions. Such deposits are in excess of the federally insured limits.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Property and equipment are stated at cost, less accumulated depreciation and amortization. Depreciation and amortization of property and equipment is calculated using the straight-line method over the estimated useful lives of the assets. Significant replacements and improvements are capitalized, while maintenance and repairs, which do not improve or extend the life of the respective assets, are charged to expense as incurred. The estimated useful lives of the Company’s respective assets are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42"/>
        <w:gridCol w:w="146"/>
        <w:gridCol w:w="146"/>
        <w:gridCol w:w="7479"/>
        <w:gridCol w:w="192"/>
      </w:tblGrid>
      <w:tr>
        <w:trPr/>
        <w:tc>
          <w:tcPr>
            <w:tcW w:w="2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7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242"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747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 Useful Life</w:t>
            </w:r>
          </w:p>
        </w:tc>
        <w:tc>
          <w:tcPr>
            <w:tcW w:w="192"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r>
      <w:tr>
        <w:trPr/>
        <w:tc>
          <w:tcPr>
            <w:tcW w:w="2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years</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7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The shorter of the useful life of the leasehold improvement or the remaining term of the lease </w:t>
            </w:r>
          </w:p>
        </w:tc>
        <w:tc>
          <w:tcPr>
            <w:tcW w:w="19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Costs for capital assets not yet placed into service are capitalized as construction in progress and depreciated and amortized in accordance with the above guidelines once placed into service. Upon retirement or disposal of property and equipment, the cost and related accumulated depreciation and amortization are removed from the balance sheet and any gain or loss is reflected in the statements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Long-lived assets, such as property and equipment, are reviewed for impairment whenever events or changes in circumstances indicate that the carrying amount of an asset may not be recoverable. Recoverability of assets to be held and used is measured by a comparison of the carrying amount of an asset to future undiscounted cash flows expected to be generated by the asset. Impairment losses are then measured by comparing the fair value of assets to their carrying amounts. There were no impairments recorded for the years ended December 31, 2025 and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and development costs are generally expensed as incurred and consist primarily of salaries and benefits, stock-based compensation expense, lab supplies and facility costs, as well as fees paid to nonemployees and entities that conduct certain research and development activities on the Company’s behalf and expenses incurred in connection with license agreements. Non-refundable advance payments for goods or services that will be used for rendered or future research and development activities are deferred and amortized over the period that the goods are delivered, or the related services are performed, subject to an assessment of recoverability.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analyzes the progress of clinical trials, invoices received and contracted costs when evaluating the adequacy of the amount expensed and the related prepaid asset and accrued liability. The Company makes significant judgments and estimates in determining the accrued balance and expense in each accounting period. As actual costs become known, the Company adjusts the accrued estimates. Although the Company does not expect the estimates to be materially different from amounts actually incurred, the status and timing of services performed, the number of patients enrolled and the rate of patient enrollment may vary from the Company’s estimates and could result in the Company reporting amounts that are too high or too low in any particular period. The Company’s research and development costs are dependent, in part, upon the receipt of timely and accurate reporting from clinical research organizations and other third-party service providers.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accounts for its lease obligations in accordance with Financial Accounting Standards Board (“FASB”) Accounting Standards Update (“ASU”) No. 2016-02, </w:t>
      </w:r>
      <w:r>
        <w:rPr>
          <w:rFonts w:ascii="Times New Roman" w:hAnsi="Times New Roman"/>
          <w:i/>
          <w:color w:val="000000"/>
          <w:sz w:val="20"/>
        </w:rPr>
        <w:t xml:space="preserve">Leases </w:t>
      </w:r>
      <w:r>
        <w:rPr>
          <w:rFonts w:ascii="Times New Roman" w:hAnsi="Times New Roman"/>
          <w:color w:val="000000"/>
          <w:sz w:val="20"/>
        </w:rPr>
        <w:t>(Topic 842) (“ASU 2016-02” or “ASC 842”). At the inception of an arrangement, the Company determines whether the arrangement is or contains a lease based on the unique facts and circumstances present in the arrangement. Leases with a term greater than one year are recognized on the balance sheet as right-of-use assets and current and non-current lease liabilities, as applicable.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and finance lease liabilities and their corresponding right-of-use assets are initially recorded based on the present value of lease payments over the expected remaining lease term. The interest rate implicit in lease contracts is typically not readily determinable. As a result, the Company utilizes its incremental borrowing rate to discount lease payments, which reflects the fixed rate at which the Company could borrow on a collateralized basis the amount of the lease payments in the same currency, for a similar term, in a similar economic environment. Prospectively, the Company will adjust the right-of-use assets for straight-line rent expense and remeasure the lease liability at the net present value using the same incremental borrowing rate that was in effect as of the lease commencement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recognizes rent expense related to our operating leases on a straight-line basis over the lease term. The Company will adjust the operating right-of-use assets for straight-line rent expense and remeasure the lease liability at the net present value using the same incremental borrowing rate that was in effect as of the lease commencement date. For finance leases, our right-of-use assets are amortized on a straight-line basis over the earlier of the useful life of the right-of-use asset or the end of the lease term with rent expense recorded to operating expenses. The Company will adjust the lease liability to reflect lease payments made during the period and interest incurred on the lease liability using the effective interest method.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accordance with ASC 842, components of a lease should be split into three categories: lease components, non-lease components, and non-components. The fixed and in-substance fixed contract consideration (including any consideration related to non-components) must be allocated based on the respective relative fair values to the lease components and non-lease components.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Entities may elect not to separate lease and non-lease components. The Company has elected to account for lease and non-lease components together as a single lease component for all underlying assets and allocate all of the contract consideration to the lease component only.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Modification to existing lease agreements, including changes to the lease term or payment amounts, are reviewed to determine whether they result in a separate contract. For modifications that do not result in a separate contract, management reviews the lease classification and re-measures the related right-of-use assets and lease liabilities at the effective date of the modification.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applies fair value accounting for all financial assets and liabilities and nonfinancial assets and liabilities that are required to be disclosed at fair value in the financial statements. Fair value is the price at which an asset could be exchanged, or a liability transferred (an exit price) in an orderly transaction between knowledgeable, willing parties in the principal or most advantageous market for the asset or liability. Where available, fair value is based on observable market prices or parameters or derived from such prices or parameters. Where observable prices or inputs are not available, valuation models are applied.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financial instruments include cash and restricted cash, and accounts payable. The carrying amounts of cash, restricted cash, and accounts payable approximate fair value due to the short-term nature of these instruments.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uses the asset-and-liability method for income taxes. Under this method, deferred tax assets and liabilities are determined based on differences between the consolidated financial statement carrying amounts and tax bases of assets and liabilities and operating loss and tax credit carryforwards. These are measured using the enacted tax rates that are expected to be in effect when the differences reverse. The effect on deferred tax assets and liabilities of a change in tax rates is recognized in income in the period that includes the enactment date. Valuation allowances are established when necessary to reduce deferred tax assets to an amount that, in the opinion of management, is more likely than not to be realized.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calculation of the income tax expense involves the use of estimates, assumptions and judgments while taking into account current tax laws and our interpretation of current and possible outcomes of future tax audits. In addition, our policy for accounting for uncertainty in income taxes requires the evaluation of tax positions taken or expected to be taken in the course of the preparation of tax returns to determine whether the tax positions are "more-likely-than-not" of being sustained by the applicable tax authority. Tax positions not deemed to meet the more-likely-than-not threshold would be recorded as a tax expense in the current year. Reevaluation of tax positions considers factors such as changes in facts or circumstances, changes in or interpretations of tax law, effectively settled issues under audit or expiration of statute of limitation and new audit activity. The Company classifies interest and penalty expense related to uncertain tax positions as a component of operating expenses on the consolidated statements of operations. As of December 31, 2025, the Company had no accrued interest or penalties.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Tax regulations within each jurisdiction are subject to the interpretation of the related tax laws and regulations and require application of significant judgment. The Company is subject to U.S. federal and various state and local jurisdictions. Due to the Company’s net operating loss carryforwards, the Company may be subject to examination by authorities for all previously filed income tax returns.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accounts for issued warrants as either liability or equity in accordance with ASC Topic 480-10, </w:t>
      </w:r>
      <w:r>
        <w:rPr>
          <w:rFonts w:ascii="Times New Roman" w:hAnsi="Times New Roman"/>
          <w:i/>
          <w:color w:val="000000"/>
          <w:sz w:val="20"/>
        </w:rPr>
        <w:t>Accounting for Certain Financial Instruments with Characteristics of both Liabilities and Equity</w:t>
      </w:r>
      <w:r>
        <w:rPr>
          <w:rFonts w:ascii="Times New Roman" w:hAnsi="Times New Roman"/>
          <w:color w:val="000000"/>
          <w:sz w:val="20"/>
        </w:rPr>
        <w:t xml:space="preserve"> (“ASC 480-10”) or ASC Topic 815-40, </w:t>
      </w:r>
      <w:r>
        <w:rPr>
          <w:rFonts w:ascii="Times New Roman" w:hAnsi="Times New Roman"/>
          <w:i/>
          <w:color w:val="000000"/>
          <w:sz w:val="20"/>
        </w:rPr>
        <w:t>Accounting for Derivative Financial Instruments Indexed to, and Potentially Settled in, a Company’s Own Stock</w:t>
      </w:r>
      <w:r>
        <w:rPr>
          <w:rFonts w:ascii="Times New Roman" w:hAnsi="Times New Roman"/>
          <w:color w:val="000000"/>
          <w:sz w:val="20"/>
        </w:rPr>
        <w:t xml:space="preserve"> (“ASC 815-40”). Under ASC 480-10, warrants are accounted for as liability if they are mandatorily redeemable and they require settlement in cash or other assets, or a variable number of shares. If warrants do not meet the criteria to be accounted for as liability under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ASC 480-10, the Company considers the requirements of ASC 815-40 to determine whether the warrants should be accounted for as liability or equity. Under ASC 815-40, contracts that may require settlement for cash are accounted for as a liability, regardless of the probability of the occurrence of the triggering event. If warrants do not meet the criteria to be accounted for as a liability under ASC 815-40, in order to conclude warrants should be accounted for as equity, the Company assesses whether the warrants are indexed to its common stock and whether the warrants are accounted for as equity under ASC 815-40 or other applicable U.S. GAAP. Warrants that meet the criteria to be accounted for as equity are recorded at fair value on the issuance date with no changes in fair value recognized after the issuance date. Warrants that meet the criteria to be accounted for as equity will be recorded within additional paid-in capital. After all relevant assessments, the Company concludes whether the warrants are accounted for as liability or equity. See Note 7, Warrants, for information regarding the warrants issued.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measures all stock-based awards granted to employees, nonemployees and directors based on the fair value on the date of the grant and recognizes compensation expense for those awards over the requisite service period, which is generally the vesting period of the respective award. The stock-based compensation expense is accounted for in the statements of operations based on the awards’ grant date fair values. The Company accounts for forfeitures as they occur by reversing any expense recognized for unvested awards.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estimates the fair value of options granted using the Black-Scholes option pricing model. The Black-Scholes option pricing model requires inputs based on certain subjective assumptions, including (a) the expected stock price volatility, (b) the calculation of expected term of the award, (c) the risk-free interest rate and (d) expected dividends. Due to a lack of company-specific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computation of expected volatility is based on the historical volatility of a representative group of companies with similar characteristics to the Company, including stage of product development and life science industry focus. The Company uses the simplified method as allowed by the Securities and Exchange Commission ("SEC") Staff Accounting Bulletin (“SAB”) No. 107, </w:t>
      </w:r>
      <w:r>
        <w:rPr>
          <w:rFonts w:ascii="Times New Roman" w:hAnsi="Times New Roman"/>
          <w:i/>
          <w:color w:val="000000"/>
          <w:sz w:val="20"/>
        </w:rPr>
        <w:t>Share-Based Payment</w:t>
      </w:r>
      <w:r>
        <w:rPr>
          <w:rFonts w:ascii="Times New Roman" w:hAnsi="Times New Roman"/>
          <w:color w:val="000000"/>
          <w:sz w:val="20"/>
        </w:rPr>
        <w:t>,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expected dividend yield is assumed to be zero as the Company has never paid dividends and has no current plans to pay any dividends on its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Capitalized Software</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Company capitalizes the application development phase costs of internal use software in accordance with ASC Topic 350-40, </w:t>
      </w:r>
      <w:r>
        <w:rPr>
          <w:rFonts w:ascii="Times New Roman" w:hAnsi="Times New Roman"/>
          <w:i/>
          <w:color w:val="000000"/>
          <w:sz w:val="20"/>
        </w:rPr>
        <w:t xml:space="preserve">Intangibles-Goodwill and Other-Internal Use Software </w:t>
      </w:r>
      <w:r>
        <w:rPr>
          <w:rFonts w:ascii="Times New Roman" w:hAnsi="Times New Roman"/>
          <w:color w:val="000000"/>
          <w:sz w:val="20"/>
        </w:rPr>
        <w:t>("ASC 350-40"). Capitalized costs will be amortized on a straight-line basis over the estimated useful life of the asset upon completion.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both"/>
        <w:rPr>
          <w:rFonts w:ascii="Times New Roman" w:hAnsi="Times New Roman"/>
          <w:sz w:val="20"/>
        </w:rPr>
      </w:pPr>
      <w:r>
        <w:rPr>
          <w:rFonts w:ascii="Times New Roman" w:hAnsi="Times New Roman"/>
          <w:color w:val="000000"/>
          <w:sz w:val="20"/>
        </w:rPr>
        <w:t>Operating segments are defined as components of an enterprise for which separate and discrete information is available for evaluation by the chief operating decision-maker in deciding how to allocate resources and assess performance. The Company has one operating segment, which is the business focused on the discovery, development and commercialization of gamma-delta T cell product candidates for solid and liquid tumors. The Company’s chief operating decision maker ("CODM"), its Chief Executive Officer ("CEO"), manages the Company’s operations on a consolidated basis for the purposes of allocating resources. The allocation of resources and assessment of performance of the operating segment is based on consolidated net income (loss) as shown in our consolidated statements of operations. All of the Company’s long-lived assets are held in the United States. For additional segment information, see Note 14, Segments</w:t>
      </w:r>
      <w:r>
        <w:rPr>
          <w:rFonts w:ascii="Times New Roman" w:hAnsi="Times New Roman"/>
          <w:i/>
          <w:color w:val="000000"/>
          <w:sz w:val="20"/>
        </w:rPr>
        <w: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Issued Accounting Standards Updates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2023, the FASB issued ASU 2023-09, Income Taxes (Topic 740): Improvements to Income Tax Disclosures, which expands the disclosures required for income taxes. This ASU is effective for fiscal years beginning after December 15, 2024, with early adoption permitted. The amendment should be applied on a prospective basis while retrospective application is permitted. The Company adopted the standard effective January 1, 2025 on a retrospective basis. See Note 10, Income Taxes, for further disclosure.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PREPAID EXPENSES AND OTHER 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Prepaid expenses and other current assets consist of the following (in thousands):</w:t>
      </w:r>
    </w:p>
    <w:p>
      <w:pPr>
        <w:pStyle w:val="TextBody"/>
        <w:bidi w:val="0"/>
        <w:jc w:val="both"/>
        <w:rPr/>
      </w:pPr>
      <w:r>
        <w:rPr/>
        <w:t> </w:t>
      </w:r>
    </w:p>
    <w:tbl>
      <w:tblPr>
        <w:tblW w:w="6270" w:type="dxa"/>
        <w:jc w:val="left"/>
        <w:tblInd w:w="0" w:type="dxa"/>
        <w:tblLayout w:type="fixed"/>
        <w:tblCellMar>
          <w:top w:w="28" w:type="dxa"/>
          <w:left w:w="28" w:type="dxa"/>
          <w:bottom w:w="28" w:type="dxa"/>
          <w:right w:w="28" w:type="dxa"/>
        </w:tblCellMar>
      </w:tblPr>
      <w:tblGrid>
        <w:gridCol w:w="3451"/>
        <w:gridCol w:w="146"/>
        <w:gridCol w:w="364"/>
        <w:gridCol w:w="731"/>
        <w:gridCol w:w="146"/>
        <w:gridCol w:w="146"/>
        <w:gridCol w:w="294"/>
        <w:gridCol w:w="80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4. PROPERTY AND EQUIPMENT, NET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and equipment, net consist of the following (in thousands): </w:t>
      </w:r>
    </w:p>
    <w:p>
      <w:pPr>
        <w:pStyle w:val="TextBody"/>
        <w:bidi w:val="0"/>
        <w:jc w:val="left"/>
        <w:rPr/>
      </w:pPr>
      <w:r>
        <w:rPr/>
        <w:t> </w:t>
      </w:r>
    </w:p>
    <w:tbl>
      <w:tblPr>
        <w:tblW w:w="6910" w:type="dxa"/>
        <w:jc w:val="left"/>
        <w:tblInd w:w="0" w:type="dxa"/>
        <w:tblLayout w:type="fixed"/>
        <w:tblCellMar>
          <w:top w:w="28" w:type="dxa"/>
          <w:left w:w="28" w:type="dxa"/>
          <w:bottom w:w="28" w:type="dxa"/>
          <w:right w:w="28" w:type="dxa"/>
        </w:tblCellMar>
      </w:tblPr>
      <w:tblGrid>
        <w:gridCol w:w="4051"/>
        <w:gridCol w:w="146"/>
        <w:gridCol w:w="274"/>
        <w:gridCol w:w="821"/>
        <w:gridCol w:w="166"/>
        <w:gridCol w:w="146"/>
        <w:gridCol w:w="274"/>
        <w:gridCol w:w="821"/>
        <w:gridCol w:w="2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and amortization expense was $1.0 million for each of the years ended December 31, 2025 and 2024.</w:t>
      </w:r>
    </w:p>
    <w:p>
      <w:pPr>
        <w:pStyle w:val="TextBody"/>
        <w:bidi w:val="0"/>
        <w:spacing w:before="240" w:after="283"/>
        <w:jc w:val="left"/>
        <w:rPr>
          <w:rFonts w:ascii="Times New Roman" w:hAnsi="Times New Roman"/>
          <w:sz w:val="20"/>
        </w:rPr>
      </w:pPr>
      <w:r>
        <w:rPr>
          <w:rFonts w:ascii="Times New Roman" w:hAnsi="Times New Roman"/>
          <w:b/>
          <w:caps/>
          <w:color w:val="000000"/>
          <w:sz w:val="20"/>
        </w:rPr>
        <w:t>5. ACCRUED EXPENSES AND OTHER CURRENT LIABILITIES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Accrued expenses and other current liabilities consist of the following (in thousands): </w:t>
      </w:r>
    </w:p>
    <w:p>
      <w:pPr>
        <w:pStyle w:val="TextBody"/>
        <w:bidi w:val="0"/>
        <w:jc w:val="left"/>
        <w:rPr/>
      </w:pPr>
      <w:r>
        <w:rPr/>
        <w:t> </w:t>
      </w:r>
    </w:p>
    <w:tbl>
      <w:tblPr>
        <w:tblW w:w="6645" w:type="dxa"/>
        <w:jc w:val="left"/>
        <w:tblInd w:w="0" w:type="dxa"/>
        <w:tblLayout w:type="fixed"/>
        <w:tblCellMar>
          <w:top w:w="28" w:type="dxa"/>
          <w:left w:w="28" w:type="dxa"/>
          <w:bottom w:w="28" w:type="dxa"/>
          <w:right w:w="28" w:type="dxa"/>
        </w:tblCellMar>
      </w:tblPr>
      <w:tblGrid>
        <w:gridCol w:w="3826"/>
        <w:gridCol w:w="146"/>
        <w:gridCol w:w="294"/>
        <w:gridCol w:w="801"/>
        <w:gridCol w:w="146"/>
        <w:gridCol w:w="146"/>
        <w:gridCol w:w="294"/>
        <w:gridCol w:w="801"/>
        <w:gridCol w:w="191"/>
      </w:tblGrid>
      <w:tr>
        <w:trPr/>
        <w:tc>
          <w:tcPr>
            <w:tcW w:w="3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aps/>
          <w:color w:val="000000"/>
          <w:sz w:val="20"/>
        </w:rPr>
      </w:pPr>
      <w:r>
        <w:rPr>
          <w:rFonts w:ascii="Times New Roman" w:hAnsi="Times New Roman"/>
          <w:b/>
          <w:caps/>
          <w:color w:val="000000"/>
          <w:sz w:val="20"/>
        </w:rPr>
        <w:t>6. stockholders' equity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authorized capital stock consists of 500,000,000 shares, all with a par value of $0.0001 per share, of which 490,000,000 shares are designated as common stock and 10,000,000 shares are designated as preferred stock.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ATM Facility</w:t>
      </w:r>
    </w:p>
    <w:p>
      <w:pPr>
        <w:pStyle w:val="TextBody"/>
        <w:bidi w:val="0"/>
        <w:spacing w:before="120" w:after="283"/>
        <w:jc w:val="both"/>
        <w:rPr>
          <w:rFonts w:ascii="Times New Roman" w:hAnsi="Times New Roman"/>
          <w:sz w:val="20"/>
        </w:rPr>
      </w:pPr>
      <w:r>
        <w:rPr>
          <w:rFonts w:ascii="Times New Roman" w:hAnsi="Times New Roman"/>
          <w:color w:val="000000"/>
          <w:sz w:val="20"/>
        </w:rPr>
        <w:t>In November 2022, the Company filed a shelf registration statement on Form S-3 (File No. 333-268288) (the “2022 Shelf Registration Statement”) with the SEC, which permits the offering, issuance and sale by the Company of up to a maximum aggregate offering price of $200.0 million of its common stock and preferred stock, various series of debt securities and/or warrants to purchase any of such securities, of which $50.0 million of common stock may be issued and sold pursuant to an at-the-market offering program (“ATM”). The Company entered into a Controlled Equity Offering</w:t>
      </w:r>
      <w:r>
        <w:rPr>
          <w:rFonts w:ascii="Times New Roman" w:hAnsi="Times New Roman"/>
          <w:color w:val="000000"/>
          <w:sz w:val="13"/>
        </w:rPr>
        <w:t xml:space="preserve">SM </w:t>
      </w:r>
      <w:r>
        <w:rPr>
          <w:rFonts w:ascii="Times New Roman" w:hAnsi="Times New Roman"/>
          <w:color w:val="000000"/>
          <w:sz w:val="20"/>
        </w:rPr>
        <w:t>sales agreement, (the "Sales Agreement") with Cantor Fitzgerald &amp; Co. (“Cantor Fitzgerald”) and Truist Securities, Inc. (“Truist”) under which Cantor Fitzgerald and Truist agreed to act as sales agents to sell shares of the Company’s common stock, from time to time, through the ATM program. On March 8, 2024, the Company delivered a termination notice to Truist, removing them as a sales agent under the ATM program. Such termination became effective on March 14,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November 2025, the filed a shelf registration statement on Form S-3 (File No. 333-291393) (the “2025 Shelf Registration Statement”) with the SEC, which would permit the offering, issuance and sale by the Company of up to a maximum aggregate offering price of $200 million of its securities and which has not yet been declared effective, to replace the expiring 2022 Shelf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Registration Statement. The 2022 Shelf Registration Statement will remain in effect until the earlier of May 20, 2026 and the effective date of the 2025 Shelf Registration Statement.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current SEC regulations, if at any time the Company's public float is less than $75.0 million, and for so long as the Company's public float remains less than $75.0 million, the amount the Company can raise through primary public offerings of securities in any 12-month period using shelf registration statements is limited to an aggregate of one-third of the Company's public float, which is referred to as the baby shelf rules. As of December 31, 2025, the Company's calculated public float was less than $75.0 million. During the years ended December 31, 2025 and 2024, the Company sold an aggregate of 1,865,253 and 115,972 shares, respectively, of its common stock under the ATM, resulting in net proceeds of $8.6 million and $3.8 million, respectively, after deducting underwriting discounts. As of December 31, 2025, $5.9 million remained available for the sale of our common stock under the ATM program.</w:t>
      </w:r>
    </w:p>
    <w:p>
      <w:pPr>
        <w:pStyle w:val="TextBody"/>
        <w:bidi w:val="0"/>
        <w:spacing w:before="240" w:after="120"/>
        <w:jc w:val="both"/>
        <w:rPr>
          <w:rFonts w:ascii="Times New Roman" w:hAnsi="Times New Roman"/>
          <w:b/>
          <w:i/>
          <w:color w:val="000000"/>
          <w:sz w:val="20"/>
        </w:rPr>
      </w:pPr>
      <w:r>
        <w:rPr>
          <w:rFonts w:ascii="Times New Roman" w:hAnsi="Times New Roman"/>
          <w:b/>
          <w:i/>
          <w:color w:val="000000"/>
          <w:sz w:val="20"/>
        </w:rPr>
        <w:t>2023 Private Placement</w:t>
      </w:r>
    </w:p>
    <w:p>
      <w:pPr>
        <w:pStyle w:val="TextBody"/>
        <w:bidi w:val="0"/>
        <w:jc w:val="both"/>
        <w:rPr>
          <w:rFonts w:ascii="Times New Roman" w:hAnsi="Times New Roman"/>
          <w:color w:val="000000"/>
          <w:sz w:val="20"/>
        </w:rPr>
      </w:pPr>
      <w:r>
        <w:rPr>
          <w:rFonts w:ascii="Times New Roman" w:hAnsi="Times New Roman"/>
          <w:color w:val="000000"/>
          <w:sz w:val="20"/>
        </w:rPr>
        <w:t>On December 11, 2023, the Company entered into a Securities Purchase Agreement (the "2023 Purchase Agreement"), with multiple investors (the “2023 Private Placement”), pursuant to which the Company issued and sold an aggregate of 394,118 units (the “Units”) comprised of (A) (1) one share of common stock, par value $0.0001 per share (the "2023 Shares"), or (2) one pre-funded warrant to purchase one share of common stock (the “2023 Pre-Funded Warrants”) and, in each case, (B) one Series A ordinary warrant to purchase one share of common stock (the “Series A warrants”) and (C) one Series B ordinary warrant to purchase one share of common stock (the “Series B warrants”). In connection with the 2023 Private Placement, the Company issued an aggregate of 11,249,588 shares of common stock (the "2023 Shares"), 19,141 2023 Pre-Funded Warrants, 394,118 Series A warrants and 394,118 Series B warrants. The Units were sold at a purchase price of $36.60 per Unit, for net proceeds of $13.5 million, after deducting fees and expenses. The closing of the 2023 Private Placement occurred on December 13, 2023.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2023 Private Placement, we also entered into a registration rights agreement with the investors who participated in the 2024 Private Placement, pursuant to which the Company agreed to register for resale the 2023 Shares and the common stock underlying the 2023 Pre-Funded Warrants, the Series A and Series B warrants (the “2023 Registrable Securities”). Pursuant to the registration rights agreement, the Company filed a registration statement covering the resale of the 2023 Registrable Securities on January 12, 2024.</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2024 Private Placement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September 30, 2024, the Company entered into a Securities Purchase Agreement (the "2024 Purchase Agreement"), with multiple investors (the "2024 Private Placement"), pursuant to which the Company issued and sold an aggregate of 856,499 shares of common stock (the “2024 Shares”), 188,227 pre-funded warrants to purchase one share of Common Stock (the “2024 Pre-Funded Warrants”) and 1,044,726 Series C warrants, for net proceeds of $11.2 million, after deducting fees and expenses. The closing of the 2024 Private Placement occurred on October 4, 2024.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connection with the 2024 Private Placement, we also entered into a registration rights agreement, with the investors who participated in the 2024 Private Placement, pursuant to which the Company agreed to register for resale the 2024 Shares and the common stock underlying the 2024 Pre-Funded Warrants and Series C warrants (the “2024 Registrable Securities”). Pursuant to the registration rights agreement, the Company filed a registration statement covering the resale of the 2024 Registrable Securities on November 4, 2024.</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2025 Private Placement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December 18, 2025, the Company entered into a Securities Purchase Agreement (the "2025 Purchase Agreement"), with multiple investors (the "2025 Private Placement"), pursuant to which the Company agreed to issue and sell shares of common stock (the “2025 Shares”) and, in lieu of common stock, pre-funded warrants (the “2025 Pre-Funded Warrants” and, together with the 2025 Shares, the “2025 Securities”) to purchase shares of common stock, in up to two closings in a private placement (the “2025 Private Placement”).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initial closing of the 2025 Private Placement occurred on December 22, 2025. At the initial closing, the Company issued and sold an aggregate of 5,127,029 shares of common stock at a purchase price of $1.38 per share (the “2025 Share Price”) and, in lieu of shares of common stock, 9,452,677 pre-funded warrants to purchase one share of Common Stock (the “2025 Pre-Funded Warrants”) at a purchase price of $1.3799 per 2025 Pre-Funded Warrant (the “2025 Pre-Funded Warrant Price”), for net proceeds of $18.5 million, after deducting fees and expenses.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Purchase Agreement, subject to the occurrence of the Second Closing Trigger (as defined below), the Company also agreed to issue and sell to the Investors in a second closing up to an additional 14,579,706 shares of common stock or pre-funded warrants in lieu of common stock, at the 2025 Share Price and the 2025 Pre-Funded Warrant Price, respectively, for additional aggregate gross proceeds of approximately $20.1 million, before deducting placement agent fees and other private placement expenses. The Second Closing Trigger shall occur upon (i) the achievement, during the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commencing on the date of the initial closing and ending on December 31, 2026, of the Company’s presentation of animal model data for its INB-619 product candidate (the “INB-619 Milestone”), and (ii) either (A) the achievement of a volume weighted average price per share of equal to or greater than 200% of the 2025 Share Price (subject to appropriate, proportional adjustment for any stock splits or combinations of the common stock occurring after the date of the Purchase Agreement) measured during any five consecutive trading days during the 90 trading days following the date of the Company’s first announcement via a press release or Current Report on Form 8-K of the occurrence of the INB-619 Milestone (such period the “Measurement Period” and such price threshold requirement, the “Price Threshold”) or (b) the Company’s receipt of a written notice signed by the Investors holding a majority of the 2025 Securities outstanding from time to time and delivered to the Company during the Measurement Period that waives the Price Threshold for purposes of the second closing.</w:t>
      </w:r>
    </w:p>
    <w:p>
      <w:pPr>
        <w:pStyle w:val="TextBody"/>
        <w:bidi w:val="0"/>
        <w:spacing w:before="120" w:after="283"/>
        <w:jc w:val="both"/>
        <w:rPr>
          <w:rFonts w:ascii="Times New Roman" w:hAnsi="Times New Roman"/>
          <w:color w:val="212529"/>
          <w:sz w:val="20"/>
        </w:rPr>
      </w:pPr>
      <w:r>
        <w:rPr>
          <w:rFonts w:ascii="Times New Roman" w:hAnsi="Times New Roman"/>
          <w:color w:val="212529"/>
          <w:sz w:val="20"/>
        </w:rPr>
        <w:t>On January 20, 2026 the Company filed a registration statement on Form S-3 to register for resale the shares of common stock and the common stock underlying the 2025 Pre-Funded Warrants, which became effective on January 28, 2026.</w:t>
      </w:r>
    </w:p>
    <w:p>
      <w:pPr>
        <w:pStyle w:val="TextBody"/>
        <w:bidi w:val="0"/>
        <w:spacing w:before="240" w:after="283"/>
        <w:jc w:val="both"/>
        <w:rPr>
          <w:rFonts w:ascii="Times New Roman" w:hAnsi="Times New Roman"/>
          <w:b/>
          <w:caps/>
          <w:color w:val="000000"/>
          <w:sz w:val="20"/>
        </w:rPr>
      </w:pPr>
      <w:r>
        <w:rPr>
          <w:rFonts w:ascii="Times New Roman" w:hAnsi="Times New Roman"/>
          <w:b/>
          <w:caps/>
          <w:color w:val="000000"/>
          <w:sz w:val="20"/>
        </w:rPr>
        <w:t>7. warrants</w:t>
      </w:r>
    </w:p>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December 2023, in connection with the 2023 Private Placement, the Company issued 19,141 2023 Pre-Funded Warrants, 394,118 Series A warrants and 394,118 Series B warrants. The 2023 Pre-Funded Warrants have an exercise price of $0.003 per share, are exercisable immediately and are exercisable until the 2023 Pre-Funded Warrant is exercised in full. In lieu of making the cash payment otherwise contemplated to be made to the Company upon exercise of a 2023 Pre-Funded Warrant in payment of the aggregate exercise price, the holder may elect instead to receive upon such exercise (either in whole or in part) the net number of shares of common stock determined according to a formula set forth in the 2023 Pre-Funded Warrants terms. The 2023 Pre-Funded Warrants meet the criteria for permanent equity classification. As of December 31, 2025, 19,141 2023 Pre-Funded Warrants were outstanding.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Series A warrants were issued with an exercise price of $37.50 per share. The Series A warrants are exercisable immediately and were issued with an expiry date of June 13, 2025. The Company has the option to cause the Series A warrants to be exercised at a strike price of $37.50 per share upon the Company’s public announcement of INB-100 clinical data for the 10 currently enrolled patients, should they remain alive and evaluable, covering a period of at least 11 months, along with certain stock price and trading volume requirements. The Series A warrants meet the criteria for permanent equity classification.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connection with the closing of the 2024 Private Placement, the Company amended certain of the Company’s outstanding Series A warrants, representing approximately 390,462 shares of the Company’s Common Stock, to (i) reduce the exercise price from $37.50 to $13.50 per share and (ii) extend the termination date of such Series A warrants to October 4, 2025. As of October 4, 2025, all Series A warrant have expired and there are no Series A warrants outstanding.</w:t>
      </w:r>
    </w:p>
    <w:p>
      <w:pPr>
        <w:pStyle w:val="TextBody"/>
        <w:bidi w:val="0"/>
        <w:jc w:val="both"/>
        <w:rPr>
          <w:rFonts w:ascii="Times New Roman" w:hAnsi="Times New Roman"/>
          <w:color w:val="000000"/>
          <w:sz w:val="20"/>
        </w:rPr>
      </w:pPr>
      <w:r>
        <w:rPr>
          <w:rFonts w:ascii="Times New Roman" w:hAnsi="Times New Roman"/>
          <w:color w:val="000000"/>
          <w:sz w:val="20"/>
        </w:rPr>
        <w:t>The Series B warrants have an exercise price of $45.00 per share. The Series B warrants are exercisable immediately and will expire on December 13, 2028. The Series B warrants allow the Company to redeem such warrants at a price of $0.30 per Series B warrant upon the Company’s public announcement of its INB-100 data for all enrolled patients covering a period of at least 22 months, along with certain stock price and trading volume requirements. Holders of Series B warrants may choose to exercise such warrants at a purchase price of $45.00 per share prior to such redemption. The Series B warrants meet the criteria for permanent equity classification. In April 2025, the Company entered into Amendment No. 1 to Securities Purchase Agreement (the "SPA Amendment") to amend the restrictions on certain equity sales by the Company set forth in the Securities Purchase Agreement, dated September 30, 2024, by and among the Company and the investors party thereto. In consideration for the SPA Amendment, the Company amended the Company's outstanding Series B warrants, representing approximately 303,574 shares of the Company's common stock, to (i) reduce the exercise price from $45.00 to $13.50 per share. As of December 31, 2025, 166,964 Series B warrants were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2024, in connection with the 2024 Private Placement, the Company issued 188,227 2024 Pre-Funded Warrants and 1,044,726 Series C warrants. The 2024 Pre-Funded Warrants have an exercise price of $0.003 per share, are exercisable immediately and are exercisable until the 2024 Pre-Funded Warrant is exercised in full. In lieu of making the cash payment otherwise contemplated to be made to the Company upon exercise of a 2024 Pre-Funded Warrant in payment of the aggregate exercise price, the holder may elect instead to receive upon such exercise (either in whole or in part) the net number of shares of common stock determined according to a formula set forth in the 2024 Pre-Funded Warrants terms. The 2024 Pre-Funded Warrants meet the criteria for permanent equity classification. As of December 31, 2025, 188,227 2024 Pre-Funded Warrants were outstanding.</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The Series C warrants have an exercise price of $8.10 per share. The </w:t>
      </w:r>
      <w:r>
        <w:rPr>
          <w:rFonts w:ascii="Times New Roman" w:hAnsi="Times New Roman"/>
          <w:color w:val="212529"/>
          <w:sz w:val="20"/>
        </w:rPr>
        <w:t xml:space="preserve">Series C warrants are exercisable immediately and will expire on October 4, 2027. </w:t>
      </w:r>
      <w:r>
        <w:rPr>
          <w:rFonts w:ascii="Times New Roman" w:hAnsi="Times New Roman"/>
          <w:color w:val="000000"/>
          <w:sz w:val="20"/>
        </w:rPr>
        <w:t>The Series C warrants meet the criteria for permanent equity classification. As of December 31, 2025, 828,863 Series C warrants were outstanding.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April 2025, the Company entered into privately negotiated letter agreements with certain holders of outstanding Series A warrants and Series B warrants (the "Participating Holders") to (i) exercise, for cash, 239,293 Series A warrants and 71,403 Series B warrants for the purchase of an aggregate of 310,696 shares of common stock, in each case at a reduced exercise price of (a) $5.53 per share for Participating Holders who are directors or executive officers of the Company and (b) $5.35 per share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all other Participating Holders (the "Warrant Exercises") and (ii) exchange certain Series A warrants and Series B warrants for 41,014 pre-funded warrants (the "Exchanged Pre-Funded Warrants"), in each case for a cash payment of (a) $5.53 per warrant share for Participating Holders who are directors or executive officers of the Company and (b) $5.35 per warrant share for all other Participating Holders (the "Warrant Exchanges"), for aggregate net proceeds of $1.9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Exchanged Pre-Funded Warrants issued in connection with the Warrant Exchanges have an exercise price of $0.003 per share. Each Exchanged Pre-Funded Warrant is exercisable immediately and will be exercisable until such Exchanged Pre-Funded Warrant is exercised in full. In lieu of a cash payment to the Company in payment of the aggregate exercise price upon exercise of an Exchanged Pre-Funded Warrant, the holder may elect instead to receive upon such exercise (either in whole or in part) the net number of shares of common stock determined according to a formula set forth in the Exchanged Pre-Funded Warrants. Under the terms of the Exchanged Pre-Funded Warrants, the Company shall not effect the exercise of any portion of any Exchanged Pre-Funded Warrant, and a holder shall not have the right to exercise any portion of any Exchanged Pre-Funded Warrant, to the extent that after giving effect to such exercise, the holder (together with its affiliates and any other persons acting as a group together with the holder or any of its affiliates) would beneficially own in excess of 4.99% or 9.99%, as applicable, of the number of shares of common stock outstanding immediately after giving effect to such exercise. However, a holder may, upon written notice to the Company, increase or decrease such percentage to any other percentage not in excess of 19.99%; provided that any increase or decrease in such percentage will not be effective until 61 days after such notice is delivered to the Company. The Exchanged Pre-Funded Warrants meet the criteria for permanent equity classification. As of December 31, 2025 41,014 of these Exchanged Pre-Funded Warrants were outstanding.</w:t>
      </w:r>
    </w:p>
    <w:p>
      <w:pPr>
        <w:pStyle w:val="TextBody"/>
        <w:bidi w:val="0"/>
        <w:spacing w:before="240" w:after="283"/>
        <w:jc w:val="left"/>
        <w:rPr>
          <w:rFonts w:ascii="Times New Roman" w:hAnsi="Times New Roman"/>
          <w:sz w:val="20"/>
        </w:rPr>
      </w:pPr>
      <w:r>
        <w:rPr>
          <w:rFonts w:ascii="Times New Roman" w:hAnsi="Times New Roman"/>
          <w:b/>
          <w:caps/>
          <w:color w:val="000000"/>
          <w:sz w:val="20"/>
        </w:rPr>
        <w:t>8.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2018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May 7, 2018, the Company established and adopted the 2018 Equity Incentive Plan (the "2018 Plan") providing for the granting of stock awards for employees, directors and consultants to purchase shares of the Company’s common stock. Upon the effectiveness of the 2020 Plan (as defined below), the 2018 Plan was terminated and no further issuances were made under the 2018 Plan, although it continues to govern the terms of any equity grants that remain outstanding under the 2018 Plan.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2020 Equity Incentive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2020 Equity Incentive Plan (the "2020 Plan") was approved by the Company's Board of Directors and the Company’s stockholders and became effective on July 29, 2021. Upon the effectiveness of the 2023 Plan (as defined below), the 2020 Plan was terminated and no further issuances were made under the 2020 Plan, although it continues to govern the terms of any equity grants that remain outstanding under the 2020 Plan.</w:t>
      </w:r>
    </w:p>
    <w:p>
      <w:pPr>
        <w:pStyle w:val="TextBody"/>
        <w:bidi w:val="0"/>
        <w:spacing w:before="240" w:after="283"/>
        <w:jc w:val="left"/>
        <w:rPr>
          <w:rFonts w:ascii="Times New Roman" w:hAnsi="Times New Roman"/>
          <w:sz w:val="20"/>
        </w:rPr>
      </w:pPr>
      <w:r>
        <w:rPr>
          <w:rFonts w:ascii="Times New Roman" w:hAnsi="Times New Roman"/>
          <w:b/>
          <w:i/>
          <w:color w:val="000000"/>
          <w:sz w:val="20"/>
        </w:rPr>
        <w:t>Amended and Restated 2023 Equity Incentive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Amended and Restated 2023 Equity Incentive Plan (the "2023 Plan") was approved by the Company's Board of Directors and the Company’s stockholders and became effective on June 15, 2023. The Board of Directors, or a committee thereof, is authorized to administer the 2023 Plan. The 2023 Plan provides for the grant of Incentive Stock Options ("ISO") within the meaning of Section 422 of the Internal Revenue Code ("IRC") as amended, to employees, and for the grant of non-statutory stock options, stock appreciation rights, restricted stock awards, restricted stock unit awards, performance awards and other forms of awards to the Company’s employees, directors and consultants and any Company affiliates’ employees and consultants. The number of shares initially reserved for issuance under the 2023 Plan was 246,667, which automatically increases on January 1 of each year for a period of 10 years, beginning on January 1, 2024 and continuing through January 1, 2033, in an amount equal to 5% of the total number of shares of common stock outstanding on the last day of the immediately preceding year, or a lesser number of shares determined by the Board of Directors no later than the last day of the immediately preceding year. The maximum number of shares of common stock that may be issued upon the exercise of ISOs under the 2023 Plan is 1,366,666 shares. As of December 31, 2025, 144,603 shares were available for grant pursuant to the 2023 Plan. Pursuant to the terms of the 2023 Plan, the number of shares available under the 2023 Plan was increased by 488,307 shares effective January 1,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2020 Employee Stock Purchase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2020 Employee Stock Purchase Plan (the “2020 ESPP”) was approved by the Board of Directors and the Company’s stockholders and became effective on July 29, 2021. A total of 6,666 shares of common stock were initially reserved for issuance under this plan, which automatically increases on January 1 of each year by the lesser of (i) 1% of the outstanding number of shares of common stock on the immediately preceding December 31; and (ii) 13,333, or such lesser number of shares as determined by our Board of Directors. As of December 31, 2025, no shares of common stock had been issued under the 2020 ESPP and 26,260 shares remained available for future issuance under the 2020 ESPP. The Board of Directors or designated committee has not set an offering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 Activity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is a summary of the stock option award activity during the year ended December 31, 2025: </w:t>
      </w:r>
    </w:p>
    <w:p>
      <w:pPr>
        <w:pStyle w:val="TextBody"/>
        <w:bidi w:val="0"/>
        <w:jc w:val="left"/>
        <w:rPr/>
      </w:pPr>
      <w:r>
        <w:rPr/>
        <w:t> </w:t>
      </w:r>
    </w:p>
    <w:tbl>
      <w:tblPr>
        <w:tblW w:w="9503" w:type="dxa"/>
        <w:jc w:val="left"/>
        <w:tblInd w:w="0" w:type="dxa"/>
        <w:tblLayout w:type="fixed"/>
        <w:tblCellMar>
          <w:top w:w="28" w:type="dxa"/>
          <w:left w:w="28" w:type="dxa"/>
          <w:bottom w:w="28" w:type="dxa"/>
          <w:right w:w="28" w:type="dxa"/>
        </w:tblCellMar>
      </w:tblPr>
      <w:tblGrid>
        <w:gridCol w:w="4171"/>
        <w:gridCol w:w="146"/>
        <w:gridCol w:w="146"/>
        <w:gridCol w:w="781"/>
        <w:gridCol w:w="166"/>
        <w:gridCol w:w="146"/>
        <w:gridCol w:w="230"/>
        <w:gridCol w:w="626"/>
        <w:gridCol w:w="146"/>
        <w:gridCol w:w="146"/>
        <w:gridCol w:w="236"/>
        <w:gridCol w:w="755"/>
        <w:gridCol w:w="146"/>
        <w:gridCol w:w="146"/>
        <w:gridCol w:w="425"/>
        <w:gridCol w:w="700"/>
        <w:gridCol w:w="39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Stock</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403,075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502,027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expected to vest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weighted-average grant date fair value of options granted during the years ended December 31, 2025 and 2024 was $6.70 and $19.87, respectively. The aggregate intrinsic value is calculated as the difference between the exercise price and the market price of the Company’s common stock at December 31, 2025 and December 31, 2024.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the years ended December 31, 2025 and 2024, the Company utilized the Black-Scholes option-pricing model for estimating the fair value of the stock options. The following table presents the assumptions and the Company’s methodology for developing each of the assumptions used: </w:t>
      </w:r>
    </w:p>
    <w:p>
      <w:pPr>
        <w:pStyle w:val="TextBody"/>
        <w:bidi w:val="0"/>
        <w:jc w:val="left"/>
        <w:rPr/>
      </w:pPr>
      <w:r>
        <w:rPr/>
        <w:t> </w:t>
      </w:r>
    </w:p>
    <w:tbl>
      <w:tblPr>
        <w:tblW w:w="5320" w:type="dxa"/>
        <w:jc w:val="left"/>
        <w:tblInd w:w="0" w:type="dxa"/>
        <w:tblLayout w:type="fixed"/>
        <w:tblCellMar>
          <w:top w:w="28" w:type="dxa"/>
          <w:left w:w="28" w:type="dxa"/>
          <w:bottom w:w="28" w:type="dxa"/>
          <w:right w:w="28" w:type="dxa"/>
        </w:tblCellMar>
      </w:tblPr>
      <w:tblGrid>
        <w:gridCol w:w="1846"/>
        <w:gridCol w:w="146"/>
        <w:gridCol w:w="1516"/>
        <w:gridCol w:w="146"/>
        <w:gridCol w:w="166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96.66% - 99.24%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90.31% - 104.93%</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5.27 - 6.08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5.27 - 6.08</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4.00 - 4.24%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3.61% - 4.65%</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Volatility—The Company estimates the expected volatility of its common stock at the date of grant based on the historical volatility of comparable public companies over the expected term.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Expected life—The expected term represents the period that the Company’s stock option grants are expected to be outstanding. The expected term of the options granted to employees and non-employee directors by the Company has been determined utilizing the "simplified" method for awards that qualify as "plain-vanilla" options. Under this approach, the weighted-average expected life is presumed to be the average of the vesting term and the contractual term of the option.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Risk-free interest rate—The risk-free rate for periods within the estimated life of the stock award is based on the U.S. Treasury yield curve in effect at the time of grant.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Dividend rate—The assumed dividend yield is based upon the Company’s expectation of not paying dividends in the foreseeable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Stock-based compensation expense was recorded in the following line items in the statements of operations for the years ended December 31, 2025 and 2024 (in thousands): </w:t>
      </w:r>
    </w:p>
    <w:p>
      <w:pPr>
        <w:pStyle w:val="TextBody"/>
        <w:bidi w:val="0"/>
        <w:jc w:val="left"/>
        <w:rPr/>
      </w:pPr>
      <w:r>
        <w:rPr/>
        <w:t> </w:t>
      </w:r>
    </w:p>
    <w:tbl>
      <w:tblPr>
        <w:tblW w:w="5644" w:type="dxa"/>
        <w:jc w:val="left"/>
        <w:tblInd w:w="0" w:type="dxa"/>
        <w:tblLayout w:type="fixed"/>
        <w:tblCellMar>
          <w:top w:w="28" w:type="dxa"/>
          <w:left w:w="28" w:type="dxa"/>
          <w:bottom w:w="28" w:type="dxa"/>
          <w:right w:w="28" w:type="dxa"/>
        </w:tblCellMar>
      </w:tblPr>
      <w:tblGrid>
        <w:gridCol w:w="3451"/>
        <w:gridCol w:w="146"/>
        <w:gridCol w:w="211"/>
        <w:gridCol w:w="571"/>
        <w:gridCol w:w="146"/>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Severance and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 related tax benefits from stock-based compensation expense were recognized for the years ended December 31, 2025 and 2024. As of December 31, 2025, there was $1.9 million in unrecognized stock-based compensation expense, which is expected to be recognized over a weighted-average period of 1.94 years.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LICENSE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Emory University, Children’s Healthcare of Atlanta, Inc. and UAB Research Foundation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June 2016, the Company entered into an exclusive license agreement with Emory University, Children’s Healthcare of Atlanta, Inc. and UAB Research Foundation ("UABRF"), as amended from time to time (the "Emory License Agreement"). The Emory License Agreement was amended in October 2017 and July 2020. Under the Emory License Agreement, the Company obtained an exclusive worldwide license under certain immunotherapy related patents and know-how related to gamma-delta T cells developed by Emory University, Children’s Healthcare of Atlanta, Inc. and UABRF’s affiliate, the University of Alabama at Birmingham, to develop, make, have made, use, sell, import and otherwise commercialize products that are covered by such patents or otherwise incorporate or use the licensed technology. Such exclusive license is subject to certain rights retained by these institutions and also the U.S. government.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consideration of the license granted under the Emory License Agreement, the Company paid Emory University a nominal upfront payment. Between March 2017 and August 2020, the Company issued UABRF an additional 5,046 shares of common stock in satisfaction of these antidilution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 Company is required to pay Emory University development milestones totaling up to an aggregate of $1.4 million, low-single-digit to mid-single-digit tiered running royalties on the net sales of the licensed products, including an annual minimum royalty beginning on a specified period after the first sale of a licensed product, and a share of certain payments that the Company may receive from sublicenses. In addition, in the event no milestone payments have been paid in certain years, the Company will be required to pay an annual license maintenance fee. The Emory License Agreement also requires the Company to reimburse Emory University for the cost of the prosecution and maintenance of the licensed patents. Pursuant to the Emory License Agreement, the Company is required to use its best efforts to develop, manufacture and commercialize the licensed product, and is obligated to meet certain specified deadlines in the development of the licensed products.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term of the Emory License Agreement will continue until 15 years after the first commercial sale of the licensed product, or the expiration of the relevant licensed patents, whichever is later. The Company may terminate the Emory License Agreement at will at any time upon prior written notice to Emory University. Emory University has the right to terminate the Emory License Agreement if the Company materially breaches the agreement (including failure to meet diligence obligations) and fails to cure such breach within a specified cure period, if the Company becomes bankrupt or insolvent or decides to cease development and commercialization of the licensed product, or if the Company challenges the validity or enforceability of any licensed patents.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Exclusive License Agreement with UABRF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March 2016, the Company entered into an exclusive license agreement with UABRF, as amended from time to time (the "UABRF License Agreement"). The Company amended the UABRF License Agreement in December 2016, January 2017, June 2017 and November 2018. Under the UABRF License Agreement, the Company obtained an exclusive worldwide license under certain immunotherapy-related patents related to the use of gamma-delta T cells, certain CAR-T cells and combination treatments for cellular therapies developed by the University of Alabama at Birmingham and owned by UABRF to develop, make, have made, use, sell, import and otherwise commercialize products that are covered by such patents. Such exclusive license is subject to certain rights retained by UABRF and also the U.S. government.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consideration of the license granted under the UABRF License Agreement, the Company paid UABRF a nominal upfront payment and issued 3,041 shares of common stock to UABRF, which were subject to certain antidilution rights.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 Company is required to pay UABRF development milestones totaling up to an aggregate of $1.4 million, lump-sum royalties on cumulative net sales totaling up to an aggregate of $22.5 million, mid-single-digit running royalties on net sales of the licensed products, low-single-digit running royalties on net sales of the licensed products, and a share of certain non-royalty income that the Company may receive, including from any sublicenses. The UABRF License Agreement also requires the Company to reimburse UABRF for the cost of the prosecution and maintenance of the licensed patents.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Pursuant to the UABRF License Agreement, the Company is required to use good faith reasonable commercial efforts to develop, manufacture and commercialize the licensed product.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term of the UABRF License Agreement will continue until the expiration of the licensed patents. The Company may terminate the UABRF License Agreement at will at any time upon prior written notice to UABRF. UABRF has the right to terminate the UABRF License Agreement if the Company materially breaches the agreement and fails to cure such breach within a specified cure period, if the Company fails to diligently undertake development and commercialization activities as set forth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development and commercialization plan, if the Company underreports its payment obligations or underpays by more than a specified threshold, if the Company challenges the validity or enforceability of any licensed patents, or if the Company becomes bankrupt or insolvent.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years ended December 31, 2025 and 2024, loss before income taxes is attributable to the following tax jurisdictions:</w:t>
      </w:r>
    </w:p>
    <w:p>
      <w:pPr>
        <w:pStyle w:val="TextBody"/>
        <w:bidi w:val="0"/>
        <w:spacing w:before="120" w:after="283"/>
        <w:jc w:val="both"/>
        <w:rPr/>
      </w:pPr>
      <w:r>
        <w:rPr/>
        <w:t> </w:t>
      </w:r>
    </w:p>
    <w:tbl>
      <w:tblPr>
        <w:tblW w:w="5290" w:type="dxa"/>
        <w:jc w:val="left"/>
        <w:tblInd w:w="0" w:type="dxa"/>
        <w:tblLayout w:type="fixed"/>
        <w:tblCellMar>
          <w:top w:w="28" w:type="dxa"/>
          <w:left w:w="28" w:type="dxa"/>
          <w:bottom w:w="28" w:type="dxa"/>
          <w:right w:w="28" w:type="dxa"/>
        </w:tblCellMar>
      </w:tblPr>
      <w:tblGrid>
        <w:gridCol w:w="2431"/>
        <w:gridCol w:w="146"/>
        <w:gridCol w:w="244"/>
        <w:gridCol w:w="851"/>
        <w:gridCol w:w="166"/>
        <w:gridCol w:w="146"/>
        <w:gridCol w:w="244"/>
        <w:gridCol w:w="851"/>
        <w:gridCol w:w="211"/>
      </w:tblGrid>
      <w:tr>
        <w:trPr/>
        <w:tc>
          <w:tcPr>
            <w:tcW w:w="2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(30,676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incurred cumulative operating losses since its inception and as a result, there is no current and deferred income tax provision for the years ended December 31, 2025 and 2024.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years ended December 31, 2025 and 2024, the tax provision (benefit) consisted of (in thousands):</w:t>
      </w:r>
    </w:p>
    <w:p>
      <w:pPr>
        <w:pStyle w:val="TextBody"/>
        <w:bidi w:val="0"/>
        <w:jc w:val="left"/>
        <w:rPr/>
      </w:pPr>
      <w:r>
        <w:rPr/>
        <w:t> </w:t>
      </w:r>
    </w:p>
    <w:tbl>
      <w:tblPr>
        <w:tblW w:w="5820" w:type="dxa"/>
        <w:jc w:val="left"/>
        <w:tblInd w:w="0" w:type="dxa"/>
        <w:tblLayout w:type="fixed"/>
        <w:tblCellMar>
          <w:top w:w="28" w:type="dxa"/>
          <w:left w:w="28" w:type="dxa"/>
          <w:bottom w:w="28" w:type="dxa"/>
          <w:right w:w="28" w:type="dxa"/>
        </w:tblCellMar>
      </w:tblPr>
      <w:tblGrid>
        <w:gridCol w:w="2781"/>
        <w:gridCol w:w="146"/>
        <w:gridCol w:w="274"/>
        <w:gridCol w:w="821"/>
        <w:gridCol w:w="166"/>
        <w:gridCol w:w="146"/>
        <w:gridCol w:w="274"/>
        <w:gridCol w:w="821"/>
        <w:gridCol w:w="39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items accounting for the difference between income taxes computed at the federal statutory rate and the Company’s effective tax rate for the years ended December 31, 2025 and 2024 were as follows:</w:t>
      </w:r>
    </w:p>
    <w:p>
      <w:pPr>
        <w:pStyle w:val="TextBody"/>
        <w:bidi w:val="0"/>
        <w:jc w:val="left"/>
        <w:rPr/>
      </w:pPr>
      <w:r>
        <w:rPr/>
        <w:t> </w:t>
      </w:r>
    </w:p>
    <w:tbl>
      <w:tblPr>
        <w:tblW w:w="6170" w:type="dxa"/>
        <w:jc w:val="left"/>
        <w:tblInd w:w="0" w:type="dxa"/>
        <w:tblLayout w:type="fixed"/>
        <w:tblCellMar>
          <w:top w:w="28" w:type="dxa"/>
          <w:left w:w="28" w:type="dxa"/>
          <w:bottom w:w="28" w:type="dxa"/>
          <w:right w:w="28" w:type="dxa"/>
        </w:tblCellMar>
      </w:tblPr>
      <w:tblGrid>
        <w:gridCol w:w="2781"/>
        <w:gridCol w:w="146"/>
        <w:gridCol w:w="237"/>
        <w:gridCol w:w="858"/>
        <w:gridCol w:w="331"/>
        <w:gridCol w:w="146"/>
        <w:gridCol w:w="237"/>
        <w:gridCol w:w="858"/>
        <w:gridCol w:w="576"/>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permanent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True up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Deferred income taxes reflect the net tax effects of temporary differences between the carrying amounts of assets and liabilities for financial statement purposes and the amounts used for income tax purposes.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Components of the Company’s net deferred tax assets (liabilities) balance are as follows at December 31, 2025 and 2024 (in thousands):</w:t>
      </w:r>
    </w:p>
    <w:p>
      <w:pPr>
        <w:pStyle w:val="TextBody"/>
        <w:bidi w:val="0"/>
        <w:jc w:val="left"/>
        <w:rPr/>
      </w:pPr>
      <w:r>
        <w:rPr/>
        <w:t> </w:t>
      </w:r>
    </w:p>
    <w:tbl>
      <w:tblPr>
        <w:tblW w:w="8960" w:type="dxa"/>
        <w:jc w:val="left"/>
        <w:tblInd w:w="0" w:type="dxa"/>
        <w:tblLayout w:type="fixed"/>
        <w:tblCellMar>
          <w:top w:w="28" w:type="dxa"/>
          <w:left w:w="28" w:type="dxa"/>
          <w:bottom w:w="28" w:type="dxa"/>
          <w:right w:w="28" w:type="dxa"/>
        </w:tblCellMar>
      </w:tblPr>
      <w:tblGrid>
        <w:gridCol w:w="5901"/>
        <w:gridCol w:w="146"/>
        <w:gridCol w:w="244"/>
        <w:gridCol w:w="851"/>
        <w:gridCol w:w="166"/>
        <w:gridCol w:w="146"/>
        <w:gridCol w:w="244"/>
        <w:gridCol w:w="851"/>
        <w:gridCol w:w="411"/>
      </w:tblGrid>
      <w:tr>
        <w:trPr/>
        <w:tc>
          <w:tcPr>
            <w:tcW w:w="5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carryforwards and alternative minimum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Reserves and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Intangibles and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ROU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9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(liabilities),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December 31, 2025, the Company had federal net operating loss carryforwards of approximately $92.1 million, which were generated after 2017 and do not expire. As of December 31, 2025, the Company had state net operating loss carryforwards of approximately $1.1 million which will begin to expire in 2035.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evaluated both positive and negative evidence and determined that negative evidence outweighed the positive evidence and that a full valuation allowance on its net deferred tax assets will be maintained. The net change in the valuation allowance for the year ended December 31, 2025 was an increase of $2.4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IRC Section 382 imposes limitations on the use of net operating loss carryovers when the stock ownership of one or more 5% shareholders (shareholders owning 5% or more of the Company’s outstanding capital stock) has increased on a cumulative basis by more than 50 percentage points. Accordingly, there is a risk of an ownership change that could trigger a limitation of the use of the loss carryover. The Company has undertaken a formal IRC Section 382 study up until December 31, 2025. As of December 31, 2025, the Company experienced an ownership change on August 7, 2025 and is in a net unrealized built-in loss (NUBIL) position. Under the OBBBA, capitalized Section 174 amounts create tax basis and are therefore included in the Section 382 built-in loss analysis. To the extent §174 amortization is treated as recognized built-in loss (RBIL), such amounts would be subject to the Company’s Section 382 limitation during the five-year recognition period. As the Company’s current Section 382 limitation is minimal, utilization of pre-change net operating losses and any RBIL is significantly restricted during the recognition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Tax Cuts and Jobs Act (“TCJA”) included a change in the treatment of research and development expenditures for tax purposes under Section 174. Effective for tax years beginning after December 31, 2021, specified R&amp;D expenditures must undergo a 5-year amortization period for domestic spend and a 15-year amortization period for foreign spend. Prior to the effective date (2021 tax year and prior), taxpayers were able to immediately expense R&amp;D costs under Section 174(a) or had the option to capitalize and amortize R&amp;D expenditures over a 5-year recovery period under Section 174(b).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4, 2025, the One Big Beautiful Bill Act (“OBBBA”) was signed into law. OBBBA introduces significant changes to U.S. income-tax legislation. Key provisions affecting the Company include (i) permanent immediate expensing of domestic research and experimental expenditures starting January 1, 2025, and (ii) 100 percent bonus depreciation for qualified property placed in service after January 19, 2025. The Company has evaluated the current legislation at this time and prepared the provision by following the treatment of research and development expenditures for tax purposes under Section 174.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2023, the FASB issued ASU No. 2023-09, Improvements to Income Tax Disclosures. Under the ASU, public business entities (“PBEs”)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FASB released the ASU in response to stakeholder feedback indicating that “the existing income tax disclosures should be enhanced to provide information to better assess how an entity’s operations and related tax risks and tax planning and operational opportunities affect its tax rate and prospects for future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ASU’s amendments are effective for PBEs for annual periods beginning after December 15, 2024. The Company adopted ASU 2023</w:t>
        <w:noBreakHyphen/>
        <w:t>09 in the current annual period and elected to apply the amendments retrospectively to 2024 presented on the footnote to enhance comparability of income tax disclosures, including the rate reconciliation and disaggregation of income taxes paid.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ordinary course of business, the Company’s income tax returns are subject to examination by various taxing authorities. Such examinations may result in future tax and interest assessment by these taxing authorities. Accordingly, the Company believes that it is more likely than not that it will realize the benefits of tax positions it has taken in its tax returns or for the amount of any tax benefit that exceeds the cumulative probability threshold in accordance with FASB ASC 740. Differences between the estimated and actual amounts determined upon ultimate resolution, individually or in the aggregate, are not expected to have a material adverse effect on the Company’s financial position. The Company believes its tax positions are highly certain of being upheld upon examination. The Company is subject to the U.S. federal and state income taxes with varying statutes of limitations. Tax years from 2018 forward remaining open to examination due to the carryover of net operating losses or tax credits.</w:t>
      </w:r>
    </w:p>
    <w:p>
      <w:pPr>
        <w:pStyle w:val="TextBody"/>
        <w:bidi w:val="0"/>
        <w:spacing w:before="240" w:after="283"/>
        <w:jc w:val="left"/>
        <w:rPr>
          <w:rFonts w:ascii="Times New Roman" w:hAnsi="Times New Roman"/>
          <w:sz w:val="20"/>
        </w:rPr>
      </w:pPr>
      <w:r>
        <w:rPr>
          <w:rFonts w:ascii="Times New Roman" w:hAnsi="Times New Roman"/>
          <w:b/>
          <w:color w:val="000000"/>
          <w:sz w:val="20"/>
        </w:rPr>
        <w:t>11. NET LOSS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share is calculated by dividing the net loss attributable to common stockholders by the weighted-average number of shares of common stock outstanding during the period, including pre-funded warrants to purchase shares of common stock. Diluted net loss per share is the same as basic net loss per share for the periods presented since the effects of potentially dilutive securities are antidilutive given the net loss of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Basic and diluted net loss per share is calculated as follows (in thousands except share and per share amounts): </w:t>
      </w:r>
    </w:p>
    <w:p>
      <w:pPr>
        <w:pStyle w:val="TextBody"/>
        <w:bidi w:val="0"/>
        <w:jc w:val="left"/>
        <w:rPr/>
      </w:pPr>
      <w:r>
        <w:rPr/>
        <w:t> </w:t>
      </w:r>
    </w:p>
    <w:tbl>
      <w:tblPr>
        <w:tblW w:w="8189" w:type="dxa"/>
        <w:jc w:val="left"/>
        <w:tblInd w:w="0" w:type="dxa"/>
        <w:tblLayout w:type="fixed"/>
        <w:tblCellMar>
          <w:top w:w="28" w:type="dxa"/>
          <w:left w:w="28" w:type="dxa"/>
          <w:bottom w:w="28" w:type="dxa"/>
          <w:right w:w="28" w:type="dxa"/>
        </w:tblCellMar>
      </w:tblPr>
      <w:tblGrid>
        <w:gridCol w:w="5236"/>
        <w:gridCol w:w="146"/>
        <w:gridCol w:w="211"/>
        <w:gridCol w:w="931"/>
        <w:gridCol w:w="166"/>
        <w:gridCol w:w="146"/>
        <w:gridCol w:w="211"/>
        <w:gridCol w:w="931"/>
        <w:gridCol w:w="211"/>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w:t>
              <w:br/>
              <w:t> per share—basic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4,374,328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1,784,890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outstanding potentially dilutive securities have been excluded from the calculation of diluted net loss per share, as their effect is antidilutive: </w:t>
      </w:r>
    </w:p>
    <w:p>
      <w:pPr>
        <w:pStyle w:val="TextBody"/>
        <w:bidi w:val="0"/>
        <w:jc w:val="left"/>
        <w:rPr/>
      </w:pPr>
      <w:r>
        <w:rPr/>
        <w:t> </w:t>
      </w:r>
    </w:p>
    <w:tbl>
      <w:tblPr>
        <w:tblW w:w="6234" w:type="dxa"/>
        <w:jc w:val="left"/>
        <w:tblInd w:w="0" w:type="dxa"/>
        <w:tblLayout w:type="fixed"/>
        <w:tblCellMar>
          <w:top w:w="28" w:type="dxa"/>
          <w:left w:w="28" w:type="dxa"/>
          <w:bottom w:w="28" w:type="dxa"/>
          <w:right w:w="28" w:type="dxa"/>
        </w:tblCellMar>
      </w:tblPr>
      <w:tblGrid>
        <w:gridCol w:w="3451"/>
        <w:gridCol w:w="146"/>
        <w:gridCol w:w="146"/>
        <w:gridCol w:w="931"/>
        <w:gridCol w:w="146"/>
        <w:gridCol w:w="146"/>
        <w:gridCol w:w="146"/>
        <w:gridCol w:w="93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494,212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298,517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A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393,633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394,118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Series C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254,045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2,003,735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1,340,313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aps/>
          <w:color w:val="000000"/>
          <w:sz w:val="20"/>
        </w:rPr>
        <w:t>12.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Intellectual Property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existing commitments to the licensors of the intellectual property which the Company has licensed. These commitments are based upon certain clinical research, regulatory, financial and sales milestones being achieved. Additionally, the Company is obligated to pay a single-digit royalty on commercial sales on a global basis of licensed products under the Emory License Agreement and the UABRF License Agreement. The royalty term is the later of 15 years from first commercial sale or expiration of the last-to-expire component of the licensed intellectual property.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not currently party to any material legal proceedings. At each reporting date, the Company evaluates materiality and whether or not a potential loss amount or potential range of loss is probable and reasonably estimable under the provisions of the authoritative guidance that addresses accounting for contingencies. The Company expenses as incurred costs related to such legal proceedings.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aps/>
          <w:color w:val="000000"/>
          <w:sz w:val="20"/>
        </w:rPr>
        <w:t>13. equipment and FACILITY LEASES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historically entered into lease arrangements for its facilities. As of December 31, 2025, the Company had four operating leases with required future minimum payments. The Company determined the classification of these leases to be operating leases and recorded right-of-use assets and lease liabilities as of the effective date. The Company’s leases generally do not include termination or purchase options.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Finance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entered into an agreement with an equipment leasing company in 2018, which provided up to $2.5 million for equipment purchases in the form of sale and leasebacks or direct leases. As of December 31, 2025, the Company has 5 active leases from the leasing company. The terms of the leases are three years and afterwards provide for either annual extensions or an outright purchase of the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entered into an agreement with another equipment leasing company in the second quarter of 2023. As of December 31, 2025, the Company has one active lease from this leasing company. In June 2024, the Company entered into two new finance lease agreements with another leasing company. The terms of these lease are three years and afterwards provide for either annual extensions or an outright purchase of the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equipment leases require three advance rental payments to be held as security deposits. The security deposits held amounted to $0.1 million and $0.3 million as of December 31, 2025 and 2024, respectively and are included in other non-current assets on the balance sheets.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Leases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an operating lease for office space in Birmingham, Alabama, which was modified and expanded in March 2024 for a 60-month term ending in March 2029, with an option to extend five years, resulting in an increase to both the right-of-use assets and operating lease liabilities. Throughout the term of the lease, the Company is responsible for paying certain costs and expenses, in addition to the rent, as specified in the lease, including a proportionate share of applicable taxes, operating expenses and utilities. In April 2025, the Company terminated its operating lease for additional unutilized office space in Birmingham, Alabama. The Company paid a one-time termination fee of $0.1 million and paid five monthly payments of $20,000, beginning on June 1, 2025. As of October 1, 2025, there were no payments remaining.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an operating lease for office space in New York, New York, with a term that commenced on September 15, 2021, and continues through March 2027. Throughout the term of the lease, the Company is responsible for paying certain costs and expenses, in addition to the rent, as specified in the lease, including a proportionate share of applicable taxes, operating expenses and utilities.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identified an embedded lease within the University of Louisville Manufacturing Services Agreement, as the Company has the exclusive use of, and control over, a portion of the manufacturing facility and equipment of the facility during the contractual term of the manufacturing arrangement. The commencement date of the embedded lease was August 4, 2022 and it continues through August 2028.</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operating leases require security deposits at the inception of each lease. The security deposits amounted to $0.3 million and $0.2 million as of December 31, 2025 and 2024. As of December 31, 2025 and December 31, 2024, $0.2 million was included in restricted cash.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contains a summary of the lease costs recognized and other information pertaining to the Company’s finance and operating leases for the years ended December 31, 2025 and 2024 (in thousands):</w:t>
      </w:r>
    </w:p>
    <w:p>
      <w:pPr>
        <w:pStyle w:val="TextBody"/>
        <w:bidi w:val="0"/>
        <w:jc w:val="left"/>
        <w:rPr/>
      </w:pPr>
      <w:r>
        <w:rPr/>
        <w:t> </w:t>
      </w:r>
    </w:p>
    <w:tbl>
      <w:tblPr>
        <w:tblW w:w="6675" w:type="dxa"/>
        <w:jc w:val="left"/>
        <w:tblInd w:w="0" w:type="dxa"/>
        <w:tblLayout w:type="fixed"/>
        <w:tblCellMar>
          <w:top w:w="28" w:type="dxa"/>
          <w:left w:w="28" w:type="dxa"/>
          <w:bottom w:w="28" w:type="dxa"/>
          <w:right w:w="28" w:type="dxa"/>
        </w:tblCellMar>
      </w:tblPr>
      <w:tblGrid>
        <w:gridCol w:w="3656"/>
        <w:gridCol w:w="146"/>
        <w:gridCol w:w="294"/>
        <w:gridCol w:w="801"/>
        <w:gridCol w:w="146"/>
        <w:gridCol w:w="146"/>
        <w:gridCol w:w="294"/>
        <w:gridCol w:w="801"/>
        <w:gridCol w:w="391"/>
      </w:tblGrid>
      <w:tr>
        <w:trPr/>
        <w:tc>
          <w:tcPr>
            <w:tcW w:w="3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finance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finance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743" w:type="dxa"/>
        <w:jc w:val="left"/>
        <w:tblInd w:w="0" w:type="dxa"/>
        <w:tblLayout w:type="fixed"/>
        <w:tblCellMar>
          <w:top w:w="28" w:type="dxa"/>
          <w:left w:w="28" w:type="dxa"/>
          <w:bottom w:w="28" w:type="dxa"/>
          <w:right w:w="28" w:type="dxa"/>
        </w:tblCellMar>
      </w:tblPr>
      <w:tblGrid>
        <w:gridCol w:w="7186"/>
        <w:gridCol w:w="146"/>
        <w:gridCol w:w="341"/>
        <w:gridCol w:w="754"/>
        <w:gridCol w:w="316"/>
      </w:tblGrid>
      <w:tr>
        <w:trPr/>
        <w:tc>
          <w:tcPr>
            <w:tcW w:w="7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Lease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liability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liability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reconciles the undiscounted cash flows to the operating and financing lease liabilities at December 31, 2025 (in thousands):</w:t>
      </w:r>
    </w:p>
    <w:p>
      <w:pPr>
        <w:pStyle w:val="TextBody"/>
        <w:bidi w:val="0"/>
        <w:jc w:val="left"/>
        <w:rPr/>
      </w:pPr>
      <w:r>
        <w:rPr/>
        <w:t> </w:t>
      </w:r>
    </w:p>
    <w:tbl>
      <w:tblPr>
        <w:tblW w:w="5845" w:type="dxa"/>
        <w:jc w:val="left"/>
        <w:tblInd w:w="0" w:type="dxa"/>
        <w:tblLayout w:type="fixed"/>
        <w:tblCellMar>
          <w:top w:w="28" w:type="dxa"/>
          <w:left w:w="28" w:type="dxa"/>
          <w:bottom w:w="28" w:type="dxa"/>
          <w:right w:w="28" w:type="dxa"/>
        </w:tblCellMar>
      </w:tblPr>
      <w:tblGrid>
        <w:gridCol w:w="2566"/>
        <w:gridCol w:w="146"/>
        <w:gridCol w:w="394"/>
        <w:gridCol w:w="791"/>
        <w:gridCol w:w="146"/>
        <w:gridCol w:w="146"/>
        <w:gridCol w:w="367"/>
        <w:gridCol w:w="998"/>
        <w:gridCol w:w="2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1,019</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lease payment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short-term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b/>
          <w:caps/>
          <w:color w:val="000000"/>
          <w:sz w:val="20"/>
        </w:rPr>
      </w:pPr>
      <w:r>
        <w:rPr>
          <w:rFonts w:ascii="Times New Roman" w:hAnsi="Times New Roman"/>
          <w:b/>
          <w:caps/>
          <w:color w:val="000000"/>
          <w:sz w:val="20"/>
        </w:rPr>
        <w:t>14. 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segments are identified as components of an enterprise about which separate discrete financial information is available for evaluation by the CODM or decision-making group in making decisions on how to allocate resources and assess performance. The Company has one operating segment focused on the discovery, development and commercialization of gamma-delta T cell product candidates for solid and liquid tumors. The CODM is the Company’s CEO. The CEO manages the Company’s operations on a consolidated basis, assesses performance for the operating segment and decides how to allocate resources based on consolidated net loss, which is reported on the consolidated statements of operations. Depreciation expense, amortization expense, stock-based compensation expense, and non-cash lease expense are significant noncash items included in consolidated net loss reviewed by the CEO and are reported on the consolidated statements of cash flows. The measure of segment assets is reported on the consolidated balance sheets as total consolidated assets.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certain financial data for the Company’s reportable segment:</w:t>
      </w:r>
    </w:p>
    <w:p>
      <w:pPr>
        <w:pStyle w:val="TextBody"/>
        <w:bidi w:val="0"/>
        <w:jc w:val="both"/>
        <w:rPr/>
      </w:pPr>
      <w:r>
        <w:rPr/>
        <w:t> </w:t>
      </w:r>
    </w:p>
    <w:tbl>
      <w:tblPr>
        <w:tblW w:w="7549" w:type="dxa"/>
        <w:jc w:val="left"/>
        <w:tblInd w:w="0" w:type="dxa"/>
        <w:tblLayout w:type="fixed"/>
        <w:tblCellMar>
          <w:top w:w="28" w:type="dxa"/>
          <w:left w:w="28" w:type="dxa"/>
          <w:bottom w:w="28" w:type="dxa"/>
          <w:right w:w="28" w:type="dxa"/>
        </w:tblCellMar>
      </w:tblPr>
      <w:tblGrid>
        <w:gridCol w:w="5146"/>
        <w:gridCol w:w="146"/>
        <w:gridCol w:w="211"/>
        <w:gridCol w:w="676"/>
        <w:gridCol w:w="146"/>
        <w:gridCol w:w="146"/>
        <w:gridCol w:w="211"/>
        <w:gridCol w:w="676"/>
        <w:gridCol w:w="1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w:t>
              <w:b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INB-100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INB-200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INB-400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Personnel-related indirect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items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(1) Other segment items include preclinical expenses, severance and related charges, and interest income.</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3" w:name="item_9_changes_in_disagreements_with_acc"/>
      <w:bookmarkEnd w:id="23"/>
      <w:r>
        <w:rPr>
          <w:rFonts w:ascii="Times New Roman" w:hAnsi="Times New Roman"/>
          <w:b/>
          <w:color w:val="000000"/>
          <w:sz w:val="20"/>
        </w:rPr>
        <w:t>Item 9. Changes in and Disagreements with Accountants on Accounting and Financial Disclosure.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sz w:val="20"/>
        </w:rPr>
      </w:pPr>
      <w:bookmarkStart w:id="24" w:name="item_9a_controls_procedures"/>
      <w:bookmarkEnd w:id="24"/>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Evaluation of Disclosure Controls and Procedures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supervision of our Chief Executive Officer and Chief Financial Officer, we evaluated the effectiveness of our disclosure controls and procedures (as defined in Rules 13a-15(e) and 15d-15(e) of the Exchange Act) as of December 31, 2025. Based on that evaluation, our Chief Executive Officer and Chief Financial Officer have concluded that as of December 31, 2025 our disclosure controls and procedures were effective to 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discussion regarding required disclosures. 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Management’s Annual Report on Internal Control Over Financial Reporting</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Our management is responsible for establishing and maintaining adequate internal control over financial reporting (as defined in Rules 13a-15(f) and 15d-15(f) of the Exchange Act). Our management conducted an evaluation of the effectiveness of our internal control over financial reporting as of December 31, 2025 based on the criteria established in </w:t>
      </w:r>
      <w:r>
        <w:rPr>
          <w:rFonts w:ascii="Times New Roman" w:hAnsi="Times New Roman"/>
          <w:i/>
          <w:color w:val="000000"/>
          <w:sz w:val="20"/>
        </w:rPr>
        <w:t>Internal Control - Integrated Framework</w:t>
      </w:r>
      <w:r>
        <w:rPr>
          <w:rFonts w:ascii="Times New Roman" w:hAnsi="Times New Roman"/>
          <w:color w:val="000000"/>
          <w:sz w:val="20"/>
        </w:rPr>
        <w:t xml:space="preserve"> (2013) issued by the Committee of Sponsoring Organizations of the Treadway Commission.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results of its evaluation, management concluded that our internal control over financial reporting was effective as of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This Annual Report on Form 10-K does not include an attestation report of our independent registered public accounting firm on internal control over financial reporting due to the deferral allowed under the JOBS Act for emerging growth companies.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Inherent Limitations on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including the Chief Executive Officer and Chief Financial Officer, do not expect that our disclosure controls and procedures and our internal controls will prevent all error and all fraud. A control system, no matter how well designed and operated, can only provide reasonable assurances that the objectives of the control system are met. The design of a control system reflects resource constraints; the benefits of controls must be considered relative to their costs. Because there are inherent limitations in all control systems, no evaluation of controls can provide absolute assurance that all control issues and instances of fraud, if any, within the Company have been or will be detected. As these inherent limitations are known features of the financial reporting process, it is possible to design into the process safeguards to reduce, though not eliminate, these risks. These inherent limitations include the realities that judgments in decision-making can be faulty and that breakdowns occur because of simple error or mistake. Controls can be circumvented by the individual acts of some persons, by collusion of two or more people, or by management override of the control. The design of any system of controls is based in part upon certain assumptions about the likelihood of future events. While our disclosure controls and procedures are designed to provide reasonable assurance of achieving their objectives, there can be no assurance that any design will succeed in achieving its stated goals under all future conditions. Over time, controls may become inadequate because of changes in conditions or deterioration in the degree of compliance with the policies or procedures. Because of the inherent limitations in a cost-effective control system, misstatements due to error or fraud may occur and not be detected.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intend to review and evaluate the design and effectiveness of our disclosure controls and procedures on an ongoing basis and to improve our controls and procedures over time and to correct any deficiencies that we may discover in the future. While our Chief Executive Officer and Chief Financial Officer have concluded that, as of December 31, 2025, the design of our disclosure controls and procedures (as defined in Rule 13a-15(e) of the Exchange Act) was effective, future events affecting our business may cause us to significantly modify our disclosure controls and procedures.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was no change in our internal control over financial reporting identified in connection with the evaluation required by Rules 13a-15(d) and 15d-15(d) of the Exchange Act that occurred during the three months ended December 31, 2025, that has materially affected, or is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5" w:name="item_9b_other_info"/>
      <w:bookmarkEnd w:id="25"/>
      <w:r>
        <w:rPr>
          <w:rFonts w:ascii="Times New Roman" w:hAnsi="Times New Roman"/>
          <w:b/>
          <w:color w:val="000000"/>
          <w:sz w:val="20"/>
        </w:rPr>
        <w:t>Item 9B. Other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Rule 10b5-1 Trading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 of our directors or executive officers adopted, modified or terminated a “Rule 10b5-1 trading arrangement” or “non-Rule-10b5-1 trading arrangement,” as each term is defined in Item 408(a) of Regulation S-K, during the fiscal quarter ended December 31, 2025.</w:t>
      </w:r>
    </w:p>
    <w:p>
      <w:pPr>
        <w:pStyle w:val="TextBody"/>
        <w:bidi w:val="0"/>
        <w:spacing w:before="240" w:after="283"/>
        <w:jc w:val="left"/>
        <w:rPr>
          <w:rFonts w:ascii="Times New Roman" w:hAnsi="Times New Roman"/>
          <w:sz w:val="20"/>
        </w:rPr>
      </w:pPr>
      <w:bookmarkStart w:id="26" w:name="item_9c_disclosure_regarding_foreign"/>
      <w:bookmarkEnd w:id="26"/>
      <w:r>
        <w:rPr>
          <w:rFonts w:ascii="Times New Roman" w:hAnsi="Times New Roman"/>
          <w:b/>
          <w:color w:val="000000"/>
          <w:sz w:val="20"/>
        </w:rPr>
        <w:t>Item 9C. Disclosure Regarding Foreign</w:t>
      </w:r>
      <w:r>
        <w:rPr>
          <w:rFonts w:ascii="Times New Roman" w:hAnsi="Times New Roman"/>
          <w:color w:val="000000"/>
          <w:sz w:val="20"/>
        </w:rPr>
        <w:t xml:space="preserve"> </w:t>
      </w:r>
      <w:r>
        <w:rPr>
          <w:rFonts w:ascii="Times New Roman" w:hAnsi="Times New Roman"/>
          <w:b/>
          <w:color w:val="000000"/>
          <w:sz w:val="20"/>
        </w:rPr>
        <w:t>Jurisdictions that Prevent Inspections.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part_iii"/>
      <w:bookmarkEnd w:id="27"/>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information required by Part III is omitted from this report because we will file with the SEC a definitive proxy statement pursuant to Regulation 14A, (the "2026 Proxy Statement"), no later than 120 days after the end of our fiscal year, and certain information included therein is incorporated herein by reference.</w:t>
      </w:r>
    </w:p>
    <w:p>
      <w:pPr>
        <w:pStyle w:val="TextBody"/>
        <w:bidi w:val="0"/>
        <w:spacing w:before="240" w:after="283"/>
        <w:jc w:val="left"/>
        <w:rPr>
          <w:rFonts w:ascii="Times New Roman" w:hAnsi="Times New Roman"/>
          <w:sz w:val="20"/>
        </w:rPr>
      </w:pPr>
      <w:bookmarkStart w:id="28" w:name="item_10_directors_executive_ficers_corpo"/>
      <w:bookmarkEnd w:id="28"/>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the information set forth in the sections titled “Proposal 1: Election of Directors,” “Executive Officers,” “Information Regarding the Board and Corporate Governance” and “Delinquent Section 16(a) Reports,” if applicable, in our 2026 Proxy Statement.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Information regarding our Code of Business Conduct and Ethics (the "Code of Conduct"), required by this item will be contained in our 2026 Proxy Statement under the caption “Information Regarding the Board and Corporate Governance – Code of Business Conduct and Ethics,” and is hereby incorporated by reference. We intend to promptly disclose on our website or in a Current Report on Form 8-K in the future (i) the date and nature of any amendment (other than technical, administrative or other non-substantive amendments) to the Code of Conduct that applies to our principal executive officer, principal financial officer, principal accounting officer or controller or persons performing similar functions and relates to any element of the code of ethics definition enumerated in Item 406(b) of Regulation S-K and (ii) the nature of any waiver, including an implicit waiver, from a provision of the Code of Conduct that is granted to one of these specified individuals that relates to one or more of the elements of the code of ethics definition enumerated in Item 406(b) of Regulation S-K, the name of such person who is granted the waiver and the date of the waiver. The full text of our Code of Conduct is available at the investors section of our website at </w:t>
      </w:r>
      <w:r>
        <w:rPr>
          <w:rFonts w:ascii="Times New Roman" w:hAnsi="Times New Roman"/>
          <w:i/>
          <w:color w:val="000000"/>
          <w:sz w:val="20"/>
        </w:rPr>
        <w:t>www.in8bio.com</w:t>
      </w:r>
      <w:r>
        <w:rPr>
          <w:rFonts w:ascii="Times New Roman" w:hAnsi="Times New Roman"/>
          <w:color w:val="000000"/>
          <w:sz w:val="20"/>
        </w:rPr>
        <w:t>. The reference to our website address does not constitute incorporation by reference of the information contained at or available through our website, and you should not consider it to be a part of this Annual Report.</w:t>
      </w:r>
    </w:p>
    <w:p>
      <w:pPr>
        <w:pStyle w:val="TextBody"/>
        <w:bidi w:val="0"/>
        <w:spacing w:before="240" w:after="283"/>
        <w:jc w:val="left"/>
        <w:rPr>
          <w:rFonts w:ascii="Times New Roman" w:hAnsi="Times New Roman"/>
          <w:sz w:val="20"/>
        </w:rPr>
      </w:pPr>
      <w:bookmarkStart w:id="29" w:name="item_11_executive_compensation"/>
      <w:bookmarkEnd w:id="29"/>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the information set forth in the section titled “Executive Officer and Director Compensation” in our 2026 Proxy Statement. </w:t>
      </w:r>
    </w:p>
    <w:p>
      <w:pPr>
        <w:pStyle w:val="TextBody"/>
        <w:bidi w:val="0"/>
        <w:spacing w:before="240" w:after="283"/>
        <w:jc w:val="left"/>
        <w:rPr>
          <w:rFonts w:ascii="Times New Roman" w:hAnsi="Times New Roman"/>
          <w:sz w:val="20"/>
        </w:rPr>
      </w:pPr>
      <w:bookmarkStart w:id="30" w:name="item_12_security_ownership_certain_benef"/>
      <w:bookmarkEnd w:id="30"/>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the information set forth in the sections titled “Equity Compensation Plan Information” and “Security Ownership of Certain Beneficial Owners and Management” in our 2026 Proxy Statement. </w:t>
      </w:r>
    </w:p>
    <w:p>
      <w:pPr>
        <w:pStyle w:val="TextBody"/>
        <w:bidi w:val="0"/>
        <w:spacing w:before="240" w:after="283"/>
        <w:jc w:val="left"/>
        <w:rPr>
          <w:rFonts w:ascii="Times New Roman" w:hAnsi="Times New Roman"/>
          <w:sz w:val="20"/>
        </w:rPr>
      </w:pPr>
      <w:bookmarkStart w:id="31" w:name="item_13_certain_relationships_related_tr"/>
      <w:bookmarkEnd w:id="31"/>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the information set forth in the sections titled “Transactions with Related Persons and Indemnification” and “Information Regarding the Board and Corporate Governance–Independence of Directors” in our 2026 Proxy Statement. </w:t>
      </w:r>
    </w:p>
    <w:p>
      <w:pPr>
        <w:pStyle w:val="TextBody"/>
        <w:bidi w:val="0"/>
        <w:spacing w:before="240" w:after="283"/>
        <w:jc w:val="left"/>
        <w:rPr>
          <w:rFonts w:ascii="Times New Roman" w:hAnsi="Times New Roman"/>
          <w:sz w:val="20"/>
        </w:rPr>
      </w:pPr>
      <w:bookmarkStart w:id="32" w:name="item_14_principal_accountant_fees_servic"/>
      <w:bookmarkEnd w:id="32"/>
      <w:r>
        <w:rPr>
          <w:rFonts w:ascii="Times New Roman" w:hAnsi="Times New Roman"/>
          <w:b/>
          <w:color w:val="000000"/>
          <w:sz w:val="20"/>
        </w:rPr>
        <w:t>Item 14. Principal Accountant Fees and Services.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Information regarding accounting fees and services required by this item will be contained in our 2026 Proxy Statement in Proposal 2 under the captions “–Independent Registered Public Accounting Firm Fees” and “–Pre-Approval Policies and Procedures” and is hereby incorporated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sz w:val="20"/>
        </w:rPr>
      </w:pPr>
      <w:bookmarkStart w:id="33" w:name="part_iv"/>
      <w:bookmarkEnd w:id="3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r>
        <w:rPr>
          <w:rFonts w:ascii="Times New Roman" w:hAnsi="Times New Roman"/>
          <w:color w:val="000000"/>
          <w:sz w:val="20"/>
        </w:rPr>
        <w:t xml:space="preserve"> </w:t>
      </w:r>
    </w:p>
    <w:p>
      <w:pPr>
        <w:pStyle w:val="TextBody"/>
        <w:bidi w:val="0"/>
        <w:jc w:val="left"/>
        <w:rPr>
          <w:rFonts w:ascii="Times New Roman" w:hAnsi="Times New Roman"/>
          <w:sz w:val="20"/>
        </w:rPr>
      </w:pPr>
      <w:bookmarkStart w:id="34" w:name="item_15_exhibits_financial_statement_sch"/>
      <w:bookmarkEnd w:id="34"/>
      <w:r>
        <w:rPr>
          <w:rFonts w:ascii="Times New Roman" w:hAnsi="Times New Roman"/>
          <w:b/>
          <w:color w:val="000000"/>
          <w:sz w:val="20"/>
        </w:rPr>
        <w:t>Item 15. Exhibits and Financial Statement Schedules.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financial statements schedules and exhibits filed as part of this Annual Report are as follows: </w:t>
      </w:r>
    </w:p>
    <w:p>
      <w:pPr>
        <w:pStyle w:val="TextBody"/>
        <w:bidi w:val="0"/>
        <w:spacing w:before="240" w:after="283"/>
        <w:jc w:val="left"/>
        <w:rPr>
          <w:rFonts w:ascii="Times New Roman" w:hAnsi="Times New Roman"/>
          <w:sz w:val="20"/>
        </w:rPr>
      </w:pPr>
      <w:r>
        <w:rPr>
          <w:rFonts w:ascii="Times New Roman" w:hAnsi="Times New Roman"/>
          <w:b/>
          <w:color w:val="000000"/>
          <w:sz w:val="20"/>
        </w:rPr>
        <w:t>(a)(1) Financial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Reference is made to the financial statements included in Item 8 of Part II hereof. </w:t>
      </w:r>
    </w:p>
    <w:p>
      <w:pPr>
        <w:pStyle w:val="TextBody"/>
        <w:bidi w:val="0"/>
        <w:spacing w:before="240" w:after="283"/>
        <w:jc w:val="left"/>
        <w:rPr>
          <w:rFonts w:ascii="Times New Roman" w:hAnsi="Times New Roman"/>
          <w:sz w:val="20"/>
        </w:rPr>
      </w:pPr>
      <w:r>
        <w:rPr>
          <w:rFonts w:ascii="Times New Roman" w:hAnsi="Times New Roman"/>
          <w:b/>
          <w:color w:val="000000"/>
          <w:sz w:val="20"/>
        </w:rPr>
        <w:t>(a)(2) Financial Statement Schedules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other schedules are omitted because they are not required or the required information is included in the financial statements or notes thereto included in Item 8 of Part II hereof.</w:t>
      </w:r>
    </w:p>
    <w:p>
      <w:pPr>
        <w:pStyle w:val="TextBody"/>
        <w:bidi w:val="0"/>
        <w:spacing w:before="240" w:after="283"/>
        <w:jc w:val="left"/>
        <w:rPr>
          <w:rFonts w:ascii="Times New Roman" w:hAnsi="Times New Roman"/>
          <w:sz w:val="20"/>
        </w:rPr>
      </w:pPr>
      <w:r>
        <w:rPr>
          <w:rFonts w:ascii="Times New Roman" w:hAnsi="Times New Roman"/>
          <w:b/>
          <w:color w:val="000000"/>
          <w:sz w:val="20"/>
        </w:rPr>
        <w:t>(a)(3) Exhibits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exhibits required to be filed or furnished as part of this report are listed in the Exhibit List set forth below.</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5" w:name="exhibit_index"/>
      <w:bookmarkEnd w:id="35"/>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9353"/>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53"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5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Amended and Restated Certificate of Incorporation of the Company (incorporated herein by reference to Exhibit 3.1 to the Company’s Current Report on Form 8-K (File No. 001-39692), filed with the SEC on August 3,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Certificate of Amendment of the Amended and Restated Certificate of Incorporation of the Company (incorporated herein by reference to Exhibit 3.1 to the Company’s Current Report on Form 8-K (File No. 001-39692), filed with the SEC on June 4,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Second Amended and Restated Bylaws of the Company (incorporated herein by reference to Exhibit 3.1 to the Company’s Current Report on Form 8-K (File No. 001-39692), filed with the SEC on December 7,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Form of Common Stock Certificate (incorporated herein by reference to Exhibit 4.1 to the Company’s Amendment No. 1 to Registration Statement on Form S-1 (File No. 333-249530), filed with the SEC on November 5, 2020).</w:t>
              </w:r>
            </w:hyperlink>
            <w:hyperlink r:id="rId32">
              <w:r>
                <w:rPr>
                  <w:rStyle w:val="InternetLink"/>
                  <w:rFonts w:ascii="Times New Roman" w:hAnsi="Times New Roman"/>
                  <w:color w:val="0000FF"/>
                  <w:sz w:val="20"/>
                </w:rPr>
                <w:t xml:space="preserve"> </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ab-ex4_2.htm">
              <w:r>
                <w:rPr>
                  <w:rStyle w:val="InternetLink"/>
                  <w:rFonts w:ascii="Times New Roman" w:hAnsi="Times New Roman"/>
                  <w:color w:val="0000FF"/>
                  <w:sz w:val="20"/>
                  <w:u w:val="single"/>
                </w:rPr>
                <w:t>Description of the Registrant’s Securities.</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Form of Pre-Funded Warrant (incorporated herein by reference to Exhibit 4.1 to the Company’s Current Report on Form 8-K (File No. 001-39692), filed with the SEC on October 1,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Form of Pre-Funded Warrant (incorporated herein by reference to Exhibit 4.1 to the Company’s Current Report on Form 8-K (File No. 001-39692), filed with the SEC on April 28,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Form of Pre-Funded Warrant (incorporated herein by reference to Exhibit 4.1 to the Company’s Current Report on Form 8-K (File No. 001-39692), filed with the SEC on December 19,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Form of Series B Warrant (incorporated herein by reference to Exhibit 4.3 to the Company’s Current Report on Form 8-K (File No. 001-39692), filed with the SEC on December 11,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Amendment to Series B Warrant (incorporated herein by reference to Exhibit 4.4 to the Company’s Current Report on Form 8-K (File No. 001-39692), filed with the SEC on April 28,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Form of Series C Warrant (incorporated herein by reference to Exhibit 4.2 to the Company’s Current Report on Form 8-K (File No. 001-39692), filed with the SEC on October 1,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Form of Registration Rights Agreement (incorporated herein by reference to Exhibit 10.2 to the Company’s Current Report on Form 8-K (File No. 001-39692), filed with the SEC on December 11,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Form of Registration Rights Agreement (incorporated herein by reference to Exhibit 10.2 to the Company’s Current Report on Form 8-K (File No. 001-39692), filed with the SEC on October 1, 2024).</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Registration Rights Agreement, dated as of December 18, 2025 (incorporated by reference to Exhibit 10.2 to the Company’s Current Report on Form 8-K (File No. 001-39692), filed with the SEC on December 19,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jc w:val="left"/>
              <w:rPr/>
            </w:pPr>
            <w:hyperlink r:id="rId42">
              <w:r>
                <w:rPr>
                  <w:rStyle w:val="InternetLink"/>
                  <w:rFonts w:ascii="Times New Roman" w:hAnsi="Times New Roman"/>
                  <w:color w:val="0000FF"/>
                  <w:sz w:val="20"/>
                  <w:u w:val="single"/>
                </w:rPr>
                <w:t>Form of Indemnity Agreement by and between the Company and its directors and executive</w:t>
              </w:r>
            </w:hyperlink>
          </w:p>
          <w:p>
            <w:pPr>
              <w:pStyle w:val="TableContents"/>
              <w:bidi w:val="0"/>
              <w:spacing w:before="0" w:after="283"/>
              <w:jc w:val="left"/>
              <w:rPr/>
            </w:pPr>
            <w:hyperlink r:id="rId43">
              <w:r>
                <w:rPr>
                  <w:rStyle w:val="InternetLink"/>
                  <w:rFonts w:ascii="Times New Roman" w:hAnsi="Times New Roman"/>
                  <w:color w:val="0000FF"/>
                  <w:sz w:val="20"/>
                  <w:u w:val="single"/>
                </w:rPr>
                <w:t>officers (incorporated herein by reference to Exhibit 10.1 to the Company’s Registration Statement on Form S-1/A (File No. 333-249530), filed with the Commission on November 5, 2020).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2018 Equity Incentive Plan (incorporated herein by reference to Exhibit 10.2 to the Company’s Registration Statement on Form S-1 (File No. 333-249530), filed with the Commission on October 16, 2020).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Forms of Option Grant Notice and Option Agreement under 2018 Equity Incentive Plan (incorporated herein by reference to Exhibit 10.3 to the Company’s Registration Statement on Form S-1 (File No. 333-249530), filed with the Commission on October 16, 2020).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2020 Equity Incentive Plan (incorporated herein by reference to Exhibit 4.6 to the Company’s Registration Statement on Form S-8 (File No. 333-259458), filed with the SEC on September 10,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Forms of Option Grant Notice and Option Agreement under 2020 Equity Incentive Plan (incorporated herein by reference to Exhibit 10.5 to the Company’s Registration Statement on Form S-1/A (File No. 333-249530), filed with the Commission on November 5, 2020).</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Amended and Restated 2023 Equity Incentive Plan (incorporated herein by reference to Exhibit 10.1 to the Company’s Quarterly Report on Form 10-Q (File No. 001-39692), filed with the SEC on August 10,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Forms of Option Grant Notice and Option Agreement under the Amended and Restated 2023 Equity Incentive Plan (incorporated herein by reference to Exhibit 10.2 to the Company’s Quarterly Report on Form 10-Q (File No. 001-39692), filed with the SEC on August 10, 2023).</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2020 Employee Stock Purchase Plan (incorporated herein by reference to Exhibit 4.6 to the Company’s Registration Statement on Form S-8 (File No. 333-259458), filed with the SEC on September 10, 2021).</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3"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Non-Employee Director Compensation Policy (as amended August 30, 2024) (incorporated herein by reference to Exhibit 10.9 to the Company’s Quarterly Report on Form 10-Q (File No. 001-39692), filed with the SEC on November 12, 2024).</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7"/>
        <w:gridCol w:w="146"/>
        <w:gridCol w:w="9442"/>
      </w:tblGrid>
      <w:tr>
        <w:trPr/>
        <w:tc>
          <w:tcPr>
            <w:tcW w:w="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42" w:type="dxa"/>
            <w:tcBorders/>
            <w:vAlign w:val="center"/>
          </w:tcPr>
          <w:p>
            <w:pPr>
              <w:pStyle w:val="TableContents"/>
              <w:bidi w:val="0"/>
              <w:spacing w:before="0" w:after="283"/>
              <w:jc w:val="left"/>
              <w:rPr>
                <w:sz w:val="4"/>
                <w:szCs w:val="4"/>
              </w:rPr>
            </w:pPr>
            <w:r>
              <w:rPr>
                <w:sz w:val="4"/>
                <w:szCs w:val="4"/>
              </w:rPr>
            </w:r>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ab-ex10_10.htm">
              <w:r>
                <w:rPr>
                  <w:rStyle w:val="InternetLink"/>
                  <w:rFonts w:ascii="Times New Roman" w:hAnsi="Times New Roman"/>
                  <w:color w:val="0000FF"/>
                  <w:sz w:val="20"/>
                  <w:u w:val="single"/>
                </w:rPr>
                <w:t>Non-Employee Director Compensation Policy (as amended February 4, 2026).</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jc w:val="left"/>
              <w:rPr/>
            </w:pPr>
            <w:hyperlink r:id="rId52">
              <w:r>
                <w:rPr>
                  <w:rStyle w:val="InternetLink"/>
                  <w:rFonts w:ascii="Times New Roman" w:hAnsi="Times New Roman"/>
                  <w:color w:val="0000FF"/>
                  <w:sz w:val="20"/>
                  <w:u w:val="single"/>
                </w:rPr>
                <w:t>Exclusive License Agreement, dated March 10, 2016, between the Company and The UAB</w:t>
              </w:r>
            </w:hyperlink>
          </w:p>
          <w:p>
            <w:pPr>
              <w:pStyle w:val="TableContents"/>
              <w:bidi w:val="0"/>
              <w:spacing w:before="0" w:after="283"/>
              <w:jc w:val="left"/>
              <w:rPr/>
            </w:pPr>
            <w:hyperlink r:id="rId53">
              <w:r>
                <w:rPr>
                  <w:rStyle w:val="InternetLink"/>
                  <w:rFonts w:ascii="Times New Roman" w:hAnsi="Times New Roman"/>
                  <w:color w:val="0000FF"/>
                  <w:sz w:val="20"/>
                  <w:u w:val="single"/>
                </w:rPr>
                <w:t>Research Foundation (incorporated herein by reference to Exhibit 10.8 to the Company’s Registration Statement on Form S-1 (File No. 333-249530), filed with the Commission on October 16, 2020).</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First Amendment to Exclusive License Agreement, dated December 14, 2016, between the UAB Research Foundation and the Company (incorporated herein by reference to Exhibit 10.9 to the Company’s Registration Statement on Form S-1 (File No. 333-249530), filed with the Commission on October 16, 2020).</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Second Amendment to Exclusive License Agreement, dated December 14, 2016, between the UAB Research Foundation and the Company (incorporated herein by reference to Exhibit 10.10 to the Company’s Registration Statement on Form S-1 (File No. 333-249530), filed with the Commission on October 16, 2020).</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jc w:val="left"/>
              <w:rPr/>
            </w:pPr>
            <w:hyperlink r:id="rId56">
              <w:r>
                <w:rPr>
                  <w:rStyle w:val="InternetLink"/>
                  <w:rFonts w:ascii="Times New Roman" w:hAnsi="Times New Roman"/>
                  <w:color w:val="0000FF"/>
                  <w:sz w:val="20"/>
                  <w:u w:val="single"/>
                </w:rPr>
                <w:t>Third Amendment to Exclusive License Agreement, dated December 14, 2016, between the</w:t>
              </w:r>
            </w:hyperlink>
          </w:p>
          <w:p>
            <w:pPr>
              <w:pStyle w:val="TableContents"/>
              <w:bidi w:val="0"/>
              <w:spacing w:before="0" w:after="283"/>
              <w:jc w:val="left"/>
              <w:rPr/>
            </w:pPr>
            <w:hyperlink r:id="rId57">
              <w:r>
                <w:rPr>
                  <w:rStyle w:val="InternetLink"/>
                  <w:rFonts w:ascii="Times New Roman" w:hAnsi="Times New Roman"/>
                  <w:color w:val="0000FF"/>
                  <w:sz w:val="20"/>
                  <w:u w:val="single"/>
                </w:rPr>
                <w:t>UAB Research Foundation and the Company (incorporated herein by reference to Exhibit 10.11 to the Company’s Registration Statement on Form S-1 (File No. 333-249530), filed with the Commission on October 16, 2020).</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8">
              <w:r>
                <w:rPr>
                  <w:rStyle w:val="InternetLink"/>
                  <w:rFonts w:ascii="Times New Roman" w:hAnsi="Times New Roman"/>
                  <w:color w:val="0000FF"/>
                  <w:sz w:val="20"/>
                  <w:u w:val="single"/>
                </w:rPr>
                <w:t>Fourth Amendment to Exclusive License Agreement, dated December 14, 2016, between the UAB Research Foundation and the Company (incorporated herein by reference to Exhibit 10.12 to the Company’s Registration Statement on Form S-1 (File No. 333-249530), filed with the Commission on October 16, 2020).</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9">
              <w:r>
                <w:rPr>
                  <w:rStyle w:val="InternetLink"/>
                  <w:rFonts w:ascii="Times New Roman" w:hAnsi="Times New Roman"/>
                  <w:color w:val="0000FF"/>
                  <w:sz w:val="20"/>
                  <w:u w:val="single"/>
                </w:rPr>
                <w:t>Exclusive License Agreement, dated June 10, 2016, between Emory University, Children’s Healthcare of Atlanta, Inc., and UAB Research Foundation and the Company (incorporated herein by reference to Exhibit 10.13 to the Company’s Registration Statement on Form S-1 (File No. 333-249530), filed with the Commission on October 16, 2020).</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0">
              <w:r>
                <w:rPr>
                  <w:rStyle w:val="InternetLink"/>
                  <w:rFonts w:ascii="Times New Roman" w:hAnsi="Times New Roman"/>
                  <w:color w:val="0000FF"/>
                  <w:sz w:val="20"/>
                  <w:u w:val="single"/>
                </w:rPr>
                <w:t>First Amendment to Exclusive License Agreement between Emory University, Children’s Healthcare of Atlanta, Inc., The UAB Research Foundation and the Company (incorporated herein by reference to Exhibit 10.14 to the Company’s Registration Statement on Form S-1 (File No. 333-249530), filed with the Commission on October 16, 2020).</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1">
              <w:r>
                <w:rPr>
                  <w:rStyle w:val="InternetLink"/>
                  <w:rFonts w:ascii="Times New Roman" w:hAnsi="Times New Roman"/>
                  <w:color w:val="0000FF"/>
                  <w:sz w:val="20"/>
                  <w:u w:val="single"/>
                </w:rPr>
                <w:t>Second Amendment to Exclusive License Agreement between Emory University, Children’s Healthcare of Atlanta, Inc., The UAB Research Foundation and the Company (incorporated herein by reference to Exhibit 10.15 to the Company’s Registration Statement on Form S-1 (File No. 333-249530), filed with the Commission on October 16, 2020).</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2">
              <w:r>
                <w:rPr>
                  <w:rStyle w:val="InternetLink"/>
                  <w:rFonts w:ascii="Times New Roman" w:hAnsi="Times New Roman"/>
                  <w:color w:val="0000FF"/>
                  <w:sz w:val="20"/>
                  <w:u w:val="single"/>
                </w:rPr>
                <w:t>Amended and Restated Employment Agreement, between the Company and William Ho, dated December 1, 2020 (incorporated herein by reference to Exhibit 10.16 to the Company’s Registration Statement on Form S-1/A (File No. 333-249530), filed with the Commission on July 22, 2021).</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3">
              <w:r>
                <w:rPr>
                  <w:rStyle w:val="InternetLink"/>
                  <w:rFonts w:ascii="Times New Roman" w:hAnsi="Times New Roman"/>
                  <w:color w:val="0000FF"/>
                  <w:sz w:val="20"/>
                  <w:u w:val="single"/>
                </w:rPr>
                <w:t>Amendment to Amended and Restated Employment Agreement, between the Company and William Ho, dated as of August 30, 2024 (incorporated herein by reference to Exhibit 10.1 to the Company's Current Report on Form 8-K (File No. 001-39692), filed with the SEC on September 6, 2024).</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4">
              <w:r>
                <w:rPr>
                  <w:rStyle w:val="InternetLink"/>
                  <w:rFonts w:ascii="Times New Roman" w:hAnsi="Times New Roman"/>
                  <w:color w:val="0000FF"/>
                  <w:sz w:val="20"/>
                  <w:u w:val="single"/>
                </w:rPr>
                <w:t>Amended and Restated Employment Agreement between the Company and Lawrence Lamb, dated December 31, 2020 (incorporated herein by reference to Exhibit 10.17 to the Company’s Registration Statement on Form S-1/A (File No. 333-249530), filed with the Commission on July 22, 2021).</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5">
              <w:r>
                <w:rPr>
                  <w:rStyle w:val="InternetLink"/>
                  <w:rFonts w:ascii="Times New Roman" w:hAnsi="Times New Roman"/>
                  <w:color w:val="0000FF"/>
                  <w:sz w:val="20"/>
                  <w:u w:val="single"/>
                </w:rPr>
                <w:t>Amendment to Employment Agreement, by and between the Company and Lawrence Lamb, dated as of August 30, 2024 (incorporated herein by reference to Exhibit 10.3 to the Company’s Current Report on Form 8-K (File No. 001-39692), filed with the SEC on September 6, 2024).</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6">
              <w:r>
                <w:rPr>
                  <w:rStyle w:val="InternetLink"/>
                  <w:rFonts w:ascii="Times New Roman" w:hAnsi="Times New Roman"/>
                  <w:color w:val="0000FF"/>
                  <w:sz w:val="20"/>
                  <w:u w:val="single"/>
                </w:rPr>
                <w:t>Employment Agreement between the Company and Patrick McCall, dated January 20, 2021 (incorporated herein by reference to Exhibit 10.20 to the Company’s Annual Report on Form 10-K (File No. 001-39692), filed with the SEC on March 17, 2022).</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7">
              <w:r>
                <w:rPr>
                  <w:rStyle w:val="InternetLink"/>
                  <w:rFonts w:ascii="Times New Roman" w:hAnsi="Times New Roman"/>
                  <w:color w:val="0000FF"/>
                  <w:sz w:val="20"/>
                  <w:u w:val="single"/>
                </w:rPr>
                <w:t>Amendment to Employment Agreement, by and between the Company and Patrick McCall, dated as of August 30, 2024 (incorporated herein by reference to Exhibit 10.4 to the Company’s Current Report on Form 8-K (File No. 001-39692), filed with the SEC on September 6, 2024).</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8">
              <w:r>
                <w:rPr>
                  <w:rStyle w:val="InternetLink"/>
                  <w:rFonts w:ascii="Times New Roman" w:hAnsi="Times New Roman"/>
                  <w:color w:val="0000FF"/>
                  <w:sz w:val="20"/>
                  <w:u w:val="single"/>
                </w:rPr>
                <w:t>Employment Agreement between the Company and Kate Rochlin, dated March 14, 2024 (incorporated herein by reference to Exhibit 10.23 to the Company’s Annual Report on Form 10-K (File No. 001-39692), filed with the SEC on March 14, 2024).</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9">
              <w:r>
                <w:rPr>
                  <w:rStyle w:val="InternetLink"/>
                  <w:rFonts w:ascii="Times New Roman" w:hAnsi="Times New Roman"/>
                  <w:color w:val="0000FF"/>
                  <w:sz w:val="20"/>
                  <w:u w:val="single"/>
                </w:rPr>
                <w:t>Amendment to Employment Agreement, by and between the Company and Kate Rochlin, dated as of August 30, 2024 (incorporated herein by reference to Exhibit 10.5 to the Company’s Current Report on Form 8-K (File No. 001-39692), filed with the SEC on September 6, 2024).</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0">
              <w:r>
                <w:rPr>
                  <w:rStyle w:val="InternetLink"/>
                  <w:rFonts w:ascii="Times New Roman" w:hAnsi="Times New Roman"/>
                  <w:color w:val="0000FF"/>
                  <w:sz w:val="20"/>
                  <w:u w:val="single"/>
                </w:rPr>
                <w:t>Lease Agreement (Suite 210) between the Company and Sloss Martin Biscuit, Ltd., dated March 16, 2024 (incorporated herein by reference to Exhibit 10.2 to the Company’s Quarterly Report on Form 10-Q (File No. 001-39692), filed with the SEC on May 9, 2024).</w:t>
              </w:r>
            </w:hyperlink>
          </w:p>
        </w:tc>
      </w:tr>
      <w:tr>
        <w:trPr/>
        <w:tc>
          <w:tcPr>
            <w:tcW w:w="6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4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1">
              <w:r>
                <w:rPr>
                  <w:rStyle w:val="InternetLink"/>
                  <w:rFonts w:ascii="Times New Roman" w:hAnsi="Times New Roman"/>
                  <w:color w:val="0000FF"/>
                  <w:sz w:val="20"/>
                  <w:u w:val="single"/>
                </w:rPr>
                <w:t>Second Amendment to Lease Agreement between the Company (Suite 230) and Sloss Martin Biscuit, Ltd., dated March 16, 2024 (incorporated herein by reference to Exhibit 10.3 to the Company’s Quarterly Report on Form 10-Q (File No. 001-39692), filed with the SEC on May 9, 2024).</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3"/>
        <w:gridCol w:w="146"/>
        <w:gridCol w:w="9376"/>
      </w:tblGrid>
      <w:tr>
        <w:trPr/>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76" w:type="dxa"/>
            <w:tcBorders/>
            <w:vAlign w:val="center"/>
          </w:tcPr>
          <w:p>
            <w:pPr>
              <w:pStyle w:val="TableContents"/>
              <w:bidi w:val="0"/>
              <w:spacing w:before="0" w:after="283"/>
              <w:jc w:val="left"/>
              <w:rPr>
                <w:sz w:val="4"/>
                <w:szCs w:val="4"/>
              </w:rPr>
            </w:pPr>
            <w:r>
              <w:rPr>
                <w:sz w:val="4"/>
                <w:szCs w:val="4"/>
              </w:rPr>
            </w:r>
          </w:p>
        </w:tc>
      </w:tr>
      <w:tr>
        <w:trPr/>
        <w:tc>
          <w:tcPr>
            <w:tcW w:w="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2">
              <w:r>
                <w:rPr>
                  <w:rStyle w:val="InternetLink"/>
                  <w:rFonts w:ascii="Times New Roman" w:hAnsi="Times New Roman"/>
                  <w:color w:val="0000FF"/>
                  <w:sz w:val="20"/>
                  <w:u w:val="single"/>
                </w:rPr>
                <w:t>Second Amendment to Lease Agreement between the Company (Suite 270) and Sloss Martin Biscuit, Ltd., dated March 16, 2024 (incorporated herein by reference to Exhibit 10.4 to the Company’s Quarterly Report on Form 10-Q (File No. 001-39692), filed with the SEC on May 9, 2024).</w:t>
              </w:r>
            </w:hyperlink>
          </w:p>
        </w:tc>
      </w:tr>
      <w:tr>
        <w:trPr/>
        <w:tc>
          <w:tcPr>
            <w:tcW w:w="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3">
              <w:r>
                <w:rPr>
                  <w:rStyle w:val="InternetLink"/>
                  <w:rFonts w:ascii="Times New Roman" w:hAnsi="Times New Roman"/>
                  <w:color w:val="0000FF"/>
                  <w:sz w:val="20"/>
                  <w:u w:val="single"/>
                </w:rPr>
                <w:t>Insider Trading Policy (incorporated herein by reference to Exhibit 19.1 to the Company’s Annual Report on Form 10-K (File No. 001-39692), filed with the SEC on March 13, 2025).</w:t>
              </w:r>
            </w:hyperlink>
          </w:p>
        </w:tc>
      </w:tr>
      <w:tr>
        <w:trPr/>
        <w:tc>
          <w:tcPr>
            <w:tcW w:w="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ab-ex23_1.htm">
              <w:r>
                <w:rPr>
                  <w:rStyle w:val="InternetLink"/>
                  <w:rFonts w:ascii="Times New Roman" w:hAnsi="Times New Roman"/>
                  <w:color w:val="0000FF"/>
                  <w:sz w:val="20"/>
                  <w:u w:val="single"/>
                </w:rPr>
                <w:t>Consent of Independent Registered Public Accounting Firm.</w:t>
              </w:r>
            </w:hyperlink>
          </w:p>
        </w:tc>
      </w:tr>
      <w:tr>
        <w:trPr/>
        <w:tc>
          <w:tcPr>
            <w:tcW w:w="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(included on the signature page to this report).</w:t>
              </w:r>
            </w:hyperlink>
          </w:p>
        </w:tc>
      </w:tr>
      <w:tr>
        <w:trPr/>
        <w:tc>
          <w:tcPr>
            <w:tcW w:w="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ab-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ab-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nab-ex32_1.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r>
      <w:tr>
        <w:trPr/>
        <w:tc>
          <w:tcPr>
            <w:tcW w:w="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4">
              <w:r>
                <w:rPr>
                  <w:rStyle w:val="InternetLink"/>
                  <w:rFonts w:ascii="Times New Roman" w:hAnsi="Times New Roman"/>
                  <w:color w:val="0000FF"/>
                  <w:sz w:val="20"/>
                  <w:u w:val="single"/>
                </w:rPr>
                <w:t>IN8bio, Inc. Incentive Compensation Recoupment Policy, dated October 23, 2023 (incorporated herein by reference to Exhibit 97 to the Company’s Annual Report on Form 10-K (File No. 001-39692), filed with the SEC on March 14, 2024).</w:t>
              </w:r>
            </w:hyperlink>
            <w:hyperlink r:id="rId75">
              <w:r>
                <w:rPr>
                  <w:rStyle w:val="InternetLink"/>
                  <w:rFonts w:ascii="Times New Roman" w:hAnsi="Times New Roman"/>
                  <w:color w:val="0000FF"/>
                  <w:sz w:val="20"/>
                </w:rPr>
                <w:t xml:space="preserve"> </w:t>
              </w:r>
            </w:hyperlink>
          </w:p>
        </w:tc>
      </w:tr>
      <w:tr>
        <w:trPr/>
        <w:tc>
          <w:tcPr>
            <w:tcW w:w="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Inline XBRL Instance Document - </w:t>
            </w:r>
            <w:r>
              <w:rPr>
                <w:rFonts w:ascii="Times New Roman" w:hAnsi="Times New Roman"/>
                <w:color w:val="212529"/>
                <w:sz w:val="20"/>
              </w:rPr>
              <w:t>the instance document does not appear in the Interactive Data File as its XBRL tags are embedded within the Inline XBRL document.</w:t>
            </w:r>
          </w:p>
        </w:tc>
      </w:tr>
      <w:tr>
        <w:trPr/>
        <w:tc>
          <w:tcPr>
            <w:tcW w:w="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6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pBdr>
          <w:bottom w:val="single" w:sz="4" w:space="1" w:color="000000"/>
        </w:pBdr>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Furnished herewith and not deemed to be “filed” for purposes of Section 18 of the Securities Exchange Act of 1934, as amended (the “Exchange Act”), and shall not be deemed to be incorporated by reference into any filing under the Securities Act of 1933, as amended, or the Exchange Act (whether made before or after the date of the Form 10-K), irrespective of any general incorporation language contained in such filing.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Indicates a management contract or compensatory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Pursuant to Item 601(b)(10)(iv) of Regulation S-K promulgated by the Securities and Exchange Commission, certain portions of this exhibit have been redacted. The Registrant hereby agrees to furnish supplementally to the Securities and Exchange Commission, upon its request, an unredacted copy of this exhibit.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Certain of the exhibits and schedules to this Exhibit have been omitted in accordance with Regulation S-K Item 601(a)(5). The Registrant agrees to furnish a copy of all omitted exhibits and schedules to the SEC upon its request.</w:t>
      </w:r>
    </w:p>
    <w:p>
      <w:pPr>
        <w:pStyle w:val="TextBody"/>
        <w:bidi w:val="0"/>
        <w:spacing w:before="240" w:after="283"/>
        <w:jc w:val="left"/>
        <w:rPr>
          <w:rFonts w:ascii="Times New Roman" w:hAnsi="Times New Roman"/>
          <w:sz w:val="20"/>
        </w:rPr>
      </w:pPr>
      <w:bookmarkStart w:id="36" w:name="item_16_form_10k_summary"/>
      <w:bookmarkEnd w:id="36"/>
      <w:r>
        <w:rPr>
          <w:rFonts w:ascii="Times New Roman" w:hAnsi="Times New Roman"/>
          <w:b/>
          <w:color w:val="000000"/>
          <w:sz w:val="20"/>
        </w:rPr>
        <w:t>Item 16. Form 10-K Summary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7" w:name="signatures"/>
      <w:bookmarkEnd w:id="37"/>
      <w:r>
        <w:rPr>
          <w:rFonts w:ascii="Times New Roman" w:hAnsi="Times New Roman"/>
          <w:b/>
          <w:color w:val="000000"/>
          <w:sz w:val="20"/>
        </w:rPr>
        <w:t>SIGNATURES</w:t>
      </w:r>
    </w:p>
    <w:p>
      <w:pPr>
        <w:pStyle w:val="TextBody"/>
        <w:bidi w:val="0"/>
        <w:spacing w:before="120" w:after="283"/>
        <w:jc w:val="both"/>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5692" w:type="dxa"/>
        <w:jc w:val="left"/>
        <w:tblInd w:w="0" w:type="dxa"/>
        <w:tblLayout w:type="fixed"/>
        <w:tblCellMar>
          <w:top w:w="28" w:type="dxa"/>
          <w:left w:w="28" w:type="dxa"/>
          <w:bottom w:w="28" w:type="dxa"/>
          <w:right w:w="28" w:type="dxa"/>
        </w:tblCellMar>
      </w:tblPr>
      <w:tblGrid>
        <w:gridCol w:w="1411"/>
        <w:gridCol w:w="109"/>
        <w:gridCol w:w="406"/>
        <w:gridCol w:w="3766"/>
      </w:tblGrid>
      <w:tr>
        <w:trPr/>
        <w:tc>
          <w:tcPr>
            <w:tcW w:w="1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jc w:val="both"/>
              <w:rPr>
                <w:rFonts w:ascii="Times New Roman" w:hAnsi="Times New Roman"/>
                <w:b/>
                <w:color w:val="000000"/>
                <w:sz w:val="20"/>
              </w:rPr>
            </w:pPr>
            <w:r>
              <w:rPr>
                <w:rFonts w:ascii="Times New Roman" w:hAnsi="Times New Roman"/>
                <w:b/>
                <w:color w:val="000000"/>
                <w:sz w:val="20"/>
              </w:rPr>
              <w:t>IN8bio, Inc.</w:t>
            </w:r>
          </w:p>
          <w:p>
            <w:pPr>
              <w:pStyle w:val="TableContents"/>
              <w:bidi w:val="0"/>
              <w:spacing w:before="0" w:after="283"/>
              <w:jc w:val="both"/>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William Ho</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William Ho</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Executive Officer</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Patrick McCall</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Patrick McCall</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Chief Financial Officer and Secretary</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center"/>
        <w:rPr>
          <w:rFonts w:ascii="Times New Roman" w:hAnsi="Times New Roman"/>
          <w:sz w:val="20"/>
        </w:rPr>
      </w:pPr>
      <w:bookmarkStart w:id="38" w:name="power_of_attorney"/>
      <w:bookmarkEnd w:id="38"/>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Each person whose individual signature appears below hereby authorizes and appoints William Ho and Patrick McCall,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7210" w:type="dxa"/>
        <w:jc w:val="left"/>
        <w:tblInd w:w="0" w:type="dxa"/>
        <w:tblLayout w:type="fixed"/>
        <w:tblCellMar>
          <w:top w:w="28" w:type="dxa"/>
          <w:left w:w="28" w:type="dxa"/>
          <w:bottom w:w="28" w:type="dxa"/>
          <w:right w:w="28" w:type="dxa"/>
        </w:tblCellMar>
      </w:tblPr>
      <w:tblGrid>
        <w:gridCol w:w="1756"/>
        <w:gridCol w:w="146"/>
        <w:gridCol w:w="3721"/>
        <w:gridCol w:w="146"/>
        <w:gridCol w:w="144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7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William Ho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12, 2026</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William Ho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Patrick McCall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 and Secretary</w:t>
            </w:r>
          </w:p>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12, 2026</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Patrick McCall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Jeremy R. Graff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Chairman of the Board of Directors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12, 2026</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Jeremy R. Graff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Peter Brandt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12, 2026</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Peter Brandt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Corinne Epperly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12, 2026</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Corinne Epperly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Emily Fairbairn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12, 2026</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Emily Fairbairn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Luba Greenwood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March 12, 2026</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Luba Greenwood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9" w:name="inab-ex4_2.htm"/>
      <w:bookmarkStart w:id="40" w:name="ksinabex4_2"/>
      <w:bookmarkEnd w:id="39"/>
      <w:bookmarkEnd w:id="40"/>
      <w:r>
        <w:rPr>
          <w:rFonts w:ascii="Times New Roman" w:hAnsi="Times New Roman"/>
          <w:b/>
          <w:caps/>
          <w:color w:val="000000"/>
          <w:sz w:val="22"/>
        </w:rPr>
        <w:t>Exhibit</w:t>
      </w:r>
      <w:r>
        <w:rPr>
          <w:rFonts w:ascii="Times New Roman" w:hAnsi="Times New Roman"/>
          <w:color w:val="000000"/>
          <w:sz w:val="20"/>
        </w:rPr>
        <w:t xml:space="preserve"> </w:t>
      </w:r>
      <w:r>
        <w:rPr>
          <w:rFonts w:ascii="Times New Roman" w:hAnsi="Times New Roman"/>
          <w:b/>
          <w:color w:val="000000"/>
          <w:sz w:val="22"/>
        </w:rPr>
        <w:t>4.2</w:t>
      </w:r>
      <w:r>
        <w:br w:type="page"/>
      </w:r>
    </w:p>
    <w:p>
      <w:pPr>
        <w:pStyle w:val="TextBody"/>
        <w:bidi w:val="0"/>
        <w:jc w:val="center"/>
        <w:rPr>
          <w:rFonts w:ascii="Times New Roman" w:hAnsi="Times New Roman"/>
          <w:b/>
          <w:caps/>
          <w:color w:val="000000"/>
          <w:sz w:val="22"/>
        </w:rPr>
      </w:pPr>
      <w:r>
        <w:rPr>
          <w:rFonts w:ascii="Times New Roman" w:hAnsi="Times New Roman"/>
          <w:b/>
          <w:caps/>
          <w:color w:val="000000"/>
          <w:sz w:val="22"/>
        </w:rPr>
        <w:t>DESCRIPTION OF THE REGISTRANTS’ SECURITIES REGISTERED PURSUANT TO SECTION 12 OF THE SECURITIES EXCHANGE ACT OF 1934</w:t>
      </w:r>
    </w:p>
    <w:p>
      <w:pPr>
        <w:pStyle w:val="TextBody"/>
        <w:bidi w:val="0"/>
        <w:spacing w:before="0" w:after="240"/>
        <w:jc w:val="both"/>
        <w:rPr>
          <w:rFonts w:ascii="Times New Roman" w:hAnsi="Times New Roman"/>
          <w:sz w:val="20"/>
        </w:rPr>
      </w:pPr>
      <w:r>
        <w:rPr>
          <w:rFonts w:ascii="Times New Roman" w:hAnsi="Times New Roman"/>
          <w:i/>
          <w:color w:val="000000"/>
          <w:sz w:val="22"/>
        </w:rPr>
        <w:t>The following description summarizes selected information regarding our capital stock, as well as provisions of: (i) our amended and restated certificate of incorporation; (ii) our amended and restated bylaws; and (iii) the general Corporation Law of the State of Delaware (the “DGCL”). The following summary is qualified in its entirety by, and should be read in conjunction with, the amended and restated certificate of incorporation and the amended and restated bylaws, copies of which have been filed as exhibits to our Annual Report on Form 10-K to which this exhibit is attached, and the applicable provisions of the DGCL.</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Authorized Capital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Our authorized capital stock consists of 490,000,000 shares of common stock, par value $0.0001 per share, and 10,000,000 shares of preferred stock, par value $0.0001 per share.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Common Stock</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Voting Rights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holder of common stock is entitled to one vote for each share on all matters submitted to a vote of the stockholders. The affirmative vote of holders of at least 66 2∕3% of the voting power of all of the then-outstanding shares of capital stock, voting as a single class, is required to amend certain provisions of our amended and restated certificate of incorporation, including provisions relating to amending our amended and restated bylaws, the classified board, the size of our board, removal of directors, director liability, vacancies on our board, special meetings, stockholder notices, actions by written consent and exclusive jurisdiction.</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Dividends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to preferences that may apply to any outstanding preferred stock, holders of our common stock are entitled to receive ratably any dividends that our board of directors may declare out of funds legally available for that purpose on a non-cumulative basis.</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Liquidation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Rights and Preferences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Preferred Stock</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Under the amended and restated certificate of incorporation, our board of directors have the authority, without further action by the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 We have no current plans to issue any shares of preferred stock.</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Common Stock Issuable Upon Exercise of Warrants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As of December 31, 2025, we have outstanding the following warrants (collectively, the “Warrants”), which were issued in private placements completed in December 2023, October 2024, April 2025 and December 2025:</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9,701,059 pre-funded warrants to purchase one share of common stock (the “Pre-Funded Warrants”);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166,964 Series B warrants to purchase one share of common stock (the “Series B Warrants”);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828,863 Series C warrants to purchase one share of common stock (the “Series C Warrants”).</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General</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Fractional Shares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fractional shares or scrip representing fractional shares shall be issued upon the exercise of any Warrant. As to any fraction of a share which a holder of a Warrant would otherwise be entitled to purchase upon such exercise, we shall, at our election, either pay a cash adjustment in respect of such final fraction in an amount equal to such fraction multiplied by the exercise price of such Warrant or round down to the next whole share.</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Exercise Limitations</w:t>
      </w:r>
    </w:p>
    <w:p>
      <w:pPr>
        <w:pStyle w:val="TextBody"/>
        <w:bidi w:val="0"/>
        <w:spacing w:before="0" w:after="240"/>
        <w:jc w:val="both"/>
        <w:rPr>
          <w:rFonts w:ascii="Times New Roman" w:hAnsi="Times New Roman"/>
          <w:sz w:val="20"/>
        </w:rPr>
      </w:pPr>
      <w:r>
        <w:rPr>
          <w:rFonts w:ascii="Times New Roman" w:hAnsi="Times New Roman"/>
          <w:color w:val="000000"/>
          <w:sz w:val="22"/>
        </w:rPr>
        <w:t>Under the terms of the Warrants, we may not give effect to the exercise of any such Warrant, and a holder will not be entitled to exercise any portion of any such Warrant, if, upon giving effect to such exercise, the aggregate number of shares of common stock beneficially owned by the holder (together with its affiliates, any other persons acting as a group together with the holder or any of the holder’s affiliates, and any other persons whose beneficial ownership of common stock would or could be aggregated with the holder’s for purposes of Section 13(d) or Section 16 of the Securities Exchange Act of 1934, as amended, or the Exchange Act, would exceed a percentage set at the discretion of each holder between 0% and 19.99% of the number of shares of common stock outstanding immediately after giving effect to such</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exercise, which percentage may be increased or decreased at the holder’s election, up to 19.99%, upon at least 61 days’ prior notice from the holder to us.</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Transferability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to applicable laws, the Warrants may be offered for sale, sold, transferred or assigned without our consent.</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Exchange Listing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is no established trading market for the Warrants, and we do not expect a market to develop. We do not intend to apply for the listing of Warrants on the Nasdaq Stock Market, any other national securities exchange or any other nationally recognized trading system.</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No Rights as a Stockholder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Except by virtue of such holder’s ownership of shares of our common stock, the holder of a Warrant does not have the rights or privileges of a holder of our common stock, including any voting rights, until such holder exercises the Warrant.</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Pre-Funded Warrants</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Exercise Price</w:t>
      </w:r>
    </w:p>
    <w:p>
      <w:pPr>
        <w:pStyle w:val="TextBody"/>
        <w:bidi w:val="0"/>
        <w:spacing w:before="0" w:after="240"/>
        <w:jc w:val="both"/>
        <w:rPr>
          <w:rFonts w:ascii="Times New Roman" w:hAnsi="Times New Roman"/>
          <w:sz w:val="20"/>
        </w:rPr>
      </w:pPr>
      <w:r>
        <w:rPr>
          <w:rFonts w:ascii="Times New Roman" w:hAnsi="Times New Roman"/>
          <w:color w:val="000000"/>
          <w:sz w:val="22"/>
        </w:rPr>
        <w:t>Each Pre-Funded Warrant issued before June 5, 2025 has an exercise price of $0.003 per share, and each Pre-Funded Warrant issued after June 5, 2025 has an exercise price of $0.0001 per share. In lieu of making the cash payment otherwise contemplated to be made to the Company upon exercise of a Pre-Funded Warrant in payment of the aggregate exercise price, the holder may elect instead to receive upon such exercise (either in whole or in part) the net number of shares of common stock determined according to a formula set forth in the Pre-Funded Warrants.</w:t>
      </w:r>
      <w:r>
        <w:rPr>
          <w:rFonts w:ascii="Times New Roman" w:hAnsi="Times New Roman"/>
          <w:color w:val="000000"/>
          <w:sz w:val="20"/>
        </w:rPr>
        <w:t xml:space="preserve"> </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Term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Pre-Funded Warrant is exercisable immediately and is exercisable until the Pre-Funded Warrant is exercised in full.</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Fundamental Transactions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the consummation of a fundamental transaction (as described in the Pre-Funded Warrants, and generally including the sale, transfer or other disposition of all or substantially all of our properties or assets, our consolidation or merger with or into another person, the acquisition of more than 50% of our outstanding common stock, any person or group becoming the beneficial owner of 50% of the voting power of our outstanding common stock or any reorganization, recapitalization or reclassification of our common stock), the holders of the Pre-Funded Warrants will be entitled to receive, for each share of common stock that would have been issuable upon exercise of a Pre-Funded Warrant immediately prior to the occurrence of such fundamental transaction, at the option of the holder of such Pre-Funded Warrant, the number of shares of common stock of the successor or acquiring corporation or of the Company, if it is the surviving corporation, and any additional consideration receivable as a result of such fundamental transaction by a holder of the number of shares of common stock for which such Pre-Funded Warrant was exercisable immediately prior to such fundamental transaction.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Series B Warrants</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Exercise Price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Series B Warrant has an exercise price of $13.50 per share.</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Redemption</w:t>
      </w:r>
    </w:p>
    <w:p>
      <w:pPr>
        <w:pStyle w:val="TextBody"/>
        <w:bidi w:val="0"/>
        <w:spacing w:before="0" w:after="240"/>
        <w:jc w:val="both"/>
        <w:rPr>
          <w:rFonts w:ascii="Times New Roman" w:hAnsi="Times New Roman"/>
          <w:sz w:val="20"/>
        </w:rPr>
      </w:pPr>
      <w:r>
        <w:rPr>
          <w:rFonts w:ascii="Times New Roman" w:hAnsi="Times New Roman"/>
          <w:color w:val="000000"/>
          <w:sz w:val="22"/>
        </w:rPr>
        <w:t>The Series B Warrants allow us to redeem such warrants at a price of $0.30 per Series B Warrant upon our public announcement of its INB-100 data for all enrolled patients covering a period of at least 22 months, along with certain stock price and trading volume requirements. Holders of Series B Warrants may choose to exercise such warrants at a purchase price of $13.50 per share prior to such redemption.</w:t>
      </w:r>
      <w:r>
        <w:rPr>
          <w:rFonts w:ascii="Times New Roman" w:hAnsi="Times New Roman"/>
          <w:color w:val="000000"/>
          <w:sz w:val="20"/>
        </w:rPr>
        <w:t xml:space="preserve"> </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Term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Series B Warrants are exercisable immediately and will expire on December 13, 2028.</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Fundamental Transactions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the consummation of a fundamental transaction (as described in the Series B Warrants, and generally including the sale, transfer or other disposition of all or substantially all of our properties or assets, our consolidation or merger with or into another person, the acquisition of more than 50% of our outstanding common stock, any person or group becoming the beneficial owner of 50% of the voting power of our outstanding common stock or any reorganization, recapitalization or reclassification of our common stock), the holders of the Series B Warrants will be entitled to receive, for each share of common stock that would have been issuable upon exercise of a Series B Warrants immediately prior to the occurrence of such fundamental transaction, at the option of the holder of such Series B Warrant, the number of shares of common stock of the successor or acquiring corporation or of the Company, if it is the surviving corporation, and any additional consideration receivable as a result of such fundamental transaction by a holder of the number of shares of common stock for which such Series B Warrant was exercisable immediately prior to such fundamental transaction. Notwithstanding anything to the contrary, in the event of a fundamental transaction, the holder of a Series B Warrant may require the Company to repurchase such Series B Warrant at a price equal to the Black Scholes Value (as defined in the Series B Warrant) of the remaining unexercised portion of the Series B Warrant, within 30 days after the consummation of the fundamental transaction.</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Series C Warrants</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Exercise Price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Series C Warrant has an exercise price of $8.10 per share.</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Term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Series C Warrants are exercisable immediately and will expire on October 4, 2027.</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Fundamental Transactions</w:t>
      </w:r>
    </w:p>
    <w:p>
      <w:pPr>
        <w:pStyle w:val="TextBody"/>
        <w:bidi w:val="0"/>
        <w:spacing w:before="0" w:after="240"/>
        <w:jc w:val="both"/>
        <w:rPr>
          <w:rFonts w:ascii="Times New Roman" w:hAnsi="Times New Roman"/>
          <w:sz w:val="20"/>
        </w:rPr>
      </w:pPr>
      <w:r>
        <w:rPr>
          <w:rFonts w:ascii="Times New Roman" w:hAnsi="Times New Roman"/>
          <w:color w:val="000000"/>
          <w:sz w:val="22"/>
        </w:rPr>
        <w:t>Upon the consummation of a fundamental transaction (as described in the Series C Warrants, and generally including the sale, transfer or other disposition of all or substantially all of our properties or assets, our consolidation or merger with or into another person, the acquisition of more than 50% of our outstanding</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common stock, any person or group becoming the beneficial owner of 50% of the voting power of our outstanding common stock or any reorganization, recapitalization or reclassification of our common stock), the holders of the Series C Warrants will be entitled to receive, for each share of common stock that would have been issuable upon exercise of a Series C Warrants immediately prior to the occurrence of such fundamental transaction, at the option of the holder of such Series C Warrant, the number of shares of common stock of the successor or acquiring corporation or of the Company, if it is the surviving corporation, and any additional consideration receivable as a result of such fundamental transaction by a holder of the number of shares of common stock for which such Series C Warrant was exercisable immediately prior to such fundamental transaction. Notwithstanding anything to the contrary, in the event of a fundamental transaction, the holder of a Series C Warrant may require the Company to repurchase such Series C Warrant at a price equal to the Black Scholes Value (as defined in the Series C Warrant) of the remaining unexercised portion of the Series C Warrant, within 30 days after the consummation of the fundamental transaction.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Anti-takeover provisions</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Certificate of Incorporation and Bylaws</w:t>
      </w:r>
    </w:p>
    <w:p>
      <w:pPr>
        <w:pStyle w:val="TextBody"/>
        <w:bidi w:val="0"/>
        <w:jc w:val="both"/>
        <w:rPr>
          <w:rFonts w:ascii="Times New Roman" w:hAnsi="Times New Roman"/>
          <w:color w:val="000000"/>
          <w:sz w:val="22"/>
        </w:rPr>
      </w:pPr>
      <w:r>
        <w:rPr>
          <w:rFonts w:ascii="Times New Roman" w:hAnsi="Times New Roman"/>
          <w:color w:val="000000"/>
          <w:sz w:val="22"/>
        </w:rPr>
        <w:t>Among other things, our amended and restated certificate of incorporation and amended and restated bylaws: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permit our board of directors to issue up to 10,000,000 shares of preferred stock, with any rights, preferences and privileges as they may designate, including the right to approve an acquisition or other change in control;</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provide that the authorized number of directors may be changed only by resolution of our board of directors;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provide that our board of directors is classified into three classes of directors;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capital stock entitled to vote generally at an election of directors;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provide that all vacancies, including newly created directorships, may, except as otherwise required by law, be filled by the affirmative vote of a majority of directors then in office, even if less than a quorum;</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require that any action to be taken by our stockholders must be effected at a duly called annual or special meeting of stockholders and not be taken by written consent or electronic transmission;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provide that special meetings of our stockholders may be called only by the chairman of our board of directors, our chief executive officer or president or by our board of directors pursuant to a resolution adopted by a majority of the total number of authorized directors; and</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 provide for cumulative voting rights, therefore allowing the holders of a majority of the shares of common stock entitled to vote in any election of directors to elect all of the directors standing for election, if they should so choose.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amendment of any of these provisions would require approval by the holders of at least 66 2∕3% of the voting power of all of our then-outstanding common stock entitled to vote generally in the election of directors, voting together as a single class.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Section 203 of the Delaware General Corporation Law</w:t>
      </w:r>
    </w:p>
    <w:p>
      <w:pPr>
        <w:pStyle w:val="TextBody"/>
        <w:bidi w:val="0"/>
        <w:spacing w:before="0" w:after="240"/>
        <w:jc w:val="both"/>
        <w:rPr>
          <w:rFonts w:ascii="Times New Roman" w:hAnsi="Times New Roman"/>
          <w:sz w:val="20"/>
        </w:rPr>
      </w:pPr>
      <w:r>
        <w:rPr>
          <w:rFonts w:ascii="Times New Roman" w:hAnsi="Times New Roman"/>
          <w:color w:val="000000"/>
          <w:sz w:val="22"/>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r>
        <w:rPr>
          <w:rFonts w:ascii="Times New Roman" w:hAnsi="Times New Roman"/>
          <w:color w:val="000000"/>
          <w:sz w:val="20"/>
        </w:rPr>
        <w:t xml:space="preserve">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before such date, the board of directors of the corporation approved either the business combination or the transaction that resulted in the stockholder becoming an interested stockholder;</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general, Section 203 defines a “business combination” to include the following:</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merger or consolidation involving the corporation and the interested stockholder;</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sale, transfer, pledge or other disposition of 10% or more of the assets of the corporation involving the interested stockholder;</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to certain exceptions, any transaction that results in the issuance or transfer by the corporation of any stock of the corporation to the interested stockholder;</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any transaction involving the corporation that has the effect of increasing the proportionate share of the stock or any class or series of the corporation beneficially owned by the interested stockholder; and</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receipt by the interested stockholder of the benefit of any loans, advances, guarantees, pledges or other financial benefits by or through the corporation.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statute could prohibit or delay mergers or other takeover or change in control attempts and, accordingly, may discourage attempts to acquire us even though such a transaction may offer our stockholders the opportunity to sell their stock at a price above the prevailing market price.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Delaware corporation may “opt out” of these provisions with an express provision in its certificate of incorporation. We have not opted out of these provisions, which may as a result, discourage or prevent mergers or other takeover or change of control attempts of us.</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Choice of Forum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Our amended and restated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brought under Delaware statutory or common law: (1) any derivative claim or action brought on our behalf; (2) any claim or cause of action asserting a breach of fiduciary duty by any of our current or former director, officer or other employee; (3) any claim or cause of action asserting a claim against us arising out of, or pursuant to, the DGCL, our amended and restated certificate of incorporation or our amended and restated bylaws; (4) any claim or cause of action seeking to interpret, apply, enforce or determine the validity of our amended and restated certificate of incorporation or our amended and restated bylaws (including any right, obligation, or remedy thereunder); (5) any claim or cause of action as to which the DGCL confers jurisdiction to the Court of Chancery of the State of Delaware; or (6) any claim or cause of action asserting a claim against us or any of our directors, officers or other employees, that is governed by the internal affairs doctrine, in all cases to the fullest extent permitted by law and subject to the court having personal jurisdiction over the indispensable parties named as defendants. The aforementioned provision will not apply to claims or causes of action brought to enforce a duty or liability created by the Securities Act, the Exchange Act or any other claim for which the federal courts have exclusive jurisdiction.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addition, our amended and restated certificate of incorporation provides that, unless we consent writing to the selection of an alternative forum, the federal district courts of the United States of America will be the exclusive forum, to the fullest extent permitted by law,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enforceability of similar choice of forum provisions in other companies’ certificates of incorporation has been challenged in legal proceedings, and it is possible that, in connection with one or more actions or proceedings described above, a court could find the choice of forum provisions contained in our amended and restated certificate of incorporation to be inapplicable or unenforceable.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1" w:name="inab-ex10_10.htm"/>
      <w:bookmarkStart w:id="42" w:name="ksinabex10_10"/>
      <w:bookmarkEnd w:id="41"/>
      <w:bookmarkEnd w:id="42"/>
      <w:r>
        <w:rPr/>
        <w:t> </w:t>
      </w:r>
      <w:r>
        <w:br w:type="page"/>
      </w:r>
    </w:p>
    <w:p>
      <w:pPr>
        <w:pStyle w:val="TextBody"/>
        <w:bidi w:val="0"/>
        <w:jc w:val="right"/>
        <w:rPr>
          <w:rFonts w:ascii="Times New Roman" w:hAnsi="Times New Roman"/>
          <w:sz w:val="20"/>
        </w:rPr>
      </w:pPr>
      <w:r>
        <w:rPr>
          <w:rFonts w:ascii="Times New Roman" w:hAnsi="Times New Roman"/>
          <w:b/>
          <w:caps/>
          <w:color w:val="000000"/>
          <w:sz w:val="22"/>
        </w:rPr>
        <w:t>Exhibit</w:t>
      </w:r>
      <w:r>
        <w:rPr>
          <w:rFonts w:ascii="Times New Roman" w:hAnsi="Times New Roman"/>
          <w:color w:val="000000"/>
          <w:sz w:val="20"/>
        </w:rPr>
        <w:t xml:space="preserve"> </w:t>
      </w:r>
      <w:r>
        <w:rPr>
          <w:rFonts w:ascii="Times New Roman" w:hAnsi="Times New Roman"/>
          <w:b/>
          <w:color w:val="000000"/>
          <w:sz w:val="22"/>
        </w:rPr>
        <w:t>10.10</w:t>
      </w:r>
    </w:p>
    <w:p>
      <w:pPr>
        <w:pStyle w:val="TextBody"/>
        <w:bidi w:val="0"/>
        <w:spacing w:before="240" w:after="283"/>
        <w:jc w:val="center"/>
        <w:rPr>
          <w:rFonts w:ascii="Times New Roman" w:hAnsi="Times New Roman"/>
          <w:b/>
          <w:smallCaps/>
          <w:color w:val="000000"/>
          <w:sz w:val="24"/>
        </w:rPr>
      </w:pPr>
      <w:r>
        <w:rPr>
          <w:rFonts w:ascii="Times New Roman" w:hAnsi="Times New Roman"/>
          <w:b/>
          <w:smallCaps/>
          <w:color w:val="000000"/>
          <w:sz w:val="24"/>
        </w:rPr>
        <w:t>IN8BIO, Inc.</w:t>
      </w:r>
    </w:p>
    <w:p>
      <w:pPr>
        <w:pStyle w:val="TextBody"/>
        <w:bidi w:val="0"/>
        <w:spacing w:before="240" w:after="283"/>
        <w:jc w:val="center"/>
        <w:rPr>
          <w:rFonts w:ascii="Times New Roman" w:hAnsi="Times New Roman"/>
          <w:b/>
          <w:smallCaps/>
          <w:color w:val="000000"/>
          <w:sz w:val="24"/>
        </w:rPr>
      </w:pPr>
      <w:r>
        <w:rPr>
          <w:rFonts w:ascii="Times New Roman" w:hAnsi="Times New Roman"/>
          <w:b/>
          <w:smallCaps/>
          <w:color w:val="000000"/>
          <w:sz w:val="24"/>
        </w:rPr>
        <w:t>Non-Employee Director Compensation Policy</w:t>
      </w:r>
    </w:p>
    <w:p>
      <w:pPr>
        <w:pStyle w:val="TextBody"/>
        <w:pBdr>
          <w:bottom w:val="single" w:sz="6" w:space="1" w:color="000000"/>
        </w:pBdr>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2"/>
        </w:rPr>
        <w:t>Each member of 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IN8bio,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who is not also serving as an employee of the Company or any of its subsidiaries (each such member, an “</w:t>
      </w:r>
      <w:r>
        <w:rPr>
          <w:rFonts w:ascii="Times New Roman" w:hAnsi="Times New Roman"/>
          <w:b/>
          <w:i/>
          <w:color w:val="000000"/>
          <w:sz w:val="22"/>
        </w:rPr>
        <w:t>Non-Employee Director</w:t>
      </w:r>
      <w:r>
        <w:rPr>
          <w:rFonts w:ascii="Times New Roman" w:hAnsi="Times New Roman"/>
          <w:color w:val="000000"/>
          <w:sz w:val="20"/>
        </w:rPr>
        <w:t>”</w:t>
      </w:r>
      <w:r>
        <w:rPr>
          <w:rFonts w:ascii="Times New Roman" w:hAnsi="Times New Roman"/>
          <w:color w:val="000000"/>
          <w:sz w:val="22"/>
        </w:rPr>
        <w:t>) will be eligible to receive the compensation described in this Non-Employee Director Compensation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for his or her Board service. This Policy, as amended, is effective as of January 1, 2026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and may be amended at any time in the sole discretion of the Board or the Compensation Committee of the Board. Unless otherwise defined herein, capitalized terms used in this Policy will have the meaning given to such terms in the Company’s 2020 Equity Incentive Plan or any successor equity incentive plan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Annual Cash Compensation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Each Non-Employee Director will be entitled to receive the following annual cash retainers for service on the Board:</w:t>
      </w:r>
    </w:p>
    <w:p>
      <w:pPr>
        <w:pStyle w:val="TextBody"/>
        <w:bidi w:val="0"/>
        <w:spacing w:before="240" w:after="283"/>
        <w:jc w:val="both"/>
        <w:rPr>
          <w:rFonts w:ascii="Times New Roman" w:hAnsi="Times New Roman"/>
          <w:sz w:val="20"/>
        </w:rPr>
      </w:pPr>
      <w:r>
        <w:rPr>
          <w:rFonts w:ascii="Times New Roman" w:hAnsi="Times New Roman"/>
          <w:b/>
          <w:color w:val="000000"/>
          <w:sz w:val="22"/>
        </w:rPr>
        <w:t>Annual Board Service Retainer</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All Non-Employee Directors: $40,000</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2"/>
        </w:rPr>
        <w:t xml:space="preserve">Non-Executive Chairperson </w:t>
      </w:r>
      <w:r>
        <w:rPr>
          <w:rFonts w:ascii="Times New Roman" w:hAnsi="Times New Roman"/>
          <w:i/>
          <w:color w:val="000000"/>
          <w:sz w:val="22"/>
        </w:rPr>
        <w:t>(additional retainer)</w:t>
      </w:r>
      <w:r>
        <w:rPr>
          <w:rFonts w:ascii="Times New Roman" w:hAnsi="Times New Roman"/>
          <w:color w:val="000000"/>
          <w:sz w:val="22"/>
        </w:rPr>
        <w:t>: $65,000</w:t>
      </w:r>
      <w:r>
        <w:rPr>
          <w:color w:val="00000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2"/>
        </w:rPr>
        <w:t>Annual Committee Member Service Retainer</w:t>
      </w:r>
      <w:r>
        <w:rPr>
          <w:rFonts w:ascii="Times New Roman" w:hAnsi="Times New Roman"/>
          <w:color w:val="000000"/>
          <w:sz w:val="22"/>
        </w:rPr>
        <w: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Member of the Audit Committee: $10,000</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Member of the Compensation Committee: $5,000</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Member of the Nominating and Corporate Governance Committee: $4,000</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Member of the Science and Technology Committee: $7,500</w:t>
      </w:r>
    </w:p>
    <w:p>
      <w:pPr>
        <w:pStyle w:val="TextBody"/>
        <w:bidi w:val="0"/>
        <w:spacing w:before="240" w:after="283"/>
        <w:jc w:val="left"/>
        <w:rPr>
          <w:rFonts w:ascii="Times New Roman" w:hAnsi="Times New Roman"/>
          <w:sz w:val="20"/>
        </w:rPr>
      </w:pPr>
      <w:r>
        <w:rPr>
          <w:rFonts w:ascii="Times New Roman" w:hAnsi="Times New Roman"/>
          <w:b/>
          <w:color w:val="000000"/>
          <w:sz w:val="22"/>
        </w:rPr>
        <w:t xml:space="preserve">Annual Committee Chair Service Retainer </w:t>
      </w:r>
      <w:r>
        <w:rPr>
          <w:rFonts w:ascii="Times New Roman" w:hAnsi="Times New Roman"/>
          <w:b/>
          <w:i/>
          <w:color w:val="000000"/>
          <w:sz w:val="22"/>
        </w:rPr>
        <w:t>(in lieu of Committee Member</w:t>
      </w:r>
      <w:r>
        <w:rPr>
          <w:rFonts w:ascii="Times New Roman" w:hAnsi="Times New Roman"/>
          <w:color w:val="000000"/>
          <w:sz w:val="20"/>
        </w:rPr>
        <w:t xml:space="preserve"> </w:t>
      </w:r>
      <w:r>
        <w:rPr>
          <w:rFonts w:ascii="Times New Roman" w:hAnsi="Times New Roman"/>
          <w:b/>
          <w:i/>
          <w:color w:val="000000"/>
          <w:sz w:val="22"/>
        </w:rPr>
        <w:t>Service Retainer)</w:t>
      </w:r>
      <w:r>
        <w:rPr>
          <w:rFonts w:ascii="Times New Roman" w:hAnsi="Times New Roman"/>
          <w:color w:val="000000"/>
          <w:sz w:val="22"/>
        </w:rPr>
        <w: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Chairperson of the Audit Committee: $25,000</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Chairperson of the Compensation Committee: $15,000</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Chairperson of the Nominating and Corporate Governance Committee: $12,000</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Chairperson of the Science and Technology Committee: $22,500</w:t>
      </w:r>
    </w:p>
    <w:p>
      <w:pPr>
        <w:pStyle w:val="TextBody"/>
        <w:bidi w:val="0"/>
        <w:spacing w:before="240" w:after="283"/>
        <w:jc w:val="both"/>
        <w:rPr>
          <w:rFonts w:ascii="Times New Roman" w:hAnsi="Times New Roman"/>
          <w:sz w:val="20"/>
        </w:rPr>
      </w:pPr>
      <w:r>
        <w:rPr>
          <w:rFonts w:ascii="Times New Roman" w:hAnsi="Times New Roman"/>
          <w:color w:val="000000"/>
          <w:sz w:val="22"/>
        </w:rPr>
        <w:t>The annual cash retainers set forth above will be payable in equal quarterly installments, payable in arrears on the last day of each fiscal quarter (each such date, a “</w:t>
      </w:r>
      <w:r>
        <w:rPr>
          <w:rFonts w:ascii="Times New Roman" w:hAnsi="Times New Roman"/>
          <w:b/>
          <w:i/>
          <w:color w:val="000000"/>
          <w:sz w:val="22"/>
        </w:rPr>
        <w:t>Retainer Accrual Date</w:t>
      </w:r>
      <w:r>
        <w:rPr>
          <w:rFonts w:ascii="Times New Roman" w:hAnsi="Times New Roman"/>
          <w:color w:val="000000"/>
          <w:sz w:val="20"/>
        </w:rPr>
        <w:t>”</w:t>
      </w:r>
      <w:r>
        <w:rPr>
          <w:rFonts w:ascii="Times New Roman" w:hAnsi="Times New Roman"/>
          <w:color w:val="000000"/>
          <w:sz w:val="22"/>
        </w:rPr>
        <w:t>)in which the service occurred, prorated for any partial quarter of service (based on the number of days served in the applicable position divided by the total number of days in the quarter). All annual cash fees are vested upon payment.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II.</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Election to Receive Shares of Common Stock in Lieu of Cash Retainer</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w:t>
      </w:r>
    </w:p>
    <w:p>
      <w:pPr>
        <w:pStyle w:val="TextBody"/>
        <w:bidi w:val="0"/>
        <w:spacing w:before="240" w:after="283"/>
        <w:jc w:val="both"/>
        <w:rPr/>
      </w:pPr>
      <w:r>
        <w:rPr>
          <w:rFonts w:ascii="Times New Roman" w:hAnsi="Times New Roman"/>
          <w:b/>
          <w:color w:val="000000"/>
          <w:sz w:val="22"/>
        </w:rPr>
        <w:t>Retainer Grant</w:t>
      </w:r>
      <w:r>
        <w:rPr>
          <w:rFonts w:ascii="Times New Roman" w:hAnsi="Times New Roman"/>
          <w:color w:val="000000"/>
          <w:sz w:val="22"/>
        </w:rPr>
        <w:t>. Each Non-Employee Director may elect to convert all of his or her cash compensation under Section I into an RSU Award (each, a “</w:t>
      </w:r>
      <w:r>
        <w:rPr>
          <w:rFonts w:ascii="Times New Roman" w:hAnsi="Times New Roman"/>
          <w:b/>
          <w:i/>
          <w:color w:val="000000"/>
          <w:sz w:val="22"/>
        </w:rPr>
        <w:t>Retainer Grant</w:t>
      </w:r>
      <w:r>
        <w:rPr>
          <w:color w:val="000000"/>
        </w:rPr>
        <w:t>”</w:t>
      </w:r>
      <w:r>
        <w:rPr>
          <w:rFonts w:ascii="Times New Roman" w:hAnsi="Times New Roman"/>
          <w:color w:val="000000"/>
          <w:sz w:val="22"/>
        </w:rPr>
        <w:t>) in accordance with this Section II(A) (such election, a “</w:t>
      </w:r>
      <w:r>
        <w:rPr>
          <w:rFonts w:ascii="Times New Roman" w:hAnsi="Times New Roman"/>
          <w:b/>
          <w:i/>
          <w:color w:val="000000"/>
          <w:sz w:val="22"/>
        </w:rPr>
        <w:t>Retainer Grant Election</w:t>
      </w:r>
      <w:r>
        <w:rPr>
          <w:color w:val="000000"/>
        </w:rPr>
        <w:t>”</w:t>
      </w:r>
      <w:r>
        <w:rPr>
          <w:rFonts w:ascii="Times New Roman" w:hAnsi="Times New Roman"/>
          <w:color w:val="000000"/>
          <w:sz w:val="22"/>
        </w:rPr>
        <w:t xml:space="preserve">). If a Non-Employee Director timely makes a Retainer Grant Election pursuant to Section II(B) below, then on the first business day following the applicable Retainer Accrual Date to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which the Retainer Grant Election applies, and without any further action by the Board or designated committee of the Board, such Non-Employee Directorautomatically will be granted an RSU Award covering a number of shares of common stock equal to (a) the aggregate amount of cash compensation otherwise payable to such Non-Employee Director on the Retainer Accrual Date to which the Retainer Grant Election applies divided by (b) the closing sales price per share of the common stock on the applicable Retainer Accrual Date (or, if such date is not a business day, on the first business day thereafter), rounded down to the nearest whole share. Each Retainer Grant will be fully vested on the applicable grant date.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w:t>
      </w:r>
    </w:p>
    <w:p>
      <w:pPr>
        <w:pStyle w:val="TextBody"/>
        <w:bidi w:val="0"/>
        <w:spacing w:before="240" w:after="283"/>
        <w:jc w:val="both"/>
        <w:rPr/>
      </w:pPr>
      <w:r>
        <w:rPr>
          <w:rFonts w:ascii="Times New Roman" w:hAnsi="Times New Roman"/>
          <w:b/>
          <w:color w:val="000000"/>
          <w:sz w:val="22"/>
        </w:rPr>
        <w:t>Election Mechanics</w:t>
      </w:r>
      <w:r>
        <w:rPr>
          <w:rFonts w:ascii="Times New Roman" w:hAnsi="Times New Roman"/>
          <w:color w:val="000000"/>
          <w:sz w:val="22"/>
        </w:rPr>
        <w:t xml:space="preserve">. Each Retainer Grant Election must be submitted to the Company’s Chief Financial Officer (or such other individual as the Company designates) in writing at least 20 business days in advance of the applicable Retainer Accrual Date, and subject to any other conditions specified by the Board or designated committee of the Board. A Non-Employee Director may only make a Retainer Grant Election during a period in which the Company is not in a quarterly or special blackout period and the Non-Employee Director is not aware of any material non-public information. Once a Retainer Grant Election is properly submitted, it will be in effect for the next Retainer Accrual Date and will remain in effect for successive Retainer Accrual Dates unless and until the Eligible Director revokes it in accordance with Section II(C) below. A Non-EmployeeDirector who fails to make a timely Retainer Grant Election will not receive a Retainer Grant and instead will receive the cash compensation set forth under Section I.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3.</w:t>
      </w:r>
    </w:p>
    <w:p>
      <w:pPr>
        <w:pStyle w:val="TextBody"/>
        <w:bidi w:val="0"/>
        <w:spacing w:before="240" w:after="283"/>
        <w:jc w:val="both"/>
        <w:rPr/>
      </w:pPr>
      <w:r>
        <w:rPr>
          <w:rFonts w:ascii="Times New Roman" w:hAnsi="Times New Roman"/>
          <w:b/>
          <w:color w:val="000000"/>
          <w:sz w:val="22"/>
        </w:rPr>
        <w:t>Revocation Mechanics</w:t>
      </w:r>
      <w:r>
        <w:rPr>
          <w:rFonts w:ascii="Times New Roman" w:hAnsi="Times New Roman"/>
          <w:color w:val="000000"/>
          <w:sz w:val="22"/>
        </w:rPr>
        <w:t>. The revocation of any Retainer Grant Election must be submitted to the Company’s Chief Financial Officer (or such other individual as the Company designates) in writing at least 20 business days in advance of the applicable Retainer Accrual Date, and subject to any other conditions specified by the Board or designated committee of the Board. A Non-Employee Director may only revoke a Retainer Grant Election during a period in which the Company is not in a quarterly or special blackout period and the Non-Employee Director is not aware of any material non-public information. Once the revocation of the Retainer Grant Election is properly submitted, it will be in effect for the next Retainer Accrual Date and will remain in effect for successive Retainer Accrual Dates unless and until the Non-EmployeeDirector makes a new Retainer Grant Election in accordance with Section (II)(B).</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III.</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Equity Compensation</w:t>
      </w:r>
    </w:p>
    <w:p>
      <w:pPr>
        <w:pStyle w:val="TextBody"/>
        <w:bidi w:val="0"/>
        <w:spacing w:before="240" w:after="283"/>
        <w:jc w:val="both"/>
        <w:rPr>
          <w:rFonts w:ascii="Times New Roman" w:hAnsi="Times New Roman"/>
          <w:sz w:val="20"/>
        </w:rPr>
      </w:pPr>
      <w:r>
        <w:rPr>
          <w:rFonts w:ascii="Times New Roman" w:hAnsi="Times New Roman"/>
          <w:color w:val="000000"/>
          <w:sz w:val="22"/>
        </w:rPr>
        <w:t>All stock options granted under this Policy will be nonstatutory stock options, with an exercise price per share equal to 100% of the Fair Market Value (as defined in the Plan) of the underlying common stock on the date of grant, and a term of 10 years from the date of grant (subject to earlier termination in connection with a termination of service as provided in the Plan), and will be automatic and nondiscretionary (without the need for any additional corporate action by the Board or designated committee of the Board) and will be made in accordance with the following provisions:</w:t>
      </w:r>
      <w:r>
        <w:rPr>
          <w:rFonts w:ascii="Times New Roman" w:hAnsi="Times New Roman"/>
          <w:color w:val="000000"/>
          <w:sz w:val="20"/>
        </w:rPr>
        <w:t xml:space="preserve">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1.</w:t>
      </w:r>
    </w:p>
    <w:p>
      <w:pPr>
        <w:pStyle w:val="TextBody"/>
        <w:bidi w:val="0"/>
        <w:spacing w:before="240" w:after="283"/>
        <w:jc w:val="both"/>
        <w:rPr/>
      </w:pPr>
      <w:r>
        <w:rPr>
          <w:rFonts w:ascii="Times New Roman" w:hAnsi="Times New Roman"/>
          <w:b/>
          <w:color w:val="000000"/>
          <w:sz w:val="22"/>
        </w:rPr>
        <w:t>Initial Grant</w:t>
      </w:r>
      <w:r>
        <w:rPr>
          <w:rFonts w:ascii="Times New Roman" w:hAnsi="Times New Roman"/>
          <w:color w:val="000000"/>
          <w:sz w:val="22"/>
        </w:rPr>
        <w:t xml:space="preserve">. On the date of such Non-Employee Director’s initial election or appointment to the Board (or, if such date is not a market trading day, the first market trading day thereafter), the Non-Employee Director will be automatically, and without further action by the Board or Compensation Committee of the Board, granted a stock option to purchase a number of shares of the Company’s common stock equal to 30,200 shares of the Company’s common stock. The shares subject to each such stock option will vest monthly over a three-year period, subject to the Non-Employee Director’s Continuous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Service (as defined in the Plan) on each vesting date.</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w:t>
      </w:r>
    </w:p>
    <w:p>
      <w:pPr>
        <w:pStyle w:val="TextBody"/>
        <w:bidi w:val="0"/>
        <w:spacing w:before="240" w:after="283"/>
        <w:jc w:val="both"/>
        <w:rPr/>
      </w:pPr>
      <w:r>
        <w:rPr>
          <w:rFonts w:ascii="Times New Roman" w:hAnsi="Times New Roman"/>
          <w:b/>
          <w:color w:val="000000"/>
          <w:sz w:val="22"/>
        </w:rPr>
        <w:t>Annual Grant</w:t>
      </w:r>
      <w:r>
        <w:rPr>
          <w:rFonts w:ascii="Times New Roman" w:hAnsi="Times New Roman"/>
          <w:color w:val="000000"/>
          <w:sz w:val="22"/>
        </w:rPr>
        <w:t>.</w:t>
      </w:r>
      <w:r>
        <w:rPr>
          <w:color w:val="000000"/>
        </w:rPr>
        <w:t xml:space="preserve"> </w:t>
      </w:r>
      <w:r>
        <w:rPr>
          <w:rFonts w:ascii="Times New Roman" w:hAnsi="Times New Roman"/>
          <w:color w:val="000000"/>
          <w:sz w:val="22"/>
        </w:rPr>
        <w:t>On the date of each annual stockholder meeting of the Company, each Non-Employee Director who continues to serve as a non-employee member of the Board following such stockholder meeting will be automatically, and without further action by the Board or Compensation Committee of the Board, granted a stock option to purchase 15,100 shares of the Company’s common stock (the “</w:t>
      </w:r>
      <w:r>
        <w:rPr>
          <w:rFonts w:ascii="Times New Roman" w:hAnsi="Times New Roman"/>
          <w:b/>
          <w:i/>
          <w:color w:val="000000"/>
          <w:sz w:val="22"/>
        </w:rPr>
        <w:t>Annual Grant</w:t>
      </w:r>
      <w:r>
        <w:rPr>
          <w:color w:val="000000"/>
        </w:rPr>
        <w:t>”</w:t>
      </w:r>
      <w:r>
        <w:rPr>
          <w:rFonts w:ascii="Times New Roman" w:hAnsi="Times New Roman"/>
          <w:color w:val="000000"/>
          <w:sz w:val="22"/>
        </w:rPr>
        <w:t xml:space="preserve">). The shares subject to the Annual Grant will vest in equal monthly installments over the 12 months following the date of grant, provided that the Annual Grant will in any case be fully vested on the date of Company’s next annual stockholder meeting, subject to the Non-Employee Director’s Continuous Service (as defined in the Plan) through such vesting date. </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3.</w:t>
      </w:r>
    </w:p>
    <w:p>
      <w:pPr>
        <w:pStyle w:val="TextBody"/>
        <w:bidi w:val="0"/>
        <w:spacing w:before="240" w:after="283"/>
        <w:jc w:val="both"/>
        <w:rPr/>
      </w:pPr>
      <w:r>
        <w:rPr>
          <w:rFonts w:ascii="Times New Roman" w:hAnsi="Times New Roman"/>
          <w:b/>
          <w:color w:val="000000"/>
          <w:sz w:val="22"/>
        </w:rPr>
        <w:t>Change in Control.</w:t>
      </w:r>
      <w:r>
        <w:rPr>
          <w:color w:val="000000"/>
        </w:rPr>
        <w:t xml:space="preserve"> </w:t>
      </w:r>
      <w:r>
        <w:rPr>
          <w:rFonts w:ascii="Times New Roman" w:hAnsi="Times New Roman"/>
          <w:color w:val="000000"/>
          <w:sz w:val="22"/>
        </w:rPr>
        <w:t>Notwithstanding the foregoing, for each Non-Employee Director who remains in Continuous Service as of, or immediately prior to, a Change in Control, the equity awards that were granted pursuant to this Policy will become fully vested immediately prior to such Change in Control.</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4.</w:t>
      </w:r>
    </w:p>
    <w:p>
      <w:pPr>
        <w:pStyle w:val="TextBody"/>
        <w:bidi w:val="0"/>
        <w:spacing w:before="240" w:after="283"/>
        <w:jc w:val="both"/>
        <w:rPr/>
      </w:pPr>
      <w:r>
        <w:rPr>
          <w:rFonts w:ascii="Times New Roman" w:hAnsi="Times New Roman"/>
          <w:b/>
          <w:color w:val="000000"/>
          <w:sz w:val="22"/>
        </w:rPr>
        <w:t>Additional Provisions</w:t>
      </w:r>
      <w:r>
        <w:rPr>
          <w:rFonts w:ascii="Times New Roman" w:hAnsi="Times New Roman"/>
          <w:color w:val="000000"/>
          <w:sz w:val="22"/>
        </w:rPr>
        <w:t xml:space="preserve">: All provisions of the Plan not inconsistent with this policy will apply to awards granted to a Non-Employee Director. Non-Employee Directors will be required to execute an award agreement in a form satisfactory to the Company prior to receipt of an Initial Grant or Annual Grant.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IV.</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Non-Employee Director Compensation Limit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Notwithstanding anything herein to the contrary, the cash compensation and equity compensation that each Non-Employee Director is entitled to receive under this Policy shall be subject to the limits set forth in Section 3(d) of the Plan.</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V.</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Ability to Decline Compensation</w:t>
      </w:r>
    </w:p>
    <w:p>
      <w:pPr>
        <w:pStyle w:val="TextBody"/>
        <w:bidi w:val="0"/>
        <w:spacing w:before="240" w:after="283"/>
        <w:jc w:val="both"/>
        <w:rPr>
          <w:rFonts w:ascii="Times New Roman" w:hAnsi="Times New Roman"/>
          <w:sz w:val="20"/>
        </w:rPr>
      </w:pPr>
      <w:r>
        <w:rPr>
          <w:rFonts w:ascii="Times New Roman" w:hAnsi="Times New Roman"/>
          <w:color w:val="000000"/>
          <w:sz w:val="22"/>
        </w:rPr>
        <w:t>A Non-Employee Director may decline all or any portion of his or her compensation under this Policy by giving notice to the Company prior to the date such cash is earned or such equity awards are to be granted, as the case may be.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VI.</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Expenses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The Company will reimburse each Non-Employee Director for ordinary, necessary and reasonable out-of-pocket travel expenses to cover in-person attendance at and participation in Board and committee meetings; provided, that the Non-Employee Director timely submits to the Company appropriate documentation substantiating such expenses in accordance with the Company’s travel and expense policy, as in effect from time to time.</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bookmarkStart w:id="43" w:name="inab-ex23_1.htm"/>
      <w:bookmarkStart w:id="44" w:name="ksinabex23_1"/>
      <w:bookmarkEnd w:id="43"/>
      <w:bookmarkEnd w:id="44"/>
      <w:r>
        <w:rPr/>
        <w:t> </w:t>
      </w:r>
      <w:r>
        <w:br w:type="page"/>
      </w:r>
    </w:p>
    <w:p>
      <w:pPr>
        <w:pStyle w:val="TextBody"/>
        <w:bidi w:val="0"/>
        <w:spacing w:before="0" w:after="16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0" w:after="160"/>
        <w:jc w:val="center"/>
        <w:rPr/>
      </w:pPr>
      <w:r>
        <w:rPr/>
        <w:t> </w:t>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consent to the incorporation by reference in the following Registration Statements on Form S-8 (333-259458, 333-264893, 333-274092, 333-276614 and 333-285798) and Form S-3 (333-276504, 333-282984, 333-291393 and 333-292830) of our report, dated March 12, 2026, with respect to the financial statements of IN8bio, Inc. included in this Annual Report (Form 10-K) of IN8bio, Inc. for the year ended December 31, 2025. Our audit report includes an explanatory paragraph relating to IN8bio, Inc.’s ability to continue as a going concern.</w:t>
      </w:r>
    </w:p>
    <w:p>
      <w:pPr>
        <w:pStyle w:val="TextBody"/>
        <w:bidi w:val="0"/>
        <w:jc w:val="both"/>
        <w:rPr>
          <w:rFonts w:ascii="Times New Roman" w:hAnsi="Times New Roman"/>
          <w:color w:val="000000"/>
          <w:sz w:val="20"/>
        </w:rPr>
      </w:pPr>
      <w:r>
        <w:rPr>
          <w:rFonts w:ascii="Times New Roman" w:hAnsi="Times New Roman"/>
          <w:color w:val="000000"/>
          <w:sz w:val="20"/>
        </w:rPr>
        <w:t>/s/ CohnReznick LLP</w:t>
      </w:r>
    </w:p>
    <w:p>
      <w:pPr>
        <w:pStyle w:val="TextBody"/>
        <w:bidi w:val="0"/>
        <w:jc w:val="both"/>
        <w:rPr>
          <w:rFonts w:ascii="Times New Roman" w:hAnsi="Times New Roman"/>
          <w:color w:val="000000"/>
          <w:sz w:val="20"/>
        </w:rPr>
      </w:pPr>
      <w:r>
        <w:rPr>
          <w:rFonts w:ascii="Times New Roman" w:hAnsi="Times New Roman"/>
          <w:color w:val="000000"/>
          <w:sz w:val="20"/>
        </w:rPr>
        <w:t>New York, New York</w:t>
      </w:r>
    </w:p>
    <w:p>
      <w:pPr>
        <w:pStyle w:val="TextBody"/>
        <w:bidi w:val="0"/>
        <w:jc w:val="left"/>
        <w:rPr>
          <w:rFonts w:ascii="Times New Roman" w:hAnsi="Times New Roman"/>
          <w:color w:val="000000"/>
          <w:sz w:val="20"/>
        </w:rPr>
      </w:pPr>
      <w:r>
        <w:rPr>
          <w:rFonts w:ascii="Times New Roman" w:hAnsi="Times New Roman"/>
          <w:color w:val="000000"/>
          <w:sz w:val="20"/>
        </w:rPr>
        <w:t xml:space="preserve">March 12, 2026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right"/>
        <w:rPr>
          <w:rFonts w:ascii="Times New Roman" w:hAnsi="Times New Roman"/>
          <w:b/>
          <w:color w:val="000000"/>
          <w:sz w:val="20"/>
        </w:rPr>
      </w:pPr>
      <w:bookmarkStart w:id="45" w:name="inab-ex31_1.htm"/>
      <w:bookmarkStart w:id="46" w:name="ksinabex31_1"/>
      <w:bookmarkEnd w:id="45"/>
      <w:bookmarkEnd w:id="46"/>
      <w:r>
        <w:rPr>
          <w:rFonts w:ascii="Times New Roman" w:hAnsi="Times New Roman"/>
          <w:b/>
          <w:color w:val="000000"/>
          <w:sz w:val="20"/>
        </w:rPr>
        <w:t>Exhibit 31.1</w:t>
      </w:r>
      <w:r>
        <w:br w:type="page"/>
      </w:r>
    </w:p>
    <w:p>
      <w:pPr>
        <w:pStyle w:val="TextBody"/>
        <w:bidi w:val="0"/>
        <w:spacing w:before="60" w:after="283"/>
        <w:jc w:val="center"/>
        <w:rPr>
          <w:rFonts w:ascii="Times New Roman" w:hAnsi="Times New Roman"/>
          <w:b/>
          <w:color w:val="000000"/>
          <w:sz w:val="20"/>
          <w:u w:val="single"/>
        </w:rPr>
      </w:pPr>
      <w:r>
        <w:rPr>
          <w:rFonts w:ascii="Times New Roman" w:hAnsi="Times New Roman"/>
          <w:b/>
          <w:color w:val="000000"/>
          <w:sz w:val="20"/>
          <w:u w:val="single"/>
        </w:rPr>
        <w:t>CERTIFICATIONS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 William Ho, certify that: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 I have reviewed this Annual Report on Form 10-K of IN8bio, Inc.;</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Date: March 12, 2026</w:t>
      </w:r>
    </w:p>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20"/>
          <w:u w:val="single"/>
        </w:rPr>
        <w:t>/s/William Ho</w:t>
      </w:r>
      <w:r>
        <w:rPr>
          <w:rFonts w:ascii="Times New Roman" w:hAnsi="Times New Roman"/>
          <w:color w:val="000000"/>
          <w:sz w:val="20"/>
        </w:rPr>
        <w:t>__________________</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William Ho</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Chief Executive Officer</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60" w:after="283"/>
        <w:jc w:val="right"/>
        <w:rPr>
          <w:rFonts w:ascii="Times New Roman" w:hAnsi="Times New Roman"/>
          <w:b/>
          <w:color w:val="000000"/>
          <w:sz w:val="20"/>
        </w:rPr>
      </w:pPr>
      <w:bookmarkStart w:id="47" w:name="inab-ex31_2.htm"/>
      <w:bookmarkStart w:id="48" w:name="ksinabex31_2"/>
      <w:bookmarkEnd w:id="47"/>
      <w:bookmarkEnd w:id="48"/>
      <w:r>
        <w:rPr>
          <w:rFonts w:ascii="Times New Roman" w:hAnsi="Times New Roman"/>
          <w:b/>
          <w:color w:val="000000"/>
          <w:sz w:val="20"/>
        </w:rPr>
        <w:t>Exhibit 31.2</w:t>
      </w:r>
      <w:r>
        <w:br w:type="page"/>
      </w:r>
    </w:p>
    <w:p>
      <w:pPr>
        <w:pStyle w:val="TextBody"/>
        <w:bidi w:val="0"/>
        <w:spacing w:before="60" w:after="283"/>
        <w:jc w:val="center"/>
        <w:rPr>
          <w:rFonts w:ascii="Times New Roman" w:hAnsi="Times New Roman"/>
          <w:b/>
          <w:color w:val="000000"/>
          <w:sz w:val="20"/>
          <w:u w:val="single"/>
        </w:rPr>
      </w:pPr>
      <w:r>
        <w:rPr>
          <w:rFonts w:ascii="Times New Roman" w:hAnsi="Times New Roman"/>
          <w:b/>
          <w:color w:val="000000"/>
          <w:sz w:val="20"/>
          <w:u w:val="single"/>
        </w:rPr>
        <w:t>CERTIFICATIONS</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I, Patrick McCall, certify that:</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1. I have reviewed this Annual Report on Form 10-K of IN8bio, Inc.;</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60" w:after="283"/>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Date: March 12, 2026</w:t>
      </w:r>
    </w:p>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20"/>
          <w:u w:val="single"/>
        </w:rPr>
        <w:t>/s/ Patrick McCall</w:t>
      </w:r>
      <w:r>
        <w:rPr>
          <w:rFonts w:ascii="Times New Roman" w:hAnsi="Times New Roman"/>
          <w:color w:val="000000"/>
          <w:sz w:val="20"/>
        </w:rPr>
        <w:t>______________</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Patrick McCall</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spacing w:before="60" w:after="283"/>
        <w:jc w:val="right"/>
        <w:rPr>
          <w:rFonts w:ascii="Times New Roman" w:hAnsi="Times New Roman"/>
          <w:b/>
          <w:color w:val="000000"/>
          <w:sz w:val="20"/>
        </w:rPr>
      </w:pPr>
      <w:bookmarkStart w:id="49" w:name="inab-ex32_1.htm"/>
      <w:bookmarkStart w:id="50" w:name="ksinabex32_1"/>
      <w:bookmarkEnd w:id="49"/>
      <w:bookmarkEnd w:id="50"/>
      <w:r>
        <w:rPr>
          <w:rFonts w:ascii="Times New Roman" w:hAnsi="Times New Roman"/>
          <w:b/>
          <w:color w:val="000000"/>
          <w:sz w:val="20"/>
        </w:rPr>
        <w:t>Exhibit 32.1</w:t>
      </w:r>
      <w:r>
        <w:br w:type="page"/>
      </w:r>
    </w:p>
    <w:p>
      <w:pPr>
        <w:pStyle w:val="TextBody"/>
        <w:bidi w:val="0"/>
        <w:spacing w:before="6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William Ho, Chief Executive Officer of IN8bio, Inc. (the “Company”), and Patrick McCall, Chief Financial Officer of the Company, each hereby certifies that, to the best of his knowledge:</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Company’s Annual Report on Form 10-K for the fiscal year ended December 31, 2025, to which this Certification is attached as Exhibit 32.1 (the “Annual Report”), fully complies with the requirements of Section 13(a) or Section 15(d) of the Exchange Act; and</w:t>
      </w:r>
    </w:p>
    <w:p>
      <w:pPr>
        <w:pStyle w:val="TextBody"/>
        <w:bidi w:val="0"/>
        <w:spacing w:before="60" w:after="283"/>
        <w:jc w:val="both"/>
        <w:rPr>
          <w:rFonts w:ascii="Times New Roman" w:hAnsi="Times New Roman"/>
          <w:b/>
          <w:color w:val="000000"/>
          <w:sz w:val="20"/>
        </w:rPr>
      </w:pPr>
      <w:r>
        <w:rPr>
          <w:rFonts w:ascii="Times New Roman" w:hAnsi="Times New Roman"/>
          <w:b/>
          <w:color w:val="000000"/>
          <w:sz w:val="20"/>
        </w:rPr>
        <w:t>2.</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information contained in the Annual Report fairly presents, in all material respects, the financial condition and results of operations of the Company.</w:t>
      </w:r>
    </w:p>
    <w:p>
      <w:pPr>
        <w:pStyle w:val="TextBody"/>
        <w:bidi w:val="0"/>
        <w:spacing w:before="60" w:after="283"/>
        <w:jc w:val="both"/>
        <w:rPr/>
      </w:pPr>
      <w:r>
        <w:rPr/>
        <w:t> </w:t>
      </w:r>
    </w:p>
    <w:p>
      <w:pPr>
        <w:pStyle w:val="TextBody"/>
        <w:bidi w:val="0"/>
        <w:spacing w:before="60" w:after="283"/>
        <w:jc w:val="both"/>
        <w:rPr>
          <w:rFonts w:ascii="Times New Roman" w:hAnsi="Times New Roman"/>
          <w:sz w:val="20"/>
        </w:rPr>
      </w:pPr>
      <w:r>
        <w:rPr>
          <w:rFonts w:ascii="Times New Roman" w:hAnsi="Times New Roman"/>
          <w:b/>
          <w:smallCaps/>
          <w:color w:val="000000"/>
          <w:sz w:val="20"/>
        </w:rPr>
        <w:t>In Witness Whereof</w:t>
      </w:r>
      <w:r>
        <w:rPr>
          <w:rFonts w:ascii="Times New Roman" w:hAnsi="Times New Roman"/>
          <w:color w:val="000000"/>
          <w:sz w:val="20"/>
        </w:rPr>
        <w:t>, the undersigned have set their hands hereto as of the 12th day of March, 2026.</w:t>
      </w:r>
    </w:p>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20"/>
          <w:u w:val="single"/>
        </w:rPr>
        <w:t>/s/ William Ho /s/ Patrick McCall</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xml:space="preserve">William Ho Patrick McCall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Chief Executive Officer Chief Financial Officer</w:t>
      </w:r>
    </w:p>
    <w:p>
      <w:pPr>
        <w:pStyle w:val="TextBody"/>
        <w:bidi w:val="0"/>
        <w:spacing w:before="60" w:after="283"/>
        <w:jc w:val="both"/>
        <w:rPr/>
      </w:pPr>
      <w:r>
        <w:rPr/>
        <w: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This certification accompanies the Form 10-K to which it relates, is not deemed filed with the Securities and Exchange Commission and is not to be incorporated by reference into any filing of IN8bio, Inc. under the Securities Act of 1933, as amended, or the Securities Exchange Act of 1934, as amended (whether made before or after the date of the Form 10-K), irrespective of any general incorporation language contained in such filing.</w:t>
      </w:r>
    </w:p>
    <w:p>
      <w:pPr>
        <w:pStyle w:val="TextBody"/>
        <w:bidi w:val="0"/>
        <w:spacing w:before="60" w:after="283"/>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hyperlink" Target="https://www.sec.gov/Archives/edgar/data/1740279/000110465921099436/tm2030088d31_ex3-1.htm" TargetMode="External"/><Relationship Id="rId29" Type="http://schemas.openxmlformats.org/officeDocument/2006/relationships/hyperlink" Target="https://www.sec.gov/Archives/edgar/data/1740279/000119312525134487/d927529dex31.htm" TargetMode="External"/><Relationship Id="rId30" Type="http://schemas.openxmlformats.org/officeDocument/2006/relationships/hyperlink" Target="https://www.sec.gov/Archives/edgar/data/1740279/000119312523290707/d634027dex31.htm" TargetMode="External"/><Relationship Id="rId31" Type="http://schemas.openxmlformats.org/officeDocument/2006/relationships/hyperlink" Target="https://www.sec.gov/Archives/edgar/data/1740279/000110465920121840/tm2030088d11_ex4-1.htm" TargetMode="External"/><Relationship Id="rId32" Type="http://schemas.openxmlformats.org/officeDocument/2006/relationships/hyperlink" Target="https://www.sec.gov/Archives/edgar/data/1740279/000110465920121840/tm2030088d11_ex4-1.htm" TargetMode="External"/><Relationship Id="rId33" Type="http://schemas.openxmlformats.org/officeDocument/2006/relationships/hyperlink" Target="https://www.sec.gov/Archives/edgar/data/1740279/000119312524230283/d895981dex41.htm" TargetMode="External"/><Relationship Id="rId34" Type="http://schemas.openxmlformats.org/officeDocument/2006/relationships/hyperlink" Target="https://www.sec.gov/Archives/edgar/data/1740279/000119312525098597/d597671dex41.htm" TargetMode="External"/><Relationship Id="rId35" Type="http://schemas.openxmlformats.org/officeDocument/2006/relationships/hyperlink" Target="https://www.sec.gov/Archives/edgar/data/1740279/000119312525327097/d145007dex41.htm" TargetMode="External"/><Relationship Id="rId36" Type="http://schemas.openxmlformats.org/officeDocument/2006/relationships/hyperlink" Target="https://www.sec.gov/Archives/edgar/data/1740279/000119312523292706/d634758dex43.htm" TargetMode="External"/><Relationship Id="rId37" Type="http://schemas.openxmlformats.org/officeDocument/2006/relationships/hyperlink" Target="https://www.sec.gov/Archives/edgar/data/1740279/000119312525098597/d597671dex44.htm" TargetMode="External"/><Relationship Id="rId38" Type="http://schemas.openxmlformats.org/officeDocument/2006/relationships/hyperlink" Target="https://www.sec.gov/Archives/edgar/data/1740279/000119312524230283/d895981dex42.htm" TargetMode="External"/><Relationship Id="rId39" Type="http://schemas.openxmlformats.org/officeDocument/2006/relationships/hyperlink" Target="https://www.sec.gov/Archives/edgar/data/1740279/000119312523292706/d634758dex102.htm" TargetMode="External"/><Relationship Id="rId40" Type="http://schemas.openxmlformats.org/officeDocument/2006/relationships/hyperlink" Target="https://www.sec.gov/Archives/edgar/data/1740279/000119312524230283/d895981dex102.htm" TargetMode="External"/><Relationship Id="rId41" Type="http://schemas.openxmlformats.org/officeDocument/2006/relationships/hyperlink" Target="https://www.sec.gov/Archives/edgar/data/1740279/000119312525327097/d145007dex102.htm" TargetMode="External"/><Relationship Id="rId42" Type="http://schemas.openxmlformats.org/officeDocument/2006/relationships/hyperlink" Target="https://www.sec.gov/Archives/edgar/data/1740279/000110465920121840/tm2030088d11_ex10-1.htm" TargetMode="External"/><Relationship Id="rId43" Type="http://schemas.openxmlformats.org/officeDocument/2006/relationships/hyperlink" Target="https://www.sec.gov/Archives/edgar/data/1740279/000110465920121840/tm2030088d11_ex10-1.htm" TargetMode="External"/><Relationship Id="rId44" Type="http://schemas.openxmlformats.org/officeDocument/2006/relationships/hyperlink" Target="https://www.sec.gov/Archives/edgar/data/1740279/000110465920115697/tm2030088d8_ex10-2.htm" TargetMode="External"/><Relationship Id="rId45" Type="http://schemas.openxmlformats.org/officeDocument/2006/relationships/hyperlink" Target="https://www.sec.gov/Archives/edgar/data/1740279/000110465920115697/tm2030088d8_ex10-3.htm" TargetMode="External"/><Relationship Id="rId46" Type="http://schemas.openxmlformats.org/officeDocument/2006/relationships/hyperlink" Target="https://www.sec.gov/Archives/edgar/data/1740279/000119312521270077/d216810dex46.htm" TargetMode="External"/><Relationship Id="rId47" Type="http://schemas.openxmlformats.org/officeDocument/2006/relationships/hyperlink" Target="https://www.sec.gov/Archives/edgar/data/1740279/000110465920121840/tm2030088d11_ex10-5.htm" TargetMode="External"/><Relationship Id="rId48" Type="http://schemas.openxmlformats.org/officeDocument/2006/relationships/hyperlink" Target="https://www.sec.gov/Archives/edgar/data/1740279/000095017023041482/inab-ex10_1.htm" TargetMode="External"/><Relationship Id="rId49" Type="http://schemas.openxmlformats.org/officeDocument/2006/relationships/hyperlink" Target="https://www.sec.gov/Archives/edgar/data/1740279/000095017023041482/inab-ex10_2.htm" TargetMode="External"/><Relationship Id="rId50" Type="http://schemas.openxmlformats.org/officeDocument/2006/relationships/hyperlink" Target="https://www.sec.gov/Archives/edgar/data/1740279/000119312521270077/d216810dex46.htm" TargetMode="External"/><Relationship Id="rId51" Type="http://schemas.openxmlformats.org/officeDocument/2006/relationships/hyperlink" Target="https://www.sec.gov/Archives/edgar/data/1740279/000095017024125537/inab-ex10_9.htm" TargetMode="External"/><Relationship Id="rId52" Type="http://schemas.openxmlformats.org/officeDocument/2006/relationships/hyperlink" Target="https://www.sec.gov/Archives/edgar/data/1740279/000110465920115697/tm2030088d8_ex10-8.htm" TargetMode="External"/><Relationship Id="rId53" Type="http://schemas.openxmlformats.org/officeDocument/2006/relationships/hyperlink" Target="https://www.sec.gov/Archives/edgar/data/1740279/000110465920115697/tm2030088d8_ex10-8.htm" TargetMode="External"/><Relationship Id="rId54" Type="http://schemas.openxmlformats.org/officeDocument/2006/relationships/hyperlink" Target="https://www.sec.gov/Archives/edgar/data/1740279/000110465920115697/tm2030088d8_ex10-9.htm" TargetMode="External"/><Relationship Id="rId55" Type="http://schemas.openxmlformats.org/officeDocument/2006/relationships/hyperlink" Target="https://www.sec.gov/Archives/edgar/data/1740279/000110465920115697/tm2030088d8_ex10-10.htm" TargetMode="External"/><Relationship Id="rId56" Type="http://schemas.openxmlformats.org/officeDocument/2006/relationships/hyperlink" Target="https://www.sec.gov/Archives/edgar/data/1740279/000110465920115697/tm2030088d8_ex10-11.htm" TargetMode="External"/><Relationship Id="rId57" Type="http://schemas.openxmlformats.org/officeDocument/2006/relationships/hyperlink" Target="https://www.sec.gov/Archives/edgar/data/1740279/000110465920115697/tm2030088d8_ex10-11.htm" TargetMode="External"/><Relationship Id="rId58" Type="http://schemas.openxmlformats.org/officeDocument/2006/relationships/hyperlink" Target="https://www.sec.gov/Archives/edgar/data/1740279/000110465920115697/tm2030088d8_ex10-12.htm" TargetMode="External"/><Relationship Id="rId59" Type="http://schemas.openxmlformats.org/officeDocument/2006/relationships/hyperlink" Target="https://www.sec.gov/Archives/edgar/data/1740279/000110465920115697/tm2030088d8_ex10-13.htm" TargetMode="External"/><Relationship Id="rId60" Type="http://schemas.openxmlformats.org/officeDocument/2006/relationships/hyperlink" Target="https://www.sec.gov/Archives/edgar/data/1740279/000110465920115697/tm2030088d8_ex10-14.htm" TargetMode="External"/><Relationship Id="rId61" Type="http://schemas.openxmlformats.org/officeDocument/2006/relationships/hyperlink" Target="https://www.sec.gov/Archives/edgar/data/1740279/000110465920115697/tm2030088d8_ex10-15.htm" TargetMode="External"/><Relationship Id="rId62" Type="http://schemas.openxmlformats.org/officeDocument/2006/relationships/hyperlink" Target="https://www.sec.gov/Archives/edgar/data/1740279/000110465921044928/tm2030088d19_ex10-16.htm" TargetMode="External"/><Relationship Id="rId63" Type="http://schemas.openxmlformats.org/officeDocument/2006/relationships/hyperlink" Target="https://www.sec.gov/Archives/edgar/data/1740279/000119312524215154/d806767dex101.htm" TargetMode="External"/><Relationship Id="rId64" Type="http://schemas.openxmlformats.org/officeDocument/2006/relationships/hyperlink" Target="https://www.sec.gov/Archives/edgar/data/1740279/000110465921044928/tm2030088d19_ex10-17.htm" TargetMode="External"/><Relationship Id="rId65" Type="http://schemas.openxmlformats.org/officeDocument/2006/relationships/hyperlink" Target="https://www.sec.gov/Archives/edgar/data/1740279/000119312524215154/d806767dex103.htm" TargetMode="External"/><Relationship Id="rId66" Type="http://schemas.openxmlformats.org/officeDocument/2006/relationships/hyperlink" Target="https://www.sec.gov/Archives/edgar/data/1740279/000095017022004101/inab-ex10_20.htm" TargetMode="External"/><Relationship Id="rId67" Type="http://schemas.openxmlformats.org/officeDocument/2006/relationships/hyperlink" Target="https://www.sec.gov/Archives/edgar/data/1740279/000119312524215154/d806767dex104.htm" TargetMode="External"/><Relationship Id="rId68" Type="http://schemas.openxmlformats.org/officeDocument/2006/relationships/hyperlink" Target="https://www.sec.gov/Archives/edgar/data/1740279/000095017024031486/inab-ex10_23.htm" TargetMode="External"/><Relationship Id="rId69" Type="http://schemas.openxmlformats.org/officeDocument/2006/relationships/hyperlink" Target="https://www.sec.gov/Archives/edgar/data/1740279/000119312524215154/d806767dex105.htm" TargetMode="External"/><Relationship Id="rId70" Type="http://schemas.openxmlformats.org/officeDocument/2006/relationships/hyperlink" Target="https://www.sec.gov/Archives/edgar/data/1740279/000095017024056910/inab-ex10_2.htm" TargetMode="External"/><Relationship Id="rId71" Type="http://schemas.openxmlformats.org/officeDocument/2006/relationships/hyperlink" Target="https://www.sec.gov/Archives/edgar/data/1740279/000095017024056910/inab-ex10_3.htm" TargetMode="External"/><Relationship Id="rId72" Type="http://schemas.openxmlformats.org/officeDocument/2006/relationships/hyperlink" Target="https://www.sec.gov/Archives/edgar/data/1740279/000095017024056910/inab-ex10_4.htm" TargetMode="External"/><Relationship Id="rId73" Type="http://schemas.openxmlformats.org/officeDocument/2006/relationships/hyperlink" Target="https://www.sec.gov/Archives/edgar/data/1740279/000095017025038738/inab-ex19_1.htm" TargetMode="External"/><Relationship Id="rId74" Type="http://schemas.openxmlformats.org/officeDocument/2006/relationships/hyperlink" Target="https://www.sec.gov/Archives/edgar/data/1740279/000095017024031486/inab-ex97.htm" TargetMode="External"/><Relationship Id="rId75" Type="http://schemas.openxmlformats.org/officeDocument/2006/relationships/hyperlink" Target="https://www.sec.gov/Archives/edgar/data/1740279/000095017024031486/inab-ex97.htm" TargetMode="External"/><Relationship Id="rId76" Type="http://schemas.openxmlformats.org/officeDocument/2006/relationships/fontTable" Target="fontTable.xml"/><Relationship Id="rId7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101618</Words>
  <Characters>569831</Characters>
  <CharactersWithSpaces>670496</CharactersWithSpaces>
  <Paragraphs>5139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