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left"/>
        <w:rPr/>
      </w:pPr>
      <w:bookmarkStart w:id="0" w:name="inab-20250630.htm"/>
      <w:bookmarkStart w:id="1" w:name="ksinab20250630"/>
      <w:bookmarkEnd w:id="0"/>
      <w:bookmarkEnd w:id="1"/>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60" w:after="283"/>
        <w:jc w:val="both"/>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001-39692</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IN8BIO,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82-5462585</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350 5th Avenue, Suite 5330</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New York, New York</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10118</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(646) 600-6438</w:t>
      </w:r>
    </w:p>
    <w:p>
      <w:pPr>
        <w:pStyle w:val="TextBody"/>
        <w:pBdr>
          <w:bottom w:val="single" w:sz="4" w:space="1" w:color="000000"/>
        </w:pBdr>
        <w:bidi w:val="0"/>
        <w:jc w:val="center"/>
        <w:rPr/>
      </w:pPr>
      <w:r>
        <w:rPr/>
        <w:t> </w:t>
      </w:r>
    </w:p>
    <w:p>
      <w:pPr>
        <w:pStyle w:val="TextBody"/>
        <w:bidi w:val="0"/>
        <w:jc w:val="both"/>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8350" w:type="dxa"/>
        <w:jc w:val="left"/>
        <w:tblInd w:w="0" w:type="dxa"/>
        <w:tblLayout w:type="fixed"/>
        <w:tblCellMar>
          <w:top w:w="28" w:type="dxa"/>
          <w:left w:w="28" w:type="dxa"/>
          <w:bottom w:w="28" w:type="dxa"/>
          <w:right w:w="28" w:type="dxa"/>
        </w:tblCellMar>
      </w:tblPr>
      <w:tblGrid>
        <w:gridCol w:w="3286"/>
        <w:gridCol w:w="146"/>
        <w:gridCol w:w="145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INAB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w:t>
      </w:r>
      <w:r>
        <w:rPr>
          <w:rFonts w:ascii="Times New Roman" w:hAnsi="Times New Roman"/>
          <w:smallCaps/>
          <w:color w:val="000000"/>
          <w:sz w:val="18"/>
        </w:rPr>
        <w:t>es</w:t>
      </w:r>
      <w:r>
        <w:rPr>
          <w:rFonts w:ascii="Times New Roman" w:hAnsi="Times New Roman"/>
          <w:color w:val="000000"/>
          <w:sz w:val="20"/>
        </w:rPr>
        <w:t xml:space="preserve"> ☒ </w:t>
      </w:r>
      <w:r>
        <w:rPr>
          <w:rFonts w:ascii="Times New Roman" w:hAnsi="Times New Roman"/>
          <w:caps/>
          <w:color w:val="000000"/>
          <w:sz w:val="18"/>
        </w:rPr>
        <w:t>N</w:t>
      </w:r>
      <w:r>
        <w:rPr>
          <w:rFonts w:ascii="Times New Roman" w:hAnsi="Times New Roman"/>
          <w:smallCaps/>
          <w:color w:val="000000"/>
          <w:sz w:val="18"/>
        </w:rPr>
        <w:t>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w:t>
      </w:r>
      <w:r>
        <w:rPr>
          <w:rFonts w:ascii="Times New Roman" w:hAnsi="Times New Roman"/>
          <w:smallCaps/>
          <w:color w:val="000000"/>
          <w:sz w:val="18"/>
        </w:rPr>
        <w:t>es</w:t>
      </w:r>
      <w:r>
        <w:rPr>
          <w:rFonts w:ascii="Times New Roman" w:hAnsi="Times New Roman"/>
          <w:color w:val="000000"/>
          <w:sz w:val="20"/>
        </w:rPr>
        <w:t xml:space="preserve"> ☒ </w:t>
      </w:r>
      <w:r>
        <w:rPr>
          <w:rFonts w:ascii="Times New Roman" w:hAnsi="Times New Roman"/>
          <w:caps/>
          <w:color w:val="000000"/>
          <w:sz w:val="18"/>
        </w:rPr>
        <w:t>N</w:t>
      </w:r>
      <w:r>
        <w:rPr>
          <w:rFonts w:ascii="Times New Roman" w:hAnsi="Times New Roman"/>
          <w:smallCaps/>
          <w:color w:val="000000"/>
          <w:sz w:val="18"/>
        </w:rPr>
        <w:t>o</w:t>
      </w:r>
      <w:r>
        <w:rPr>
          <w:rFonts w:ascii="Times New Roman" w:hAnsi="Times New Roman"/>
          <w:color w:val="000000"/>
          <w:sz w:val="20"/>
        </w:rPr>
        <w:t xml:space="preserve">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w:t>
      </w:r>
      <w:r>
        <w:rPr>
          <w:rFonts w:ascii="Times New Roman" w:hAnsi="Times New Roman"/>
          <w:caps/>
          <w:color w:val="000000"/>
          <w:sz w:val="18"/>
        </w:rPr>
        <w:t>Y</w:t>
      </w:r>
      <w:r>
        <w:rPr>
          <w:rFonts w:ascii="Times New Roman" w:hAnsi="Times New Roman"/>
          <w:smallCaps/>
          <w:color w:val="000000"/>
          <w:sz w:val="18"/>
        </w:rPr>
        <w:t>es</w:t>
      </w:r>
      <w:r>
        <w:rPr>
          <w:rFonts w:ascii="Times New Roman" w:hAnsi="Times New Roman"/>
          <w:color w:val="000000"/>
          <w:sz w:val="20"/>
        </w:rPr>
        <w:t xml:space="preserve"> ☐ </w:t>
      </w:r>
      <w:r>
        <w:rPr>
          <w:rFonts w:ascii="Times New Roman" w:hAnsi="Times New Roman"/>
          <w:caps/>
          <w:color w:val="000000"/>
          <w:sz w:val="18"/>
        </w:rPr>
        <w:t>N</w:t>
      </w:r>
      <w:r>
        <w:rPr>
          <w:rFonts w:ascii="Times New Roman" w:hAnsi="Times New Roman"/>
          <w:smallCaps/>
          <w:color w:val="000000"/>
          <w:sz w:val="18"/>
        </w:rPr>
        <w:t>o</w:t>
      </w:r>
      <w:r>
        <w:rPr>
          <w:rFonts w:ascii="Times New Roman" w:hAnsi="Times New Roman"/>
          <w:color w:val="000000"/>
          <w:sz w:val="20"/>
        </w:rPr>
        <w:t xml:space="preserve">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The number of shares of Registrant’s Common Stock outstanding as of August 3, 2025 was 4,539,717.</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18" w:type="dxa"/>
        <w:jc w:val="left"/>
        <w:tblInd w:w="0" w:type="dxa"/>
        <w:tblLayout w:type="fixed"/>
        <w:tblCellMar>
          <w:top w:w="28" w:type="dxa"/>
          <w:left w:w="28" w:type="dxa"/>
          <w:bottom w:w="28" w:type="dxa"/>
          <w:right w:w="28" w:type="dxa"/>
        </w:tblCellMar>
      </w:tblPr>
      <w:tblGrid>
        <w:gridCol w:w="841"/>
        <w:gridCol w:w="7366"/>
        <w:gridCol w:w="511"/>
      </w:tblGrid>
      <w:tr>
        <w:trPr/>
        <w:tc>
          <w:tcPr>
            <w:tcW w:w="84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color w:val="0000FF"/>
                  <w:sz w:val="20"/>
                  <w:u w:val="single"/>
                </w:rPr>
                <w:t>Condensed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onver">
              <w:r>
                <w:rPr>
                  <w:rStyle w:val="InternetLink"/>
                  <w:rFonts w:ascii="Times New Roman" w:hAnsi="Times New Roman"/>
                  <w:color w:val="0000FF"/>
                  <w:sz w:val="20"/>
                  <w:u w:val="single"/>
                </w:rPr>
                <w:t>Condensed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
              <w:r>
                <w:rPr>
                  <w:rStyle w:val="InternetLink"/>
                  <w:rFonts w:ascii="Times New Roman" w:hAnsi="Times New Roman"/>
                  <w:color w:val="0000FF"/>
                  <w:sz w:val="20"/>
                  <w:u w:val="single"/>
                </w:rPr>
                <w:t>Notes to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_financial_statement_sche">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360" w:after="283"/>
        <w:jc w:val="both"/>
        <w:rPr>
          <w:rFonts w:ascii="Times New Roman" w:hAnsi="Times New Roman"/>
          <w:b/>
          <w:color w:val="000000"/>
          <w:sz w:val="20"/>
        </w:rPr>
      </w:pPr>
      <w:bookmarkStart w:id="3" w:name="item_1_financial_statements_unaudited"/>
      <w:bookmarkEnd w:id="3"/>
      <w:r>
        <w:rPr>
          <w:rFonts w:ascii="Times New Roman" w:hAnsi="Times New Roman"/>
          <w:b/>
          <w:color w:val="000000"/>
          <w:sz w:val="20"/>
        </w:rPr>
        <w:t>Item 1. Condensed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IN8BIO, INC.</w:t>
      </w:r>
    </w:p>
    <w:p>
      <w:pPr>
        <w:pStyle w:val="TextBody"/>
        <w:bidi w:val="0"/>
        <w:jc w:val="center"/>
        <w:rPr>
          <w:rFonts w:ascii="Times New Roman" w:hAnsi="Times New Roman"/>
          <w:b/>
          <w:color w:val="000000"/>
          <w:sz w:val="20"/>
        </w:rPr>
      </w:pPr>
      <w:bookmarkStart w:id="4" w:name="balance_sheet"/>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218"/>
        <w:gridCol w:w="146"/>
        <w:gridCol w:w="211"/>
        <w:gridCol w:w="841"/>
        <w:gridCol w:w="166"/>
        <w:gridCol w:w="146"/>
        <w:gridCol w:w="213"/>
        <w:gridCol w:w="852"/>
        <w:gridCol w:w="412"/>
      </w:tblGrid>
      <w:tr>
        <w:trPr/>
        <w:tc>
          <w:tcPr>
            <w:tcW w:w="72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(Note 2)</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12,578</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20,944</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finance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finance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par value $0.0001 per share; 10,000,000 shares authorized at June 30, 2025 and December 31, 2024, respectively; no shares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Common stock, par value $0.0001 per share; 490,000,000 shares authorized at June 30, 2025 and December 31, 2024; 4,078,139 and 2,416,066 shares issued and outstanding at June 30, 2025 and December 31, 2024, respectively</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136,127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(121,656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14,478</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20,944</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7"/>
        </w:rPr>
        <w:t>(1)</w:t>
      </w:r>
      <w:r>
        <w:rPr>
          <w:rFonts w:ascii="Times New Roman" w:hAnsi="Times New Roman"/>
          <w:color w:val="000000"/>
          <w:sz w:val="20"/>
        </w:rPr>
        <w:t xml:space="preserve"> </w:t>
      </w:r>
      <w:r>
        <w:rPr>
          <w:rFonts w:ascii="Times New Roman" w:hAnsi="Times New Roman"/>
          <w:color w:val="000000"/>
          <w:sz w:val="16"/>
        </w:rPr>
        <w:t>All share amounts and per share amounts disclosed in this Quarterly Report on Form 10-Q have been restated to reflect a one-for-thirty reverse stock split effected in June 2025. See Note 1, Organization and Nature of Operations, for details.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IN8BIO,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24"/>
        <w:gridCol w:w="346"/>
        <w:gridCol w:w="211"/>
        <w:gridCol w:w="931"/>
        <w:gridCol w:w="346"/>
        <w:gridCol w:w="346"/>
        <w:gridCol w:w="211"/>
        <w:gridCol w:w="931"/>
        <w:gridCol w:w="346"/>
        <w:gridCol w:w="346"/>
        <w:gridCol w:w="211"/>
        <w:gridCol w:w="931"/>
        <w:gridCol w:w="346"/>
        <w:gridCol w:w="346"/>
        <w:gridCol w:w="211"/>
        <w:gridCol w:w="931"/>
        <w:gridCol w:w="391"/>
      </w:tblGrid>
      <w:tr>
        <w:trPr/>
        <w:tc>
          <w:tcPr>
            <w:tcW w:w="28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number of shares used in computing net loss per common share, basic and diluted</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4,119,153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1,566,951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2,920,157</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1,483,240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7"/>
        </w:rPr>
        <w:t>(1)</w:t>
      </w:r>
      <w:r>
        <w:rPr>
          <w:rFonts w:ascii="Times New Roman" w:hAnsi="Times New Roman"/>
          <w:color w:val="000000"/>
          <w:sz w:val="20"/>
        </w:rPr>
        <w:t xml:space="preserve"> </w:t>
      </w:r>
      <w:r>
        <w:rPr>
          <w:rFonts w:ascii="Times New Roman" w:hAnsi="Times New Roman"/>
          <w:color w:val="000000"/>
          <w:sz w:val="16"/>
        </w:rPr>
        <w:t>All share amounts and per share amounts disclosed in this Quarterly Report on Form 10-Q have been restated to reflect a one-for-thirty reverse stock split effected in June 2025. See Note 1, Organization and Nature of Operations, for details.</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IN8BIO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consolidated_statements_conver"/>
      <w:bookmarkEnd w:id="6"/>
      <w:r>
        <w:rPr>
          <w:rFonts w:ascii="Times New Roman" w:hAnsi="Times New Roman"/>
          <w:b/>
          <w:color w:val="000000"/>
          <w:sz w:val="20"/>
        </w:rPr>
        <w:t>CONDENSED STATEMENTS OF</w:t>
      </w:r>
      <w:r>
        <w:rPr>
          <w:rFonts w:ascii="Times New Roman" w:hAnsi="Times New Roman"/>
          <w:color w:val="000000"/>
          <w:sz w:val="20"/>
        </w:rPr>
        <w:t xml:space="preserve"> </w:t>
      </w:r>
      <w:r>
        <w:rPr>
          <w:rFonts w:ascii="Times New Roman" w:hAnsi="Times New Roman"/>
          <w:b/>
          <w:color w:val="000000"/>
          <w:sz w:val="20"/>
        </w:rPr>
        <w:t>STOCKHOLDERS’ EQUITY</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5"/>
        <w:gridCol w:w="146"/>
        <w:gridCol w:w="146"/>
        <w:gridCol w:w="826"/>
        <w:gridCol w:w="146"/>
        <w:gridCol w:w="146"/>
        <w:gridCol w:w="249"/>
        <w:gridCol w:w="442"/>
        <w:gridCol w:w="146"/>
        <w:gridCol w:w="146"/>
        <w:gridCol w:w="196"/>
        <w:gridCol w:w="691"/>
        <w:gridCol w:w="166"/>
        <w:gridCol w:w="146"/>
        <w:gridCol w:w="217"/>
        <w:gridCol w:w="834"/>
        <w:gridCol w:w="166"/>
        <w:gridCol w:w="146"/>
        <w:gridCol w:w="321"/>
        <w:gridCol w:w="991"/>
        <w:gridCol w:w="413"/>
      </w:tblGrid>
      <w:tr>
        <w:trPr/>
        <w:tc>
          <w:tcPr>
            <w:tcW w:w="3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5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Common Stock</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1,442,929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24,937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5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1,442,929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17,526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exercise of Series A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1,547,829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(108,410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13,621</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2,416,066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14,478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exercise of Series C warrants,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2,708,582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13,877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exercise of Series A&amp;B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(5,094</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4,078,139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15,239</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7"/>
        </w:rPr>
        <w:t>(1)</w:t>
      </w:r>
      <w:r>
        <w:rPr>
          <w:rFonts w:ascii="Times New Roman" w:hAnsi="Times New Roman"/>
          <w:color w:val="000000"/>
          <w:sz w:val="20"/>
        </w:rPr>
        <w:t xml:space="preserve"> </w:t>
      </w:r>
      <w:r>
        <w:rPr>
          <w:rFonts w:ascii="Times New Roman" w:hAnsi="Times New Roman"/>
          <w:color w:val="000000"/>
          <w:sz w:val="16"/>
        </w:rPr>
        <w:t>All share amounts and per share amounts disclosed in this Quarterly Report on Form 10-Q have been restated to reflect a one-for-thirty reverse stock split effected in June 2025. See Note 1, Organization and Nature of Operations, for details.</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IN8BIO,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299" w:type="dxa"/>
        <w:jc w:val="left"/>
        <w:tblInd w:w="0" w:type="dxa"/>
        <w:tblLayout w:type="fixed"/>
        <w:tblCellMar>
          <w:top w:w="28" w:type="dxa"/>
          <w:left w:w="28" w:type="dxa"/>
          <w:bottom w:w="28" w:type="dxa"/>
          <w:right w:w="28" w:type="dxa"/>
        </w:tblCellMar>
      </w:tblPr>
      <w:tblGrid>
        <w:gridCol w:w="6336"/>
        <w:gridCol w:w="146"/>
        <w:gridCol w:w="211"/>
        <w:gridCol w:w="736"/>
        <w:gridCol w:w="166"/>
        <w:gridCol w:w="146"/>
        <w:gridCol w:w="211"/>
        <w:gridCol w:w="736"/>
        <w:gridCol w:w="611"/>
      </w:tblGrid>
      <w:tr>
        <w:trPr/>
        <w:tc>
          <w:tcPr>
            <w:tcW w:w="6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Short-term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issuance costs from December 2023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issuance of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exercise of Series A &amp; B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exercise of Series C warrants,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payments on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financing and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Initial measurement of operating lease right-of-use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Initial measurement of finance lease right-of-use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modification of operating lease right-of-use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IN8BIO,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
      <w:bookmarkEnd w:id="8"/>
      <w:r>
        <w:rPr>
          <w:rFonts w:ascii="Times New Roman" w:hAnsi="Times New Roman"/>
          <w:b/>
          <w:caps/>
          <w:color w:val="000000"/>
          <w:sz w:val="20"/>
        </w:rPr>
        <w:t>NOTES TO CONDENSED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sz w:val="20"/>
        </w:rPr>
      </w:pPr>
      <w:r>
        <w:rPr>
          <w:rFonts w:ascii="Times New Roman" w:hAnsi="Times New Roman"/>
          <w:b/>
          <w:color w:val="000000"/>
          <w:sz w:val="20"/>
        </w:rPr>
        <w:t>1. ORGANIZATION AND NATURE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Organization and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IN8bio, Inc. (the "Company" "our" or "we") is a clinical-stage biopharmaceutical company focused on the discovery, development and commercialization of gamma-delta T cell product candidates for unmet medical needs. The Company’s lead product candidate, INB-100, is currently in an ongoing investigator-sponsored Phase 1 clinical trial of acute myeloid leukemia ("AML"). In addition, the Company’s DeltEx platform has yielded a broad portfolio of clinical and preclinical programs, including INB-300, INB-400, INB-500 and INB-600, focused on addressing a range of potential applications, from solid tumors to autoimmune diseases and hematological cancers.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Incysus, Inc. ("Incysus") was a corporation formed in the State of Delaware on November 23, 2015 and Incysus, Ltd. was incorporated in Bermuda on February 8, 2016. Incysus was the wholly owned United States subsidiary of Incysus, Ltd. On May 7, 2018, Incysus, Ltd. reincorporated in the United States in a domestication transaction (the "Domestication") in which Incysus, Ltd. converted into a newly formed Delaware corporation, Incysus Therapeutics, Inc. ("Incysus Therapeutics"). On July 24, 2019, Incysus Therapeutics merged with Incysus. Incysus Therapeutics subsequently changed its name to IN8bio, Inc. in August 2020. Following the Domestication in May 2018 and the merging of Incysus Therapeutics and Incysus in July 2019, the Company does not have any subsidiaries to consolidate. The Company is headquartered in New York, New York.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May 8, 2025, the Company’s stockholders approved a proposal to effect an amendment to the Company’s Amended and Restated Certificate of Incorporation to implement a reverse stock split. On June 3, 2025, the Company filed a Certificate of Amendment to its Amended and Restated Certificate of Incorporation with the Secretary of State of the State of Delaware to effect a reverse stock split at a ratio of one-for-thirty (the “Reverse Stock Split”).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June 5, 2025, the Company effected the Reverse Stock Split. Pursuant to their terms, a proportionate adjustment was made to the per share exercise price and the number of shares issuable upon the exercise or vesting of all outstanding stock options and warrants, and the number of shares of the Company’s common stock authorized for issuance pursuant to the Company’s equity incentive plans was reduced proportionally. The Reverse Stock Split did not reduce the number of authorized shares of common stock and did not alter the par value.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 fractional shares were issued as a result of the Reverse Stock Split. Stockholders of record who would have otherwise been entitled to receive a fractional share received a cash payment in lieu thereof. The Reverse Stock Split affected all stockholders proportionately and did not affect any stockholder’s percentage ownership of the Company’s common stock (except to the extent that the reverse stock split resulted in any stockholder owning only a fractional share). All share and per share amounts of common stock disclosed in this Quarterly Report on Form 10-Q have been restated to reflect the Reverse Stock Split on a retroactive basis in all periods presented.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the Company has funded its operations primarily with proceeds from various public and private offerings of its common stock, preferred stock and warrants. The Company has incurred recurring losses and negative operating cash flows since its inception, including net losses of $10.6 million and $17.2 million for the six months ended June 30, 2025 and 2024, respectively. As of June 30, 2025, the Company had an accumulated deficit of $132.3 million. We continue to deploy cash preservation measures to defer or reduce costs in the near term in order to preserve capital and increase financial flexibility given the ongoing market environment for biotechnology stocks. These cash preservation measures may impact our ability and the timing to execute our strategy. This includes our ability to achieve the anticipated milestones and the timing of data releases and/or regulatory filings for our preclinical and clinical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not yet generated product sales and as a result has experienced operating losses since inception. The Company expects to incur additional losses in the future as it advances its product candidates through clinical trials, seeks to expand its product candidate portfolio through developing additional product candidates, grows its clinical, regulatory and quality capabilities, and incurs costs associated with operating as a public company. The actual amount of cash that the Company will need to operate is subject to many factors. Based on the Company’s revised business strategy, which was announced in September 2024, its existing cash of $13.2 million as of June 30, 2025 is not anticipated to fund the Company’s projected operating expenses and capital expenditure requirements for a period of at least 12 months from the date of issuance of these condensed financial statements, and accordingly, there is substantial doubt about the Company’s ability to continue to operate as a going concern.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continue to fund the operations of the Company beyond this time period, management has developed plans, which primarily consist of raising additional capital through some combination of equity and/or debt offerings, including through ATM offerings and private placements of securities, and identifying strategic collaborations, licensing or other arrangements to support development of the Company’s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Company may receive up to $1.7 million from the exercise of its outstanding Series A ordinary warrants ("Series A warrants") and up to $8.1 million from the exercise of its outstanding Series C common stock purchase warrants ("Series C warrants"). If not otherwise redeemed by the Company, the Company may also receive aggregate proceeds of up to $4.1 million from the exercise of its outstanding Series B ordinary warrants ("Series B warrants"). See Note 7, Warrants, for additional information. There is no assurance, however, that the Company will receive any additional proceeds from these warrants or that any additional financing or any revenue-generating collaboration will be available when needed, that management of the Company will be able to obtain financing or enter into a collaboration on terms acceptable to the Company, or that any additional financing or revenue generated through third-party collaborations will be sufficient to fund our operations through this time period. If additional capital is not available on a timely basis, or at all, the Company will have to significantly delay, scale back or discontinue its research and development programs. If the Company becomes unable to continue as a going concern, it may have to terminate its operations and dispose of its assets and might realize significantly less than the values at which they are carried on its condensed financial statements. These actions may cause the Company’s stockholders to lose all or part of their investment in the Company’s common stock. The accompanying condensed financial statements have been prepared on the basis that the Company will continue as a going concern and do not include adjustments that might result from the outcome of this uncertainty.</w:t>
      </w:r>
    </w:p>
    <w:p>
      <w:pPr>
        <w:pStyle w:val="TextBody"/>
        <w:bidi w:val="0"/>
        <w:spacing w:before="240" w:after="283"/>
        <w:jc w:val="both"/>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significant accounting policies, which are disclosed in the audited financial statements for the year ended December 31, 2024 and the notes thereto, are included in the Company’s Annual Report on Form 10-K (the "Annual Report") that was filed with the Securities and Exchange Commission ("SEC") on March 13, 2025. Since the date of that filing, there have been no material changes to the Company’s significant accounting policies.</w:t>
      </w:r>
    </w:p>
    <w:p>
      <w:pPr>
        <w:pStyle w:val="TextBody"/>
        <w:bidi w:val="0"/>
        <w:spacing w:before="240" w:after="283"/>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prepared the accompanying condensed financial statements in conformity with generally accepted accounting principles in the United States ("U.S. GAAP").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condensed financial statements of the Company included herein have been prepared pursuant to the rules and regulations of the SEC. Certain information and note disclosures normally included in financial statements prepared in accordance with U.S. GAAP have been condensed or omitted from these condensed financial statements, as is permitted by such rules and regulations. Accordingly, these condensed financial statements should be read in conjunction with the financial statements and notes thereto in the Company's Annual Report. The results for any interim period are not necessarily indicative of results for any future period. In the opinion of the Company’s management, all adjustments (consisting of normal and recurring adjustments) considered necessary for a fair statement of the results for the interim periods presented have been included.</w:t>
      </w:r>
    </w:p>
    <w:p>
      <w:pPr>
        <w:pStyle w:val="TextBody"/>
        <w:bidi w:val="0"/>
        <w:spacing w:before="240" w:after="283"/>
        <w:jc w:val="both"/>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condensed financial statements in conformity with U.S. GAAP requires management to make estimates and assumptions that affect the reported amounts of assets and liabilities, disclosure of contingent assets and liabilities at the date of the condensed financial statements, and the reported amounts of expenses during the reporting periods presented. Such estimates and assumptions are used for, but are not limited to, the accrual of research and development expenses, deferred tax assets and liabilities and the related valuation allowance, stock-based compensation, the useful lives of property and equipment and the valuation of warrants. The Company bases its estimates on historical experience, known trends and other market-specific or other relevant factors that it believes to be reasonable under the circumstances. Actual results could differ from those estimates.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expose the Company to significant concentrations of credit risk consist primarily of cash. All of the Company’s cash and restricted cash is deposited in accounts with major financial institutions. Such deposits are in excess of the federally insured limits.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Property and equipment are stated at cost, less accumulated depreciation. Depreciation and amortization of property and equipment is calculated using the straight-line method over the estimated useful lives of the assets. Significant replacements and improvements are capitalized, while maintenance and repairs, which do not improve or extend the life of the respective assets, are charged to expense as incurred. The estimated useful lives of the Company’s respective assets are as follows:</w:t>
      </w:r>
    </w:p>
    <w:tbl>
      <w:tblPr>
        <w:tblW w:w="10205" w:type="dxa"/>
        <w:jc w:val="left"/>
        <w:tblInd w:w="0" w:type="dxa"/>
        <w:tblLayout w:type="fixed"/>
        <w:tblCellMar>
          <w:top w:w="28" w:type="dxa"/>
          <w:left w:w="28" w:type="dxa"/>
          <w:bottom w:w="28" w:type="dxa"/>
          <w:right w:w="28" w:type="dxa"/>
        </w:tblCellMar>
      </w:tblPr>
      <w:tblGrid>
        <w:gridCol w:w="2242"/>
        <w:gridCol w:w="146"/>
        <w:gridCol w:w="146"/>
        <w:gridCol w:w="7479"/>
        <w:gridCol w:w="192"/>
      </w:tblGrid>
      <w:tr>
        <w:trPr/>
        <w:tc>
          <w:tcPr>
            <w:tcW w:w="2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7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242"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79"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Estimated Useful Life</w:t>
            </w:r>
          </w:p>
        </w:tc>
        <w:tc>
          <w:tcPr>
            <w:tcW w:w="192"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years</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The shorter of the useful life of the leasehold improvement or the remaining term of the lease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Costs for capital assets not yet placed into service are capitalized as construction in progress and depreciated and amortized in accordance with the above guidelines once placed into service. Upon retirement or disposal of property and equipment, the cost and related accumulated depreciation and amortization are removed from the condensed balance sheets and any gain or loss is reflected in the condensed statements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Capitalized Software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capitalizes the application development phase costs of internal use software in accordance with Accounting Standards Codification (“ASC”) 350-40, </w:t>
      </w:r>
      <w:r>
        <w:rPr>
          <w:rFonts w:ascii="Times New Roman" w:hAnsi="Times New Roman"/>
          <w:i/>
          <w:color w:val="000000"/>
          <w:sz w:val="20"/>
        </w:rPr>
        <w:t>Intangibles-Goodwill and Other-Internal Use Software</w:t>
      </w:r>
      <w:r>
        <w:rPr>
          <w:rFonts w:ascii="Times New Roman" w:hAnsi="Times New Roman"/>
          <w:color w:val="000000"/>
          <w:sz w:val="20"/>
        </w:rPr>
        <w:t>. Capitalized costs will be amortized on a straight-line basis over the estimated useful life of the asset upon completion.</w:t>
      </w:r>
    </w:p>
    <w:p>
      <w:pPr>
        <w:pStyle w:val="TextBody"/>
        <w:bidi w:val="0"/>
        <w:spacing w:before="240" w:after="283"/>
        <w:jc w:val="both"/>
        <w:rPr>
          <w:rFonts w:ascii="Times New Roman" w:hAnsi="Times New Roman"/>
          <w:sz w:val="20"/>
        </w:rPr>
      </w:pPr>
      <w:r>
        <w:rPr>
          <w:rFonts w:ascii="Times New Roman" w:hAnsi="Times New Roman"/>
          <w:b/>
          <w:i/>
          <w:color w:val="000000"/>
          <w:sz w:val="20"/>
        </w:rPr>
        <w:t>Segment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segments are defined as components of an enterprise for which separate and discrete information is available for evaluation by the chief operating decision maker in deciding how to allocate resources and assess performance. The Company has one operating segment, which is the business focused on the discovery, development and commercialization of gamma-delta T cell product candidates for unmet medical needs. The Company’s chief operating decision maker ("CODM"), its Chief Executive Officer ("CEO"), manages the Company’s operations on a consolidated basis for the purposes of allocating resources. The allocation of resources and assessment of performance of the operating segment is based on net loss as shown in our condensed statements of operations. All of the Company’s long-lived assets are held in the United States. For additional segment information, see Note 13, Segments.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 xml:space="preserve">Reclassification of Prior Presentation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amounts in the prior period have been reclassified to conform to the current period presentation. Specifically, interest income, which was previously recorded within general and administrative expense, was reclassified to other income. This reclassification had no effect on the reported results of operations or cash flows.</w:t>
      </w:r>
    </w:p>
    <w:p>
      <w:pPr>
        <w:pStyle w:val="TextBody"/>
        <w:bidi w:val="0"/>
        <w:spacing w:before="240" w:after="283"/>
        <w:jc w:val="both"/>
        <w:rPr>
          <w:rFonts w:ascii="Times New Roman" w:hAnsi="Times New Roman"/>
          <w:sz w:val="20"/>
        </w:rPr>
      </w:pPr>
      <w:r>
        <w:rPr>
          <w:rFonts w:ascii="Times New Roman" w:hAnsi="Times New Roman"/>
          <w:b/>
          <w:i/>
          <w:color w:val="000000"/>
          <w:sz w:val="20"/>
        </w:rPr>
        <w:t>Recently Issued Accounting Standards Updates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2023, the Financial Accounting Standards Board ("FASB") issued Accounting Standards Update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expands the disclosures required for income taxes. This ASU is effective for fiscal years beginning after December 15, 2024, with early adoption permitted. The Company is currently evaluating the impact of adopting ASU 2023-09 and will adopt it for fiscal year ending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evaluated all other issued and unadopted ASUs, and believes the adoption of these standards will not have a material impact on the condensed financial statements.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4, 2025, the One Big Beautiful Bill Act (“OBBBA”) was enacted in the United States.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currently evaluating the OBBBA’s impact on its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 PREPAID EXPENSES AND OTHER 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Prepaid expenses and other current assets consist of the following (in thousands): </w:t>
      </w:r>
    </w:p>
    <w:p>
      <w:pPr>
        <w:pStyle w:val="TextBody"/>
        <w:bidi w:val="0"/>
        <w:jc w:val="both"/>
        <w:rPr/>
      </w:pPr>
      <w:r>
        <w:rPr/>
        <w:t> </w:t>
      </w:r>
    </w:p>
    <w:tbl>
      <w:tblPr>
        <w:tblW w:w="5895" w:type="dxa"/>
        <w:jc w:val="left"/>
        <w:tblInd w:w="0" w:type="dxa"/>
        <w:tblLayout w:type="fixed"/>
        <w:tblCellMar>
          <w:top w:w="28" w:type="dxa"/>
          <w:left w:w="28" w:type="dxa"/>
          <w:bottom w:w="28" w:type="dxa"/>
          <w:right w:w="28" w:type="dxa"/>
        </w:tblCellMar>
      </w:tblPr>
      <w:tblGrid>
        <w:gridCol w:w="3451"/>
        <w:gridCol w:w="146"/>
        <w:gridCol w:w="240"/>
        <w:gridCol w:w="480"/>
        <w:gridCol w:w="146"/>
        <w:gridCol w:w="146"/>
        <w:gridCol w:w="294"/>
        <w:gridCol w:w="80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4. PROPERTY AND EQUIPMENT,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and equipment, net consist of the following (in thousands): </w:t>
      </w:r>
    </w:p>
    <w:p>
      <w:pPr>
        <w:pStyle w:val="TextBody"/>
        <w:bidi w:val="0"/>
        <w:jc w:val="both"/>
        <w:rPr/>
      </w:pPr>
      <w:r>
        <w:rPr/>
        <w:t> </w:t>
      </w:r>
    </w:p>
    <w:tbl>
      <w:tblPr>
        <w:tblW w:w="6657" w:type="dxa"/>
        <w:jc w:val="left"/>
        <w:tblInd w:w="0" w:type="dxa"/>
        <w:tblLayout w:type="fixed"/>
        <w:tblCellMar>
          <w:top w:w="28" w:type="dxa"/>
          <w:left w:w="28" w:type="dxa"/>
          <w:bottom w:w="28" w:type="dxa"/>
          <w:right w:w="28" w:type="dxa"/>
        </w:tblCellMar>
      </w:tblPr>
      <w:tblGrid>
        <w:gridCol w:w="4051"/>
        <w:gridCol w:w="146"/>
        <w:gridCol w:w="211"/>
        <w:gridCol w:w="631"/>
        <w:gridCol w:w="166"/>
        <w:gridCol w:w="146"/>
        <w:gridCol w:w="274"/>
        <w:gridCol w:w="821"/>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and amortization expense was $0.3 million and $0.2 million for the three months ended June 30, 2025 and 2024 and was $0.5 million for the six months ended June 30, 2025 and 2024, respectively.</w:t>
      </w:r>
    </w:p>
    <w:p>
      <w:pPr>
        <w:pStyle w:val="TextBody"/>
        <w:bidi w:val="0"/>
        <w:spacing w:before="240" w:after="283"/>
        <w:jc w:val="both"/>
        <w:rPr>
          <w:rFonts w:ascii="Times New Roman" w:hAnsi="Times New Roman"/>
          <w:sz w:val="20"/>
        </w:rPr>
      </w:pPr>
      <w:r>
        <w:rPr>
          <w:rFonts w:ascii="Times New Roman" w:hAnsi="Times New Roman"/>
          <w:b/>
          <w:caps/>
          <w:color w:val="000000"/>
          <w:sz w:val="20"/>
        </w:rPr>
        <w:t>5. ACCRUED EXPENSES AND OTHER CURRENT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Accrued expenses and other current liabilities consist of the following (in thousands): </w:t>
      </w:r>
    </w:p>
    <w:p>
      <w:pPr>
        <w:pStyle w:val="TextBody"/>
        <w:bidi w:val="0"/>
        <w:jc w:val="both"/>
        <w:rPr/>
      </w:pPr>
      <w:r>
        <w:rPr/>
        <w:t> </w:t>
      </w:r>
    </w:p>
    <w:tbl>
      <w:tblPr>
        <w:tblW w:w="6270" w:type="dxa"/>
        <w:jc w:val="left"/>
        <w:tblInd w:w="0" w:type="dxa"/>
        <w:tblLayout w:type="fixed"/>
        <w:tblCellMar>
          <w:top w:w="28" w:type="dxa"/>
          <w:left w:w="28" w:type="dxa"/>
          <w:bottom w:w="28" w:type="dxa"/>
          <w:right w:w="28" w:type="dxa"/>
        </w:tblCellMar>
      </w:tblPr>
      <w:tblGrid>
        <w:gridCol w:w="3826"/>
        <w:gridCol w:w="146"/>
        <w:gridCol w:w="240"/>
        <w:gridCol w:w="480"/>
        <w:gridCol w:w="146"/>
        <w:gridCol w:w="146"/>
        <w:gridCol w:w="294"/>
        <w:gridCol w:w="801"/>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aps/>
          <w:color w:val="000000"/>
          <w:sz w:val="20"/>
        </w:rPr>
      </w:pPr>
      <w:r>
        <w:rPr>
          <w:rFonts w:ascii="Times New Roman" w:hAnsi="Times New Roman"/>
          <w:b/>
          <w:caps/>
          <w:color w:val="000000"/>
          <w:sz w:val="20"/>
        </w:rPr>
        <w:t>6. STOCKHOLDERS' EQUITY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authorized capital stock consists of 500,000,000 shares, all with a par value of $0.0001 per share, of which 490,000,000 shares are designated as common stock and 10,000,000 shares are designated as preferred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ATM Facility</w:t>
      </w:r>
    </w:p>
    <w:p>
      <w:pPr>
        <w:pStyle w:val="TextBody"/>
        <w:bidi w:val="0"/>
        <w:spacing w:before="120" w:after="283"/>
        <w:jc w:val="both"/>
        <w:rPr>
          <w:rFonts w:ascii="Times New Roman" w:hAnsi="Times New Roman"/>
          <w:sz w:val="20"/>
        </w:rPr>
      </w:pPr>
      <w:r>
        <w:rPr>
          <w:rFonts w:ascii="Times New Roman" w:hAnsi="Times New Roman"/>
          <w:color w:val="000000"/>
          <w:sz w:val="20"/>
        </w:rPr>
        <w:t>In November 2022, the Company filed a shelf registration statement on Form S-3 (File No. 333-268288) (the “Shelf Registration Statement”) with the SEC, which permits the offering, issuance and sale by the Company of up to a maximum aggregate offering price of $200.0 million of its common stock and preferred stock, various series of debt securities and/or warrants to purchase any of such securities, of which $50.0 million of common stock may be issued and sold pursuant to an ATM. The Company entered into a Controlled Equity Offering</w:t>
      </w:r>
      <w:r>
        <w:rPr>
          <w:rFonts w:ascii="Times New Roman" w:hAnsi="Times New Roman"/>
          <w:color w:val="000000"/>
          <w:sz w:val="13"/>
        </w:rPr>
        <w:t>SM</w:t>
      </w:r>
      <w:r>
        <w:rPr>
          <w:rFonts w:ascii="Times New Roman" w:hAnsi="Times New Roman"/>
          <w:color w:val="000000"/>
          <w:sz w:val="20"/>
        </w:rPr>
        <w:t xml:space="preserve"> sales agreement (the "Sales Agreement") with Cantor Fitzgerald &amp; Co. (“Cantor Fitzgerald”) and Truist Securities, Inc. (“Truist”) under which Cantor Fitzgerald and Truist agreed to act as sales agents to sell shares of the Company’s common stock, from time to time, through the ATM program. On March 8, 2024, the Company delivered a termination notice to Truist, removing them as a sales agent under the ATM program. Such termination became effective on March 14,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current SEC regulations, if at any time the Company's public float is less than $75.0 million, and for so long as the Company's public float remains less than $75.0 million, the amount the Company can raise through primary public offerings of securities in any 12-month period using shelf registration statements is limited to an aggregate of one-third of the Company's public float, which is referred to as the baby shelf rules. As of June 30, 2025, the Company's calculated public float was less than $75.0 million. For the six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months ended June 30, 2025, the Company sold an aggregate of 1,304,289 shares of its common stock under the ATM program, resulting in net proceeds of approximately $7.4 million after deducting sales agent fees and other offering expenses.</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7.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December 2023, the Company issued 19,141 pre-funded warrants (the "2023 Pre-Funded warrants"), 394,118 Series A warrants and 394,118 Series B warrants (the "2023 Private Placement"). The 2023 Pre-Funded warrants have an exercise price of $0.0001 per share, are exercisable immediately and are exercisable until the 2023 Pre-Funded warrant is exercised in full. In lieu of making the cash payment otherwise contemplated to be made to the Company upon exercise of a 2023 Pre-Funded warrant in payment of the aggregate exercise price, the holder may elect instead to receive upon such exercise (either in whole or in part) the net number of shares of common stock determined according to a formula set forth in the 2023 Pre-Funded warrants terms. The 2023 Pre-Funded warrants meet the criteria for permanent equity classification. As of June 30, 2025, 19,141 2023 Pre-Funded warrants were issued and outstanding.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Series A warrants were issued with an exercise price of $37.50 per share. The Series A warrants are exercisable immediately and were issued with an expiry date of June 13, 2025. The Company has the option to cause the Series A warrants to be exercised at a strike price of $37.50 per share upon the Company’s public announcement of INB-100 clinical data for the 10 currently enrolled patients, should they remain alive and evaluable, covering a period of at least 11 months, along with certain stock price and trading volume requirements. The Series A warrants meet the criteria for permanent equity classification.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closing of the 2024 Private Placement (as defined below), the Company amended certain of the Company’s outstanding Series A warrants, representing approximately 390,462 shares of the Company’s common stock, to (i) reduce the exercise price from $37.50 to $13.50 per share and (ii) extend the termination date of such Series A warrants to October 4, 2025. As of June 30, 2025, 129,296 Series A warrants were issued and outstanding.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Series B warrants were issued with an exercise price of $45.00 per share. The Series B warrants are exercisable immediately and expire on December 13, 2028. The Series B warrants allow the Company to redeem such warrants at a price of $0.01 per Series B warrant upon the Company’s public announcement of its INB-100 data for all enrolled patients covering a period of at least 22 months, along with certain stock price and trading volume requirements. Holders of Series B warrants may choose to exercise such warrants at a purchase price of $45.00 per share prior to such redemption. The Series B warrants meet the criteria for permanent equity classification. In April 2025, the Company entered into an Amendment No. 1 (the “SPA Amendment”) to Securities Purchase Agreement, dated September 30, 2024 (the “2023 Purchase Agreement”), to amend the restrictions on certain equity sales by the Company set forth in the 2023 Purchase Agreement. In consideration for the SPA Amendment, the Company amended the Company’s outstanding Series B warrants, representing approximately 303,574 shares of the Company’s common stock, to (i) reduce the exercise price from $45.00 to $13.50 per share. As of June 30, 2025, 303,574 Series B warrants were issued and outstanding.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2024, the Company issued 188,227 pre-funded warrants (the "2024 Pre-Funded warrants"), and 1,044,726 Series C warrants (the "2024 Private Placement"). The 2024 Pre-Funded warrants have an exercise price of $0.0001 per share, are exercisable immediately and are exercisable until the 2024 Pre-Funded warrant is exercised in full. In lieu of making the cash payment otherwise contemplated to be made to the Company upon exercise of a 2024 Pre-Funded warrant in payment of the aggregate exercise price, the holder may elect instead to receive upon such exercise (either in whole or in part) the net number of shares of common stock determined according to a formula set forth in the 2024 Pre-Funded warrants terms. The 2024 Pre-Funded warrants meet the criteria for permanent equity classification. As of June 30, 2025, 188,227 2024 Pre-Funded warrants were outstanding.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Series C warrants have an exercise price of $8.10 per share. The Series C warrants are exercisable immediately and will expire on October 4, 2027. The Series C warrants meet the criteria for permanent equity classification. As of June 30, 2025, 997,638 Series C warrants were outstanding.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2025 the Company entered into privately negotiated letter agreements with certain holders of outstanding Series A warrants and Series B warrants (the “Participating Holders”) to (i) exercise, for cash, 239,293 Series A warrants and 71,403 Series B warrants for the purchase of an aggregate of 310,696 shares of common stock, in each case at a reduced exercise price of (a) $5.53 per share for Participating Holders who are directors or executive officers of the Company and (b) $5.35 per share for all other Participating Holders (the “Warrant Exercises”) and (ii) exchange certain Series A warrants and Series B warrants for 41,014 pre-funded warrants (the “2025 Pre-Funded Warrants”), in each case at a reduced exercise price of (a) $5.53 per share for Participating Holders who are directors or executive officers of the Company and (b) $5.35 per share for all other Participating Holders (the “Warrant Exchanges”), for aggregate net proceeds of $1.9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2025 Pre-Funded Warrants issued in connection with the Warrant Exchanges have an exercise price of $0.0001 per share. Each 2025 Pre-Funded Warrant is exercisable immediately and will be exercisable until such 2025 Pre-Funded Warrant is exercised in full. In lieu of a cash payment to the Company in payment of the aggregate exercise price upon exercise of a 2025 Pre-Funded Warrant, the holder may elect instead to receive upon such exercise (either in whole or in part) the net number of shares of common stock determined according to a formula set forth in the 2025 Pre-Funded Warrants. Under the terms of the 2025 Pre-Funded Warrants, the Company shall not effect the exercise of any portion of any 2025 Pre-Funded Warrant, and a holder shall not have the right to exercise any portion of any 2025 Pre-Funded Warrant, to the extent that after giving effect to such exercise, the holder (together with its affiliates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and any other persons acting as a group together with the holder or any of its affiliates) would beneficially own in excess of 4.99% or 9.99%, as applicable, of the number of shares of common stock outstanding immediately after giving effect to such exercise. However, a holder may, upon written notice to the Company, increase or decrease such percentage to any other percentage not in excess of 19.99%; provided that any increase or decrease in such percentage will not be effective until 61 days after such notice is delivered to the Company.</w:t>
      </w:r>
    </w:p>
    <w:p>
      <w:pPr>
        <w:pStyle w:val="TextBody"/>
        <w:bidi w:val="0"/>
        <w:spacing w:before="240" w:after="283"/>
        <w:jc w:val="both"/>
        <w:rPr>
          <w:rFonts w:ascii="Times New Roman" w:hAnsi="Times New Roman"/>
          <w:sz w:val="20"/>
        </w:rPr>
      </w:pPr>
      <w:r>
        <w:rPr>
          <w:rFonts w:ascii="Times New Roman" w:hAnsi="Times New Roman"/>
          <w:b/>
          <w:caps/>
          <w:color w:val="000000"/>
          <w:sz w:val="20"/>
        </w:rPr>
        <w:t>8. 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2018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7, 2018, the Company established and adopted the 2018 Equity Incentive Plan (the "2018 Plan") providing for the granting of stock awards for employees, directors and consultants to purchase shares of the Company’s common stock. Upon the effectiveness of the 2020 Plan (as defined below), the 2018 Plan was terminated and no further issuances were made under the 2018 Plan, although it continues to govern the terms of any equity grants that remain outstanding under the 2018 Plan.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2020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2020 Equity Incentive Plan (the "2020 Plan") was approved by the Company's Board of Directors and the Company’s stockholders and became effective on July 29, 2021. Upon the effectiveness of the 2023 Plan (as defined below), the 2020 Plan was terminated and no further issuances were made under the 2020 Plan, although it continues to govern the terms of any equity grants that remain outstanding under the 2020 Plan.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Amended and Restated 2023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Amended and Restated 2023 Equity Incentive Plan (the "2023 Plan") was approved by the Company's Board of Directors and the Company’s stockholders and became effective on June 15, 2023. The Board of Directors, or a committee thereof, is authorized to administer the 2023 Plan. The 2023 Plan provides for the grant of Incentive Stock Options ("ISO") within the meaning of Section 422 of the Internal Revenue Code ("IRC") as amended, to employees, and for the grant of non-statutory stock options, stock appreciation rights, restricted stock awards, restricted stock unit awards, performance awards and other forms of awards to the Company’s employees, directors and consultants and any Company affiliates’ employees and consultants. The number of shares initially reserved for issuance under the 2023 Plan was 246,667, which automatically increases on January 1 of each year for a period of 10 years, beginning on January 1, 2024 and continuing through January 1, 2033, in an amount equal to 5% of the total number of shares of common stock outstanding on the last day of the immediately preceding year, or a lesser number of shares determined by the Board of Directors no later than the last day of the immediately preceding year. The maximum number of shares of common stock that may be issued upon the exercise of ISOs under the 2023 Plan is 41,000,000 shares. As of June 30, 2025, 137,999 shares were available for grant pursuant to the 2023 Plan, including the increase pursuant to the terms of the 2023 Plan, effective January 1, 2025.</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2020 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2020 Employee Stock Purchase Plan (the “2020 ESPP”) was approved by the Board of Directors and the Company’s stockholders and became effective on July 29, 2021. A total of 6,666 shares of common stock were initially reserved for issuance under this plan, which automatically increases on January 1 of each year by the lesser of (i) 1% of the outstanding number of shares of common stock on the immediately preceding December 31; and (ii) 13,333, or such lesser number of shares as determined by our Board of Directors. As of June 30, 2025, no shares of common stock had been issued under the ESPP and 26,260 shares remained available for future issuance under the ESPP. The Board of Directors elected not to increase the number of shares of common stock reserved for future issuance under the ESPP as of January 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Stock Option Activity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is a summary of the stock option award activity during the six months ended June 30, 2025: </w:t>
      </w:r>
    </w:p>
    <w:p>
      <w:pPr>
        <w:pStyle w:val="TextBody"/>
        <w:bidi w:val="0"/>
        <w:jc w:val="both"/>
        <w:rPr/>
      </w:pPr>
      <w:r>
        <w:rPr/>
        <w:t> </w:t>
      </w:r>
    </w:p>
    <w:tbl>
      <w:tblPr>
        <w:tblW w:w="9068" w:type="dxa"/>
        <w:jc w:val="left"/>
        <w:tblInd w:w="0" w:type="dxa"/>
        <w:tblLayout w:type="fixed"/>
        <w:tblCellMar>
          <w:top w:w="28" w:type="dxa"/>
          <w:left w:w="28" w:type="dxa"/>
          <w:bottom w:w="28" w:type="dxa"/>
          <w:right w:w="28" w:type="dxa"/>
        </w:tblCellMar>
      </w:tblPr>
      <w:tblGrid>
        <w:gridCol w:w="3736"/>
        <w:gridCol w:w="146"/>
        <w:gridCol w:w="146"/>
        <w:gridCol w:w="781"/>
        <w:gridCol w:w="166"/>
        <w:gridCol w:w="146"/>
        <w:gridCol w:w="230"/>
        <w:gridCol w:w="626"/>
        <w:gridCol w:w="146"/>
        <w:gridCol w:w="146"/>
        <w:gridCol w:w="236"/>
        <w:gridCol w:w="755"/>
        <w:gridCol w:w="146"/>
        <w:gridCol w:w="146"/>
        <w:gridCol w:w="425"/>
        <w:gridCol w:w="700"/>
        <w:gridCol w:w="3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Stock</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508,631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expected to vest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weighted-average grant date fair value of options granted during the six months ended June 30, 2025 and 2024 was $6.70 and $37.20, respectively. The aggregate intrinsic value is calculated as the difference between the exercise price and the market price of the Company’s common stock at June 30, 2025 and December 31, 2024.</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six months ended June 30, 2025 and 2024, the Company utilized the Black-Scholes option-pricing model for estimating the fair value of the stock options. The following table presents the assumptions and the Company’s methodology for developing each of the assumptions used: </w:t>
      </w:r>
    </w:p>
    <w:p>
      <w:pPr>
        <w:pStyle w:val="TextBody"/>
        <w:bidi w:val="0"/>
        <w:jc w:val="both"/>
        <w:rPr/>
      </w:pPr>
      <w:r>
        <w:rPr/>
        <w:t> </w:t>
      </w:r>
    </w:p>
    <w:tbl>
      <w:tblPr>
        <w:tblW w:w="5320" w:type="dxa"/>
        <w:jc w:val="left"/>
        <w:tblInd w:w="0" w:type="dxa"/>
        <w:tblLayout w:type="fixed"/>
        <w:tblCellMar>
          <w:top w:w="28" w:type="dxa"/>
          <w:left w:w="28" w:type="dxa"/>
          <w:bottom w:w="28" w:type="dxa"/>
          <w:right w:w="28" w:type="dxa"/>
        </w:tblCellMar>
      </w:tblPr>
      <w:tblGrid>
        <w:gridCol w:w="1846"/>
        <w:gridCol w:w="146"/>
        <w:gridCol w:w="1516"/>
        <w:gridCol w:w="146"/>
        <w:gridCol w:w="166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96.66% - 99.24%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90.31% - 102.54%</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5.27 - 6.08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5.27 - 6.08</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4.00 - 4.24%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3.98% - 4.65%</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Volatility—The Company estimates the expected volatility of its common stock at the date of grant based on the historical volatility of comparable public companies over the expected term.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Expected life—The expected term represents the period that the Company’s stock option grants are expected to be outstanding. The expected term of the options granted to employees and non-employee directors by the Company has been determined utilizing the "simplified" method for awards that qualify as "plain-vanilla" options. Under this approach, the weighted-average expected life is presumed to be the average of the vesting term and the contractual term of the option.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Risk-free interest rate—The risk-free rate for periods within the estimated life of the stock award is based on the U.S. Treasury yield curve in effect at the time of grant.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Dividend rate—The assumed dividend yield is based upon the Company’s expectation of not paying dividends in the foreseeable future.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Stock-based compensation expense was recorded in the following line items in the condensed statements of operations for the three and six months ended June 30, 2025 and 2024 (in thousands): </w:t>
      </w:r>
    </w:p>
    <w:p>
      <w:pPr>
        <w:pStyle w:val="TextBody"/>
        <w:bidi w:val="0"/>
        <w:jc w:val="both"/>
        <w:rPr/>
      </w:pPr>
      <w:r>
        <w:rPr/>
        <w:t> </w:t>
      </w:r>
    </w:p>
    <w:tbl>
      <w:tblPr>
        <w:tblW w:w="7642" w:type="dxa"/>
        <w:jc w:val="left"/>
        <w:tblInd w:w="0" w:type="dxa"/>
        <w:tblLayout w:type="fixed"/>
        <w:tblCellMar>
          <w:top w:w="28" w:type="dxa"/>
          <w:left w:w="28" w:type="dxa"/>
          <w:bottom w:w="28" w:type="dxa"/>
          <w:right w:w="28" w:type="dxa"/>
        </w:tblCellMar>
      </w:tblPr>
      <w:tblGrid>
        <w:gridCol w:w="3451"/>
        <w:gridCol w:w="146"/>
        <w:gridCol w:w="211"/>
        <w:gridCol w:w="421"/>
        <w:gridCol w:w="146"/>
        <w:gridCol w:w="146"/>
        <w:gridCol w:w="211"/>
        <w:gridCol w:w="571"/>
        <w:gridCol w:w="146"/>
        <w:gridCol w:w="146"/>
        <w:gridCol w:w="211"/>
        <w:gridCol w:w="571"/>
        <w:gridCol w:w="146"/>
        <w:gridCol w:w="146"/>
        <w:gridCol w:w="211"/>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related tax benefits from stock-based compensation expense were recognized for the three and six months ended June 30, 2025 and 2024. As of June 30, 2025, there was $3.4 million in unrecognized stock-based compensation expense, which is expected to be recognized over a weighted-average period of 1.72 years.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9. LICENSE AGREEMENTS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Emory University, Children’s Healthcare of Atlanta, Inc. and UAB Research Foundation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2016, the Company entered into an exclusive license agreement with Emory University, Children’s Healthcare of Atlanta, Inc. and UAB Research Foundation ("UABRF"), as amended from time to time (the "Emory License Agreement"). The Emory License Agreement was amended in October 2017 and July 2020. Under the Emory License Agreement, the Company obtained an exclusive worldwide license under certain immunotherapy related patents and know-how related to gamma-delta T cells developed by Emory University, Children’s Healthcare of Atlanta, Inc. and UABRF’s affiliate, the University of Alabama at Birmingham, to develop, make, have made, use, sell, import and otherwise commercialize products that are covered by such patents or otherwise incorporate or use the licensed technology. Such exclusive license is subject to certain rights retained by these institutions and also the U.S. government.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consideration of the license granted under the Emory License Agreement, the Company paid Emory University a nominal upfront payment. In addition, the Company is required to pay Emory University development milestones totaling up to an aggregate of $1.4 million, low-single-digit to mid-single-digit tiered running royalties on the net sales of the licensed products, including an annual minimum royalty beginning on a specified period after the first sale of a licensed product, and a share of certain payments that the Company may receive from sublicenses. In addition, in the event no milestone payments have been paid in certain years, the Company will be required to pay an annual license maintenance fee. The Emory License Agreement also requires the Company to reimburse Emory University for the cost of the prosecution and maintenance of the licensed patents. Pursuant to the Emory License Agreement, the Company is required to use its best efforts to develop, manufacture and commercialize the licensed product, and is obligated to meet certain specified deadlines in the development of the licensed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 of the Emory License Agreement will continue until 15 years after the first commercial sale of the licensed product, or the expiration of the relevant licensed patents, whichever is later. The Company may terminate the Emory License Agreement at will at any time upon prior written notice to Emory University. Emory University has the right to terminate the Emory License Agreement if the Company materially breaches the agreement (including failure to meet diligence obligations) and fails to cure such breach within a specified cure period, if the Company becomes bankrupt or insolvent or decides to cease development and commercialization of the licensed product, or if the Company challenges the validity or enforceability of any licensed patents.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Exclusive License Agreement with UABRF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2016, the Company entered into an exclusive license agreement with UABRF, as amended from time to time (the "UABRF License Agreement"). The Company amended the UABRF License Agreement in December 2016, January 2017, June 2017 and November 2018. Under the UABRF License Agreement, the Company obtained an exclusive worldwide license under certain immunotherapy-related patents related to the use of gamma-delta T cells, certain CAR-T cells and combination treatments for cellular therapies developed by the University of Alabama at Birmingham and owned by UABRF to develop, make, have made, use, sell, import and otherwise commercialize products that are covered by such patents. Such exclusive license is subject to certain rights retained by UABRF and also the U.S. government.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consideration of the license granted under the UABRF License Agreement, the Company paid UABRF a nominal upfront payment and issued 3,041 shares of common stock to UABRF, which were subject to certain antidilution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Company is required to pay UABRF development milestones totaling up to an aggregate of $1.4 million, lump-sum royalties on cumulative net sales totaling up to an aggregate of $22.5 million, mid-single-digit running royalties on net sales of the licensed products, low-single-digit running royalties on net sales of the licensed products, and a share of certain non-royalty income that the Company may receive, including from any sublicenses. The UABRF License Agreement also requires the Company to reimburse UABRF for the cost of the prosecution and maintenance of the licensed patents.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UABRF License Agreement, the Company is required to use good faith reasonable commercial efforts to develop, manufacture and commercialize the licensed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 of the UABRF License Agreement will continue until the expiration of the licensed patents. The Company may terminate the UABRF License Agreement at will at any time upon prior written notice to UABRF. UABRF has the right to terminate the UABRF License Agreement if the Company materially breaches the agreement and fails to cure such breach within a specified cure period, if the Company fails to diligently undertake development and commercialization activities as set forth in the development and commercialization plan, if the Company underreports its payment obligations or underpays by more than a specified threshold, if the Company challenges the validity or enforceability of any licensed patents, or if the Company becomes bankrupt or insolvent.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10. NET LOSS PER SHARE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Basic net loss per share is calculated by dividing the net loss attributable to common stockholders by the weighted-average number of shares of common stock outstanding during the period, including pre-funded warrants to purchase shares of common stock. Diluted net loss per share is the same as basic net loss per share for the periods presented since the effects of potentially dilutive securities are antidilutive given the net loss of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and diluted net loss per share is calculated as follows (in thousands, except share and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344"/>
        <w:gridCol w:w="146"/>
        <w:gridCol w:w="211"/>
        <w:gridCol w:w="931"/>
        <w:gridCol w:w="166"/>
        <w:gridCol w:w="146"/>
        <w:gridCol w:w="211"/>
        <w:gridCol w:w="931"/>
        <w:gridCol w:w="166"/>
        <w:gridCol w:w="146"/>
        <w:gridCol w:w="211"/>
        <w:gridCol w:w="931"/>
        <w:gridCol w:w="166"/>
        <w:gridCol w:w="146"/>
        <w:gridCol w:w="211"/>
        <w:gridCol w:w="931"/>
        <w:gridCol w:w="211"/>
      </w:tblGrid>
      <w:tr>
        <w:trPr/>
        <w:tc>
          <w:tcPr>
            <w:tcW w:w="4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used in computing net loss per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4,119,153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1,566,951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1,483,240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outstanding potentially dilutive securities have been excluded from the calculation of diluted net loss per share, as their effect is antidilutive:</w:t>
      </w:r>
    </w:p>
    <w:p>
      <w:pPr>
        <w:pStyle w:val="TextBody"/>
        <w:bidi w:val="0"/>
        <w:jc w:val="both"/>
        <w:rPr/>
      </w:pPr>
      <w:r>
        <w:rPr/>
        <w:t> </w:t>
      </w:r>
    </w:p>
    <w:tbl>
      <w:tblPr>
        <w:tblW w:w="8972" w:type="dxa"/>
        <w:jc w:val="left"/>
        <w:tblInd w:w="0" w:type="dxa"/>
        <w:tblLayout w:type="fixed"/>
        <w:tblCellMar>
          <w:top w:w="28" w:type="dxa"/>
          <w:left w:w="28" w:type="dxa"/>
          <w:bottom w:w="28" w:type="dxa"/>
          <w:right w:w="28" w:type="dxa"/>
        </w:tblCellMar>
      </w:tblPr>
      <w:tblGrid>
        <w:gridCol w:w="3451"/>
        <w:gridCol w:w="146"/>
        <w:gridCol w:w="146"/>
        <w:gridCol w:w="931"/>
        <w:gridCol w:w="146"/>
        <w:gridCol w:w="146"/>
        <w:gridCol w:w="146"/>
        <w:gridCol w:w="931"/>
        <w:gridCol w:w="146"/>
        <w:gridCol w:w="146"/>
        <w:gridCol w:w="146"/>
        <w:gridCol w:w="931"/>
        <w:gridCol w:w="146"/>
        <w:gridCol w:w="146"/>
        <w:gridCol w:w="146"/>
        <w:gridCol w:w="93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997,638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1,008,304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2,052,987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1,073,788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2,159,666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1,059,768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aps/>
          <w:color w:val="000000"/>
          <w:sz w:val="20"/>
        </w:rPr>
        <w:t>11. COMMITMENTS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existing commitments to the licensors of the intellectual property which the Company has licensed. These commitments are based upon certain clinical research, regulatory, financial and sales milestones being achieved. Additionally, the Company is obligated to pay a single-digit royalty on commercial sales on a global basis of licensed products under the Emory License Agreement and the UABRF License Agreement. The royalty term is the later of 15 years from first commercial sale or expiration of the last-to-expire component of the licensed intellectual property.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not currently party to any material legal proceedings. At each reporting date, the Company evaluates whether or not a potential loss amount or potential range of loss is probable and reasonably estimable under the provisions of the authoritative guidance that addresses accounting for contingencies. The Company expenses as incurred costs related to such legal proceedings.</w:t>
      </w:r>
    </w:p>
    <w:p>
      <w:pPr>
        <w:pStyle w:val="TextBody"/>
        <w:bidi w:val="0"/>
        <w:spacing w:before="240" w:after="283"/>
        <w:jc w:val="both"/>
        <w:rPr>
          <w:rFonts w:ascii="Times New Roman" w:hAnsi="Times New Roman"/>
          <w:sz w:val="20"/>
        </w:rPr>
      </w:pPr>
      <w:r>
        <w:rPr>
          <w:rFonts w:ascii="Times New Roman" w:hAnsi="Times New Roman"/>
          <w:b/>
          <w:caps/>
          <w:color w:val="000000"/>
          <w:sz w:val="20"/>
        </w:rPr>
        <w:t>12. EQUIPMENT AND Facility LEASES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historically entered into lease arrangements for its facilities. As of June 30, 2025, the Company had four operating leases with required future minimum payments. The Company determined the classification of these leases to be operating leases and recorded right-of-use assets and lease liabilities as of the effective date. The Company’s leases generally do not include termination or purchase options.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Finance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entered into an agreement with an equipment leasing company in 2018, which provided up to $2.5 million for equipment purchases in the form of sale and leasebacks or direct leases. As of June 30, 2025, the Company has seven active leases from the leasing company. The terms of the leases are three years and afterwards provide for either annual extensions or an outright purchase of the equipment.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entered into an agreement with another equipment leasing company in the second quarter of 2023. As of June 30, 2025, the Company has one active lease from this leasing company. In June 2024, the Company entered into a new finance lease agreement with another leasing company. The terms of these lease are three years and afterwards provide for either annual extensions or an outright purchase of the equipment.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equipment leases require three advance rental payments to be held as security deposits. The security deposits held amounted to approximately $0.3 million as of June 30, 2025 and December 31, 2024, and are included in other non-current assets on the condensed balance sheets.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an operating lease for office space in Birmingham, Alabama, which was modified and expanded in March 2024 for a 60-month term ending in March 2029, with an option to extend five years, resulting in an increase to both the right of use assets and operating lease liabilities. Throughout the term of the lease, the Company is responsible for paying certain costs and expenses, in addition to the rent, as specified in the lease, including a proportionate share of applicable taxes, operating expenses and utilities. In April 2025, the Company terminated its operating lease for additional unutilized office space in Birmingham, Alabama. The Company paid a one-time termination fee of $0.1 million and will pay five monthly payments of $20,000, beginning on June 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an operating lease for office space in New York, New York, with a term that commenced on September 15, 2021, and continues through March 2027. Throughout the term of the lease, the Company is responsible for paying certain costs and expenses, in addition to the rent, as specified in the lease, including a proportionate share of applicable taxes, operating expenses and utilities.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identified an embedded lease within the University of Louisville Manufacturing Services Agreement, as the Company has the exclusive use of, and control over, a portion of the manufacturing facility and equipment of the facility during the contractual term of the manufacturing arrangement. The commencement date of the embedded lease was August 4, 2022 and it continues through August 2028.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operating leases require security deposits at the inception of each lease. The security deposits amounted to $0.3 million as of June 30, 2025 and December 31, 2024. As of June 30, 2025 and December 31, 2024, $0.3 million was included in restricted cash and $0 was included in other 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contains a summary of the lease costs recognized and other information pertaining to the Company’s finance and operating leases for the three and six months ended June 30, 2025 and 2024 (in thousands):</w:t>
      </w:r>
    </w:p>
    <w:p>
      <w:pPr>
        <w:pStyle w:val="TextBody"/>
        <w:bidi w:val="0"/>
        <w:jc w:val="both"/>
        <w:rPr/>
      </w:pPr>
      <w:r>
        <w:rPr/>
        <w:t> </w:t>
      </w:r>
    </w:p>
    <w:tbl>
      <w:tblPr>
        <w:tblW w:w="8047" w:type="dxa"/>
        <w:jc w:val="left"/>
        <w:tblInd w:w="0" w:type="dxa"/>
        <w:tblLayout w:type="fixed"/>
        <w:tblCellMar>
          <w:top w:w="28" w:type="dxa"/>
          <w:left w:w="28" w:type="dxa"/>
          <w:bottom w:w="28" w:type="dxa"/>
          <w:right w:w="28" w:type="dxa"/>
        </w:tblCellMar>
      </w:tblPr>
      <w:tblGrid>
        <w:gridCol w:w="3656"/>
        <w:gridCol w:w="146"/>
        <w:gridCol w:w="211"/>
        <w:gridCol w:w="571"/>
        <w:gridCol w:w="146"/>
        <w:gridCol w:w="146"/>
        <w:gridCol w:w="211"/>
        <w:gridCol w:w="421"/>
        <w:gridCol w:w="146"/>
        <w:gridCol w:w="146"/>
        <w:gridCol w:w="211"/>
        <w:gridCol w:w="571"/>
        <w:gridCol w:w="146"/>
        <w:gridCol w:w="146"/>
        <w:gridCol w:w="211"/>
        <w:gridCol w:w="571"/>
        <w:gridCol w:w="391"/>
      </w:tblGrid>
      <w:tr>
        <w:trPr/>
        <w:tc>
          <w:tcPr>
            <w:tcW w:w="3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finance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on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368" w:type="dxa"/>
        <w:jc w:val="left"/>
        <w:tblInd w:w="0" w:type="dxa"/>
        <w:tblLayout w:type="fixed"/>
        <w:tblCellMar>
          <w:top w:w="28" w:type="dxa"/>
          <w:left w:w="28" w:type="dxa"/>
          <w:bottom w:w="28" w:type="dxa"/>
          <w:right w:w="28" w:type="dxa"/>
        </w:tblCellMar>
      </w:tblPr>
      <w:tblGrid>
        <w:gridCol w:w="7186"/>
        <w:gridCol w:w="146"/>
        <w:gridCol w:w="224"/>
        <w:gridCol w:w="496"/>
        <w:gridCol w:w="316"/>
      </w:tblGrid>
      <w:tr>
        <w:trPr/>
        <w:tc>
          <w:tcPr>
            <w:tcW w:w="7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Lease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liability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liability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finance leases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operating leases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reconciles the undiscounted cash flows to the operating and finance lease liabilities at June 30, 2025 (in thousands):</w:t>
      </w:r>
    </w:p>
    <w:p>
      <w:pPr>
        <w:pStyle w:val="TextBody"/>
        <w:bidi w:val="0"/>
        <w:jc w:val="left"/>
        <w:rPr/>
      </w:pPr>
      <w:r>
        <w:rPr/>
        <w:t> </w:t>
      </w:r>
    </w:p>
    <w:tbl>
      <w:tblPr>
        <w:tblW w:w="5845" w:type="dxa"/>
        <w:jc w:val="left"/>
        <w:tblInd w:w="0" w:type="dxa"/>
        <w:tblLayout w:type="fixed"/>
        <w:tblCellMar>
          <w:top w:w="28" w:type="dxa"/>
          <w:left w:w="28" w:type="dxa"/>
          <w:bottom w:w="28" w:type="dxa"/>
          <w:right w:w="28" w:type="dxa"/>
        </w:tblCellMar>
      </w:tblPr>
      <w:tblGrid>
        <w:gridCol w:w="2566"/>
        <w:gridCol w:w="146"/>
        <w:gridCol w:w="394"/>
        <w:gridCol w:w="791"/>
        <w:gridCol w:w="146"/>
        <w:gridCol w:w="146"/>
        <w:gridCol w:w="367"/>
        <w:gridCol w:w="998"/>
        <w:gridCol w:w="2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short-term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aps/>
          <w:color w:val="000000"/>
          <w:sz w:val="20"/>
        </w:rPr>
        <w:t>13. SEGMENTS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segments are identified as components of an enterprise about which separate discrete financial information is available for evaluation by the CODM or decision making group in making decisions on how to allocate resources and assess performance. The Company has one operating segment focused on the discovery, development and commercialization of gamma-delta T cell product candidates for unmet medical needs. The CODM is the Company’s CEO. The CEO manages the Company’s operations on a consolidated basis, assesses performance for the operating segment and decides how to allocate resources based on net loss, which is reported on the condensed statements of operations. Depreciation expense, amortization expense, stock-based compensation expense, and non-cash lease expense are significant noncash items included in net loss reviewed by the CEO and are reported on the condensed statements of cash flows. The measure of segment assets is reported on the condensed balance sheets as total consolidated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certain financial data for the Company’s reportable segment: </w:t>
      </w:r>
    </w:p>
    <w:p>
      <w:pPr>
        <w:pStyle w:val="TextBody"/>
        <w:bidi w:val="0"/>
        <w:jc w:val="left"/>
        <w:rPr/>
      </w:pPr>
      <w:r>
        <w:rPr/>
        <w:t> </w:t>
      </w:r>
    </w:p>
    <w:tbl>
      <w:tblPr>
        <w:tblW w:w="7339" w:type="dxa"/>
        <w:jc w:val="left"/>
        <w:tblInd w:w="0" w:type="dxa"/>
        <w:tblLayout w:type="fixed"/>
        <w:tblCellMar>
          <w:top w:w="28" w:type="dxa"/>
          <w:left w:w="28" w:type="dxa"/>
          <w:bottom w:w="28" w:type="dxa"/>
          <w:right w:w="28" w:type="dxa"/>
        </w:tblCellMar>
      </w:tblPr>
      <w:tblGrid>
        <w:gridCol w:w="5146"/>
        <w:gridCol w:w="146"/>
        <w:gridCol w:w="211"/>
        <w:gridCol w:w="571"/>
        <w:gridCol w:w="146"/>
        <w:gridCol w:w="146"/>
        <w:gridCol w:w="211"/>
        <w:gridCol w:w="571"/>
        <w:gridCol w:w="19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INB-100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INB-200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INB-400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indirect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pPr>
      <w:r>
        <w:rPr>
          <w:rFonts w:ascii="Times New Roman" w:hAnsi="Times New Roman"/>
          <w:color w:val="000000"/>
          <w:sz w:val="20"/>
        </w:rPr>
        <w:t>Other segment items include preclinical expenses, interest income and other income.</w:t>
      </w:r>
      <w:r>
        <w:rPr>
          <w:color w:val="000000"/>
        </w:rPr>
        <w:t xml:space="preserve"> </w:t>
      </w:r>
    </w:p>
    <w:p>
      <w:pPr>
        <w:pStyle w:val="TextBody"/>
        <w:bidi w:val="0"/>
        <w:spacing w:before="240" w:after="283"/>
        <w:jc w:val="both"/>
        <w:rPr/>
      </w:pPr>
      <w:r>
        <w:rPr/>
        <w:t>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This Quarterly Report on Form 10-Q (this "Quarterly Report") contains statements that may constitute "forward-looking statements" within the meaning of Section 27A of the Securities Act of 1933, as amended, (the "Securities Act"), and Section 21E of the Securities Exchange Act of 1934, as amended (the "Exchange Act"), that involve substantial risks and uncertainties. All statements contained in this Quarterly Report other than statements of historical fact, including statements regarding our future results of operations and financial position, our business strategy and plans, and our objectives for future operations, are forward-looking statements. The words "believes," "expects," "intends," "estimates," "projects," "anticipates," "will," "plan," "may," "should," or similar language are intended to identify forward-looking statements.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It is routine for our internal projections and expectations to change throughout the year, and any forward-looking statements based upon these projections or expectations may change prior to the end of the next quarter or year. Readers of this Quarterly Report are cautioned not to place undue reliance on any such forward-looking statements. As a result of a number of known and unknown risks and uncertainties, our actual results or performance may be materially different from those expressed or implied by these forward-looking statements. Risks and uncertainties are identified under "Risk Factors" in Item 1A herein and in our other filings with the Securities and Exchange Commission ("SEC"). All forward-looking statements included herein are made only as of the date hereof. Unless otherwise required by law, we do not undertake, and specifically disclaim, any obligation to update any forward-looking statement, whether as a result of new information, future events, or otherwise after the date of such statement.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financial statements and related notes included elsewhere in this Form 10-Q, and our audited financial statements and related notes for the year ended December 31, 2024 in our Annual Report on Form 10-K for the fiscal year ended December 31, 2024 (the “Annual Report”).Unless otherwise indicated, all information in this Quarterly Report on Form 10-Q gives effect to a 1-for-30 reverse stock split of our common stock that became effective on June 5, 2025, and all references to shares of common stock outstanding and per share amounts give effect to the reverse stock split.</w:t>
      </w:r>
    </w:p>
    <w:p>
      <w:pPr>
        <w:pStyle w:val="TextBody"/>
        <w:bidi w:val="0"/>
        <w:spacing w:before="24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clinical-stage biopharmaceutical company focused on the discovery, development and commercialization of gamma-delta T cell product candidates and T cell engagers ("TCEs") for cancer and autoimmune diseases. We are the most clinically advanced gamma-delta T cell-focused company and are utilizing our suite of DeltEx platform technologies as we aspire to eliminate cancer cells to achieve our mission of what we refer to as Cancer Zero ─ the safe elimination of all cancer cells in every patient battling the disease. We develop ex vivo expanded and activated gamma-delta T cell candidates and TCEs based upon our deep expertise in gamma-delta T cell biology, proprietary genetic engineering, and cell-type specific manufacturing capabilities, which we refer to collectively as our DeltEx platform. Our platform employs allogeneic, autologous, induced pluripotent stem cell ("iPSC"), genetically modified cell therapy approaches, and TCEs that are designed to effectively identify and eradicate tumor and targeted cells. To date, we have conducted two main investigator-sponsored Phase 1 clinical trials to test our gamma-delta T cell technologies in cancer patients. INB-100 tests our DeltEx Allogeneic ("Allo") gamma-delta T cells in older patients with high-risk leukemias undergoing haploidentical stem cell transplantation ("HSCT") and INB-200 tested our DeltEx Drug Resistant Immunotherapy ("DRI") in newly diagnosed glioblastoma ("GBM") patients. Both trials have demonstrated long-term durable remissions with patients remaining alive and in remission for greater than four years.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INB-100, our first DeltEx allogeneic product candidate, was developed to assess the safety and tolerability of donor-derived manufactured expanded and activated gamma-delta T cells that do not undergo additional genetic modification. The Phase 1 trial of INB-100 has completed primary enrollment and a recommended Phase 2 dose ("RP2D") has been determined. We presented updated data at the 2025 Transplantation &amp; Cellular Therapy ("TCT") Meeting in February 2025, demonstrating that, as of the January cutoff date, 100% of acute myeloid leukemia ("AML") patients across both original and expansion cohorts remain in complete remission ("CR"), with a median follow-up of 20.1 months for AML. Furthermore, these AML patients demonstrated 100% progression-free survival ("PFS") and 100% overall survival ("OS") rates at one-year post transplant, exceeding real-world matched control groups obtained from both the Center for International Blood and Marrow Transplant Research ("CIBMTR") national database, with 67.8% PFS and 74.7% OS at one-year, and from the Kansas University Cancer Center ("KUCC"), 57.4% PFS and 66.7% OS at one-year. KUCC is a tertiary referral center treating primarily intermediate and high-risk patients, and is where the study is currently being conducted. Patients treated with INB-100 are demonstrating prolonged and durable remissions supported by peripheral gamma-delta T cell expansion and persistence for one year, the first time this has been observed with an allogenic cellular therapy. In 2024, we held a meeting with the U.S. Food and Drug Administration ("FDA") and received regulatory guidance on a Phase 2 trial of INB-100 for the treatment of AML with PFS as the primary endpoint in a randomized controlled trial. To further de-risk this registrational pathway, we are currently enrolling an expansion cohort at the RP2D, with a target of up to an additional 15 patients (for 25 total patients in the INB-100 Phase 1 trial), to confirm the improvements in relapse free and OS observed to date. We expect to complete the enrollment of the expansion cohort in 2025, with long-term follow-up results anticipated in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DeltEx drug resistant immunotherapy ("DRI") technology is an innovative and proprietary platform that genetically engineers gamma-delta T cells to allow synergistic combinations with conventional standard-of-care chemotherapies for the treatment of solid-tumor cancers. Our proprietary genetic engineering hijacks the tumor’s own resistance mechanism to a chemotherapy to protect our DRI gamma-delta T cells from the killing effects of such chemotherapies. This allows for combination with chemotherapies to drive deeper tumor responses, with the potential for better patient outcomes. Our first indication is newly diagnosed GBM. We have completed patient enrollment and dosing in the Phase 1 investigator-initiated trial of INB-200 (NCT04165941) and we continue to follow patients for PFS and OS. We recently presented an oral plenary presentation at the American Society of Clinical Oncology ("ASCO") Annual Meeting in June 2025 where we provided longer-term patient follow-up. As of June 9, 2025, four patients who received repeated doses of INB-200 remained alive and progression-free with the longest remaining progression-free for over 4 years. Patients receiving a single dose of INB-200 (cohort 1) had a median progression-free survival ("mPFS") of approximately 8 months compared to the expected 6.9 months mPFS in newly diagnosed GBM patients receiving the standard-of-care. Through May 31, 2025, patients who received repeated doses of INB-200 (cohort 2 and 3 combined) demonstrated a mPFS of 16.1 months, a +133% increase in mPFS over the expected 6.9 months mPFS for the standard-of-care Stupp protocol and a doubling in mPFS over the single dose patients. These mPFS results have already surpassed the historical median OS of 14.6 months associated with the SOC Stupp protocol alone. We continue to track the patients as we have not yet reached median OS and expect to provide additional updates later this 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INB-400 is the corporate-sponsored investigational new drug application ("IND") for the Phase 2, multi-center clinical trial for our DeltEx DRI technology for the treatment of newly diagnosed GBM. While the IND remains open and we continue to treat any enrolled patients, in September 2024, we implemented a pipeline prioritization, suspending enrollment in the Phase 2 trial of INB-400 to conserve cash resources. This trial sought to expand the assessment of genetically modified, DRI gamma-delta T cells in newly diagnosed GBM patients in multiple centers across the United States. We will continue to follow any treated patients for safety, PFS and OS. During our conference call following the 2025 ASCO Annual Meeting, preliminary data from patients treated at three additional centers reported mPFS of 10.8 months as of May 31, 2025, with additional data expected later this year. We believe our DeltEx DRI gamma-delta T cell therapeutic approach is demonstrating clinical activity and can be applied to multiple solid tumor types. We are seeking additional funding sources and/or strategic opportunities to potentially partner this program. In April 2023, we received Orphan Drug Designation for the autologous and allogeneic INB-400 products from the FDA, covering a broad range of malignant glioma indications, including relapsed and newly diagnosed GBM.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Most recently we introduced INB-600, our proprietary and internally developed T cell engager platform. This platform represents a potentially revolutionary advancement in immunotherapy, harnessing the power of gamma-delta T cells through a distinctive mechanism that optimizes effector function and targeted cytotoxicity. To date, we have observed novel properties of the TCE, which include inducing the expansion and activation of gamma-delta T cells to potentially offer a sustained and potent anti-tumor response. This unique capability may not only enhance the immediate cytotoxic effects but can also build a more durable and long-lasting immune response, essential for combating both solid tumors and resistant leukemias/lymphomas as well as sustained target depletion for potential applications in autoimmune diseases. Unlike traditional TCEs, which can cause cytokine release syndrome ("CRS") and T cell exhaustion by broadly activating all T cells, our INB-600 TCE platform selectively activates gamma-delta T cells, including both V delta 1+ and V delta 2+ (Vd1+ and Vd2+) gamma-delta T cell subsets, leveraging their innate ability to recognize tumors with minimal risk of CRS. The pan activation and expansion of both the Vd1+ and Vd2+ gamma-delta T cell compartments further broadens our therapeutic potential, combining the rapid antigen presentation, immune activation and phagocytosis capabilities of Vd2+ cells with the more persistent durability and tissue residence properties of Vd1+ cells, with the goal of driving deeper responses and eliminate cancers or pathogenic B cells associated with autoimmune disease.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2025, at the 2025 American Association for Cancer Research ("AACR") Annual Meeting, we presented in vitro studies that demonstrated INB-619, a CD19 and INB-633, a CD33 targeting gamma-delta TCE induced strong, antigen-specific cytotoxicity against CD19+ acute lymphoblastic leukemia ("ALL") and CD33+ AML cell lines, respectively. Both TCE’s promoted robust gamma-delta T cell expansion, activation and degranulation, with increased expression of IFN-γ, TNF-α, granzyme B, and perforin, indicating a transition to a highly cytotoxic phenotype. Importantly, both engagers exhibited minimal release of inflammatory cytokines which are known to drive CRS and/or tumor promotion, including IL-6, IL-10, and IL-17a.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May 2025, at the 2025 American Society of Gene &amp; Cell Therapy ("ASGCT") Annual Meeting, we presented preclinical data that demonstrated that INB-619 successfully eliminated disease-causing B cells in blood samples from patients with active Systemic Lupus Erythematosus ("SLE", or "Lupus"). INB-619 not only depletes the target CD19+ B cells, but also significantly expands and activates both key types of gamma-delta T cells (Vd1+ and Vd2+), overcoming one of the critical challenges in the clinical use of gamma-delta TCE’s in patients with chronic disease and dysfunctional immune systems, low gamma-delta T cell levels. These findings highlight the potential of INB-619 as a novel treatment option for autoimmune diseases, where harmful B cells secrete antibodies that drive inflammation and tissue damage. Unlike traditional TCEs that target CD3 and can often trigger severe side effects, INB-619 harnesses the unique properties of gamma-delta T cells to selectively eradicate B cells while minimizing inflammatory cytokines such as IL-6. The platform’s ability to effectively deplete B cells suggests potential for therapeutic applications in B cell driven autoimmune diseases.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the INB-600 platform positions us with promising candidates for a range of potential applications, from solid tumors to autoimmune diseases, with the goal of offering a comprehensive approach to immune system modulation and disease treatment. We expect to present additional preclinical data in the second half of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have a portfolio of preclinical programs in development. These include INB-300, which is applicable to both solid and liquid tumors using a targeted non-signaling gamma-delta T cell based chimeric antigen receptor ("nsCAR") construct, and INB-500, which encompasses our ability to produce gamma-delta T cells from iPSCs. iPSCs represent a significant step toward next generation approaches of cellular manufacturing for true allogeneic and potentially "off-the-shelf" innate cell therapies. We presented additional preclinical data for INB-300, demonstrating our proof-of-concept in vitro studies, run in triplicate, against the leukemia antigen targets CD33 and CD123, at the AACR Annual Meeting in 2024. These data demonstrated the ability of our nsCAR constructs to distinguish between tumor tissue and healthy tissue.</w:t>
      </w:r>
    </w:p>
    <w:p>
      <w:pPr>
        <w:pStyle w:val="TextBody"/>
        <w:bidi w:val="0"/>
        <w:spacing w:before="240" w:after="283"/>
        <w:jc w:val="both"/>
        <w:rPr>
          <w:rFonts w:ascii="Times New Roman" w:hAnsi="Times New Roman"/>
          <w:sz w:val="20"/>
        </w:rPr>
      </w:pPr>
      <w:r>
        <w:rPr>
          <w:rFonts w:ascii="Times New Roman" w:hAnsi="Times New Roman"/>
          <w:b/>
          <w:color w:val="000000"/>
          <w:sz w:val="20"/>
        </w:rPr>
        <w:t>Other Second Quarter Business and Clinical Highlights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Reached Durable Four-Year PFS Milestone in Glioblastoma:</w:t>
      </w:r>
      <w:r>
        <w:rPr>
          <w:color w:val="000000"/>
        </w:rPr>
        <w:t xml:space="preserve"> </w:t>
      </w:r>
      <w:r>
        <w:rPr>
          <w:rFonts w:ascii="Times New Roman" w:hAnsi="Times New Roman"/>
          <w:color w:val="000000"/>
          <w:sz w:val="20"/>
        </w:rPr>
        <w:t>A patient in our INB-200 clinical trial has now surpassed four years without progression, a significant clinical milestone in frontline glioblastoma (GBM), demonstrating the extended survival potential and durability of our therapy compared to outcomes in other clinical trials of IDH-mutant glioma patients.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Positive Clinical Data Presented at ASCO 2025. </w:t>
      </w:r>
      <w:r>
        <w:rPr>
          <w:rFonts w:ascii="Times New Roman" w:hAnsi="Times New Roman"/>
          <w:color w:val="000000"/>
          <w:sz w:val="20"/>
        </w:rPr>
        <w:t>We presented positive new data showing that GBM patients receiving multiple doses of INB-200 achieved median PFS of 16.1 months as of May 31, 2025, more than double the 6.9 months typically observed with the standard-of-care Stupp protocol. 40% of patients receiving multiple doses remain progression-free for over 18 months (up to 4 years) with no significant toxicities observed as of May 31,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Received the Award for Innovative Cell Therapy Manufacturing. </w:t>
      </w:r>
      <w:r>
        <w:rPr>
          <w:rFonts w:ascii="Times New Roman" w:hAnsi="Times New Roman"/>
          <w:color w:val="000000"/>
          <w:sz w:val="20"/>
        </w:rPr>
        <w:t>We were recognized with the Host Region USA East Abstract Award at the International Society for Cell &amp; Gene Therapy ("ISCT") 2025 Annual Meeting for its DeltEx platform. We showcased our robust manufacturing processes and scalable technology platform, essential for advancing cell therapy treatments with consistency and operational efficiency.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Presented New Preclinical Data in Autoimmune Diseases. </w:t>
      </w:r>
      <w:r>
        <w:rPr>
          <w:rFonts w:ascii="Times New Roman" w:hAnsi="Times New Roman"/>
          <w:color w:val="000000"/>
          <w:sz w:val="20"/>
        </w:rPr>
        <w:t>We presented exciting new preclinical results at ASGCT 2025 for its innovative gamma-delta T cell engager (INB-619). INB-619 demonstrated complete, targeted depletion of harmful B cells in lupus samples without significant inflammatory cytokines, representing a potentially safer immunotherapy alternative with the ability to drive deeper B cell depletion.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Our Pipeline</w:t>
      </w:r>
    </w:p>
    <w:p>
      <w:pPr>
        <w:pStyle w:val="TextBody"/>
        <w:bidi w:val="0"/>
        <w:spacing w:before="120" w:after="283"/>
        <w:jc w:val="center"/>
        <w:rPr/>
      </w:pPr>
      <w:r>
        <w:rPr/>
        <w:drawing>
          <wp:inline distT="0" distB="0" distL="0" distR="0">
            <wp:extent cx="6858000" cy="3857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857625"/>
                    </a:xfrm>
                    <a:prstGeom prst="rect">
                      <a:avLst/>
                    </a:prstGeom>
                  </pic:spPr>
                </pic:pic>
              </a:graphicData>
            </a:graphic>
          </wp:inline>
        </w:drawing>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in 2016, our operations have focused on identifying and developing potential product candidates, conducting clinical trials, organizing and staffing, business planning, establishing our intellectual property portfolio, raising capital, and providing general and administrative support for these operations. We do not have any product candidates approved for sale and have not generated any revenue. We have funded our operations primarily through the sale of equity and equity-linked securities, including through our initial public offering ("IPO"), follow-on offering, our at-the-market ("ATM"), program with Cantor Fitzgerald &amp; Co. ("Cantor Fitzgerald"), and the Private Placements (as defined below).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incur additional losses in the future as we advance our product candidates through clinical trials, seek to expand our product candidate portfolio through developing additional product candidates, grow our clinical, regulatory and quality capabilities, and incur costs associated with operating as a public company. Based on our business strategy, our existing cash of $13.2 million as of June 30, 2025 is not anticipated to fund the Company’s projected operating expenses and capital expenditure requirements for a period of at least 12 months from the date of issuance of these condensed financial statements, and accordingly, there is substantial doubt about the Company’s ability to continue to operate as a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deploy cash preservation measures to defer or reduce costs in the near term to preserve capital and increase financial flexibility given the ongoing market environment for biotechnology stocks. These cash preservation measures may impact our ability and the timing to execute our strategy, including our ability to achieve the anticipated milestones and the timing of regulatory filings for our preclinical and clinical programs. To continue to fund our operations, management has developed plans, which primarily consist of the pipeline prioritization and workforce reduction, raising additional capital through some combination of equity and/or debt offerings, including through our ATM program, and identifying strategic collaborations, licensing or other arrangements to support development of our product candidates. In addition, as of June 30, 2025, we may receive an additional $1.7 million and $8.1 million in aggregate proceeds if the holders of our Series A warrants and Series C warrants exercise their warrants, respectively. Further, if not otherwise redeemed by us, we may also receive aggregate proceeds of up to $4.1 million from the exercise of our outstanding Series B warrants. There is no assurance, however, that we will receive any additional proceeds from the Private Placements or that any additional financing or any revenue-generating collaboration will be available when needed, that management will be able to obtain financing or enter into a collaboration on terms acceptable to us, or that any additional financing or revenue generated through third-party collaborations will be sufficient to fund our operations. If additional capital is not available to us on a timely basis, or at all, we will be required to take additional actions beyond the cost preservation measures initiated to date to address our liquidity needs, including exploring other strategic options, continuing to further reduce operating expense or delaying, reducing the scope of, discontinuing or altering our research and development activities. For additional information, see "—Liquidity and Capital Resources"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actual amount of cash that we will need to operate is subject to many factors, including those described in the section titled "Risk Factors." The financial statements have been prepared on the basis that we will continue as a going concern and do not include adjustments that might result from the outcome of this uncertainty.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5, 2025, we effected a one-for-thirty (1-for-30) reverse stock split (the “Reverse Stock Split”). Pursuant to the terms, a proportionate adjustment was made to the per share exercise price and number of shares issuable under all of the Company’s outstanding options and warrants, and the number of shares authorized for issuance pursuant to the Company’s equity incentive plans have been reduced proportionately. The Reverse Stock Split did not reduce the number of authorized shares of common stock and did not alter the par value.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share and per share amounts of common stock presented in this Quarterly Report on Form 10-Q have been retroactively adjusted to reflect the Reverse Stock Split. Refer to Note 1 of our unaudited condensed financial statements and the notes thereto included elsewhere in this Quarterly Report on Form 10-Q for further information.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consist primarily of costs incurred for our research activities, including our discovery efforts and the development of our product candidates, and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employee-related expenses, including salaries, related-benefits, severance payments and stock-based compensation expense for employees engaged in research and development functions;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fees paid to consultants for services directly related to our product development and regulatory efforts;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expenses associated with conducting preclinical studies performed by ourselves, outside vendors or academic collaborators;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expenses incurred in connection with conducting clinical trials including investigator grants and site payments for time and pass-through expenses and expenses incurred under agreements with contract research organizations ("CROs") as well as contract manufacturing organizations ("CMOs") and consultants that conduct and provide supplies for our preclinical studies and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to manufacture drug product candidates for use in our preclinical studies and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associated with preclinical activities and development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associated with our intellectual property portfolio;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related to compliance with regulatory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We allocate our direct external research and development costs across each product candidate. Preclinical expenses consist of external research and development costs associated with activities to support our current and future clinical programs but are not allocated by product candidate due to the overlap of the potential benefit of those efforts across multiple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activities are central to our business. We expect that our research and development expenses will continue to increase for the foreseeable future as we continue clinical development for our product candidates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p>
    <w:p>
      <w:pPr>
        <w:pStyle w:val="TextBody"/>
        <w:bidi w:val="0"/>
        <w:spacing w:before="24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director and officer insurance expenses as a publicly traded company; and facility-related expenses, which include shared expenses for rent and maintenance of facilities and other operating costs not included in 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that our general and administrative expenses will increase for the foreseeable future contingent on additional funding as our organization and headcount needed in the future grow to support continued research and development activities and potential commercialization of our product candidates. These increases will likely include increased costs related to building a team to support our administrative, accounting and finance, communications, legal and business development efforts. In addition, we expect increased expenses associated with being a public company, including costs of additional personnel, accounting, audit, legal, regulatory and tax-related services associated with maintaining compliance with exchange listing and SEC requirements; director and officer insurance costs; and investor and public relations costs.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includes interest earned from certain bank accounts.</w:t>
      </w:r>
    </w:p>
    <w:p>
      <w:pPr>
        <w:pStyle w:val="TextBody"/>
        <w:bidi w:val="0"/>
        <w:spacing w:before="24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Three Months Ended June 30,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our results of operations for the three months ended June 30, 2025 and 2024 (in thousands): </w:t>
      </w:r>
    </w:p>
    <w:p>
      <w:pPr>
        <w:pStyle w:val="TextBody"/>
        <w:bidi w:val="0"/>
        <w:jc w:val="left"/>
        <w:rPr/>
      </w:pPr>
      <w:r>
        <w:rPr/>
        <w:t> </w:t>
      </w:r>
    </w:p>
    <w:tbl>
      <w:tblPr>
        <w:tblW w:w="6485" w:type="dxa"/>
        <w:jc w:val="left"/>
        <w:tblInd w:w="0" w:type="dxa"/>
        <w:tblLayout w:type="fixed"/>
        <w:tblCellMar>
          <w:top w:w="28" w:type="dxa"/>
          <w:left w:w="28" w:type="dxa"/>
          <w:bottom w:w="28" w:type="dxa"/>
          <w:right w:w="28" w:type="dxa"/>
        </w:tblCellMar>
      </w:tblPr>
      <w:tblGrid>
        <w:gridCol w:w="2511"/>
        <w:gridCol w:w="146"/>
        <w:gridCol w:w="239"/>
        <w:gridCol w:w="716"/>
        <w:gridCol w:w="188"/>
        <w:gridCol w:w="165"/>
        <w:gridCol w:w="239"/>
        <w:gridCol w:w="716"/>
        <w:gridCol w:w="166"/>
        <w:gridCol w:w="146"/>
        <w:gridCol w:w="211"/>
        <w:gridCol w:w="631"/>
        <w:gridCol w:w="41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three months ended June 30, 2025 and 2024 (in thousands): </w:t>
      </w:r>
    </w:p>
    <w:p>
      <w:pPr>
        <w:pStyle w:val="TextBody"/>
        <w:bidi w:val="0"/>
        <w:spacing w:before="40" w:after="283"/>
        <w:jc w:val="both"/>
        <w:rPr/>
      </w:pPr>
      <w:r>
        <w:rPr/>
        <w:t> </w:t>
      </w:r>
    </w:p>
    <w:tbl>
      <w:tblPr>
        <w:tblW w:w="9181" w:type="dxa"/>
        <w:jc w:val="left"/>
        <w:tblInd w:w="0" w:type="dxa"/>
        <w:tblLayout w:type="fixed"/>
        <w:tblCellMar>
          <w:top w:w="28" w:type="dxa"/>
          <w:left w:w="28" w:type="dxa"/>
          <w:bottom w:w="28" w:type="dxa"/>
          <w:right w:w="28" w:type="dxa"/>
        </w:tblCellMar>
      </w:tblPr>
      <w:tblGrid>
        <w:gridCol w:w="5046"/>
        <w:gridCol w:w="146"/>
        <w:gridCol w:w="257"/>
        <w:gridCol w:w="697"/>
        <w:gridCol w:w="178"/>
        <w:gridCol w:w="178"/>
        <w:gridCol w:w="257"/>
        <w:gridCol w:w="697"/>
        <w:gridCol w:w="146"/>
        <w:gridCol w:w="146"/>
        <w:gridCol w:w="211"/>
        <w:gridCol w:w="631"/>
        <w:gridCol w:w="591"/>
      </w:tblGrid>
      <w:tr>
        <w:trPr/>
        <w:tc>
          <w:tcPr>
            <w:tcW w:w="5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INB-100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INB-200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INB-400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expenses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Facility-related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Research and development expenses were $2.5 million for the three months ended June 30, 2025, compared to $5.2 million for the comparable prior year period. These amounts include non-cash items such as stock-based compensation ("SBC") and depreciation of $0.5 million. The decrease of $2.7 million was primarily due to a $1.3 million decrease in personnel-related costs, including salaries and SBC as a result of the decrease in our headcount. Direct clinical costs decreased by $1.4 million due to decreased costs for INB-200 and INB-400.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were $2.7 million for the three months ended June 30, 2025, compared to $3.5 million for the comparable prior year period. These amounts include non-cash items such as SBC and depreciation of $0.7 million. The decrease of $0.8 million was primarily due to a decrease in personnel-related costs, including SBC, cost savings related to directors' and officers' insurance premiums and a reduction in professional services.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was $0.1 million for the three months ended June 30, 2025 and 2024.</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Comparison of the Six Months Ended June 30,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our results of operations for the six months ended June 30, 2025 and 2024 (in thousands): </w:t>
      </w:r>
    </w:p>
    <w:p>
      <w:pPr>
        <w:pStyle w:val="TextBody"/>
        <w:bidi w:val="0"/>
        <w:jc w:val="left"/>
        <w:rPr/>
      </w:pPr>
      <w:r>
        <w:rPr/>
        <w:t> </w:t>
      </w:r>
    </w:p>
    <w:tbl>
      <w:tblPr>
        <w:tblW w:w="6428" w:type="dxa"/>
        <w:jc w:val="left"/>
        <w:tblInd w:w="0" w:type="dxa"/>
        <w:tblLayout w:type="fixed"/>
        <w:tblCellMar>
          <w:top w:w="28" w:type="dxa"/>
          <w:left w:w="28" w:type="dxa"/>
          <w:bottom w:w="28" w:type="dxa"/>
          <w:right w:w="28" w:type="dxa"/>
        </w:tblCellMar>
      </w:tblPr>
      <w:tblGrid>
        <w:gridCol w:w="2511"/>
        <w:gridCol w:w="146"/>
        <w:gridCol w:w="211"/>
        <w:gridCol w:w="736"/>
        <w:gridCol w:w="166"/>
        <w:gridCol w:w="146"/>
        <w:gridCol w:w="211"/>
        <w:gridCol w:w="736"/>
        <w:gridCol w:w="166"/>
        <w:gridCol w:w="146"/>
        <w:gridCol w:w="211"/>
        <w:gridCol w:w="631"/>
        <w:gridCol w:w="41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six months ended June 30, 2025 and 2024 (in thousands): </w:t>
      </w:r>
    </w:p>
    <w:p>
      <w:pPr>
        <w:pStyle w:val="TextBody"/>
        <w:bidi w:val="0"/>
        <w:spacing w:before="40" w:after="283"/>
        <w:jc w:val="both"/>
        <w:rPr/>
      </w:pPr>
      <w:r>
        <w:rPr/>
        <w:t> </w:t>
      </w:r>
    </w:p>
    <w:tbl>
      <w:tblPr>
        <w:tblW w:w="8985" w:type="dxa"/>
        <w:jc w:val="left"/>
        <w:tblInd w:w="0" w:type="dxa"/>
        <w:tblLayout w:type="fixed"/>
        <w:tblCellMar>
          <w:top w:w="28" w:type="dxa"/>
          <w:left w:w="28" w:type="dxa"/>
          <w:bottom w:w="28" w:type="dxa"/>
          <w:right w:w="28" w:type="dxa"/>
        </w:tblCellMar>
      </w:tblPr>
      <w:tblGrid>
        <w:gridCol w:w="5046"/>
        <w:gridCol w:w="146"/>
        <w:gridCol w:w="222"/>
        <w:gridCol w:w="603"/>
        <w:gridCol w:w="154"/>
        <w:gridCol w:w="154"/>
        <w:gridCol w:w="222"/>
        <w:gridCol w:w="713"/>
        <w:gridCol w:w="146"/>
        <w:gridCol w:w="146"/>
        <w:gridCol w:w="211"/>
        <w:gridCol w:w="631"/>
        <w:gridCol w:w="591"/>
      </w:tblGrid>
      <w:tr>
        <w:trPr/>
        <w:tc>
          <w:tcPr>
            <w:tcW w:w="5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INB-100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INB-200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INB-400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expenses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Facility-related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Research and development expenses were $5.5 million for the six months ended June 30, 2025, compared to $10.1 million for the comparable prior year period. These amounts include non-cash items such as SBC and depreciation of $1.1 million. The decrease of $4.6 million was primarily due to a $2.6 million decrease in personnel-related costs, including salaries and SBC as a result of the decrease in our headcount. Direct clinical costs decreased by $2.0 million due to decreased costs for INB-200 and INB-400.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were $5.4 million for the six months ended June 30, 2025, compared to $7.3 million for the comparable prior year period. These amounts include non-cash items such as SBC and depreciation of $1.2 million. The decrease of $1.9 million was primarily due to a decrease in personnel-related costs, including SBC, cost savings related to directors' and officers' insurance premiums and a reduction in professional services.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was $0.2 million for the six months ended June 30, 2025 and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funded our operations primarily through the sale of equity and equity-linked securities, including through our IPO, follow-on offering, our ATM program and the multiple private placements. Through June 30, 2025, we have raised an aggregate of $139.6 million of gross proceeds from the sale of our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2025, we had cash of $13.2 million. Our current plan of operation is to execute our business strategy, by advancing clinical development of INB-100, and progressing our other product candidates, including our preclinical pipeline and strengthening our internal research and development capabilities. Additionally, we are actively seeking additional funding and potential collaborative partners for INB-400 and our earlier stage assets. Based on this business strategy, our existing cash as of June 30, 2025 is only expected to fund the projected operating expenses and capital expenditure requirements into June 2026. To continue to fund the operations of the Company beyond this time period, management has developed plans, which primarily consist of raising additional capital through some combination of equity and/or debt offerings, including through ATM offerings and private placements of securities, and identifying strategic collaborations, licensing or other arrangements to support development of the Company’s product candidates. If we are unable to raise capital when needed or on acceptable terms, we could be forced to delay, reduce, or explore other strategic options for our research and development programs or other opportunities, or even terminate our operations. If we do not obtain additional financing and are required to terminate our operations, our stockholders will lose all or a part of their investment.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Warrant Exercises and Exchanges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2025, the Company entered into privately negotiated letter agreements with certain holders of outstanding Series A warrants and Series B warrants (the “Participating Holders”) to (i) exercise, for cash, 239,293 Series A warrants and 71,403 Series B warrants for the purchase of an aggregate of 310,696 shares of common stock, in each case at a reduced exercise price of (a) $5.53 per share for Participating Holders who are directors or executive officers of the Company and (b) $5.35 per share for all other Participating Holders (the “Warrant Exercises”) and (ii) exchange certain Series A warrants and Series B warrants for 41,014 pre-funded warrants (the “2025 Pre-Funded Warrants”), in each case at a reduced exercise price of (a) $5.53 per share for Participating Holders who are directors or executive officers of the Company and (b) $5.35 per share for all other Participating Holders (the “Warrant Exchanges”), for aggregate net proceeds of $1.9 million. See Note 7, Warrants, in our unaudited condensed financial statements contained elsewhere in this Quarterly Report for additional information.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Stock Purchase Agreement Amendment and Series B Warrant Amendment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April 2025, we entered into an Amendment No. 1 (the “SPA Amendment”) to Securities Purchase Agreement, dated September 30, 2024 (the “2023 Purchase Agreement”), to amend the restrictions on certain equity sales by us set forth in the 2023 Purchase Agreement. In consideration for the SPA Amendment, we entered into amendments with certain holders of the Series B warrants to reduce the exercise price from $45.00 to $13.50 per share (the “Amended Series B warrants”), to the extent such warrants were not exercised pursuant to the Warrant Exercises or exchanged pursuant to the Warrant Exchanges.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Outstanding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2025, we had issued and outstanding 248,382 pre-funded warrants, 129,296 Series A warrants (subject to amendment as described below), 303,574 Series B Warrants, and 997,638 Series C warrants. In April 2025, the Company entered into privately negotiated letter agreements with certain holders of outstanding Series A warrants and Series B warrants (the “Participating Holders”) to (i) exercise, for cash, 239,293 Series A warrants and 71,403 Series B warrants for the purchase of an aggregate of 310,696 shares of common stock and (ii) exchange certain Series A warrants and Series B warrants for 41,014 Pre-Funded Warrants, for aggregate net proceeds of $1.9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After giving effect to the Warrant Exchanges and Warrant Exercises, we may receive up to an aggregate of $9.8 million of gross proceeds from the exercise of the Series A warrants, Series C warrants and pre-funded warrants, assuming the exercise in full of all of such warrants for cash. Further, after giving effect to the Warrant Exchanges and Warrant Exercises, if not otherwise redeemed by us, we may also receive aggregate proceeds of up to $4.1 million from the exercise of our outstanding Amended Series B warrants. There is no assurance, however, that we will receive any additional proceeds from these warrants or that any additional financing or any revenue-generating collaboration will be available, when needed. See Note 7, Warrants, in our unaudited condensed financial statements contained elsewhere in this Quarterly Report for additional information on our outstanding warrants.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ATM Program</w:t>
      </w:r>
    </w:p>
    <w:p>
      <w:pPr>
        <w:pStyle w:val="TextBody"/>
        <w:bidi w:val="0"/>
        <w:spacing w:before="120" w:after="283"/>
        <w:jc w:val="both"/>
        <w:rPr>
          <w:rFonts w:ascii="Times New Roman" w:hAnsi="Times New Roman"/>
          <w:sz w:val="20"/>
        </w:rPr>
      </w:pPr>
      <w:r>
        <w:rPr>
          <w:rFonts w:ascii="Times New Roman" w:hAnsi="Times New Roman"/>
          <w:color w:val="000000"/>
          <w:sz w:val="20"/>
        </w:rPr>
        <w:t>In November 2022, we filed a shelf registration statement on Form S-3 (File No. 333-268288), or the Shelf Registration Statement, with the SEC, which permits the offering, issuance and sale by us of up to a maximum aggregate offering price of $200 million of our securities, of which $50 million of common stock may be issued and sold pursuant to an ATM program. We entered into a Controlled Equity Offering</w:t>
      </w:r>
      <w:r>
        <w:rPr>
          <w:rFonts w:ascii="Times New Roman" w:hAnsi="Times New Roman"/>
          <w:color w:val="000000"/>
          <w:sz w:val="13"/>
        </w:rPr>
        <w:t>SM</w:t>
      </w:r>
      <w:r>
        <w:rPr>
          <w:rFonts w:ascii="Times New Roman" w:hAnsi="Times New Roman"/>
          <w:color w:val="000000"/>
          <w:sz w:val="20"/>
        </w:rPr>
        <w:t xml:space="preserve"> sales agreement (the "Sales Agreement") with Cantor Fitzgerald and Truist, under which Cantor Fitzgerald and Truist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agreed to act as our sales agents to sell shares of our common stock, from time to time, through the ATM program. On March 8, 2024, the Company delivered a termination notice to Truist, removing them as a sales agent under the ATM program. Such termination became effective on March 14, 2024. During the three and six months ended June 30, 2025, we sold an aggregate of 1,058,861 and 1,304,289 shares of our common stock under the ATM program, resulting in net proceeds of approximately $3.6 million and $7.4 million after deducting underwriting discounts.</w:t>
      </w:r>
    </w:p>
    <w:p>
      <w:pPr>
        <w:pStyle w:val="TextBody"/>
        <w:bidi w:val="0"/>
        <w:spacing w:before="240" w:after="283"/>
        <w:jc w:val="both"/>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expenses to increase substantially contingent on additional funding in connection with our ongoing activities, particularly as we advance the preclinical activities and clinical trials of our product candidates. Our primary uses of capital are, and we expect will continue to be, compensation and related expenses, third-party clinical research and development services, the costs of manufacturing our clinical and preclinical product candidates, clinical costs, legal and other regulatory expenses and general overhead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timing, progress, costs, and results of discovery, preclinical development, and clinical trials for our current and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of clinical trials required for regulatory approval of our current and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timing, and outcome of regulatory review of any of our current and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manufacturing clinical and commercial supplies of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manufacturing, marketing, sales, and distribution, for any of our product candidates for which we receive marketing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revenue, if any, received from commercial sales of our product candidates for which we receive marketing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expenses to attract, hire and retain skilled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of operating as a public company;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establish a commercially viable pricing structure and obtain approval for coverage and adequate reimbursement from third-party and government payers;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addressing any potential interruptions, delays and/or cost increases resulting from public health crises, increased interest rates and geopolitical tensions, such as the Israel-Hamas war and the Russia-Ukraine war;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economies and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effect of competing technological and market developments;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invest in businesses, products and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change in the outcome of any of these variables with respect to the development of a product candidate could mean a significant change in the costs and timing associated with the development of that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inflationary factors, such as increases in the cost of our clinical trial materials and supplies, interest rates and overhead costs may adversely affect our operating results. Although we do not believe that inflation has had a material impact on our financial position or results of operations to date, we may experience increases in the near future (especially if inflation rates rise) on our operating costs, including our labor costs and research and development costs, due to supply chain constraints, consequences associated with geopolitical tensions such as the Israel-Hamas war and the Russia-Ukraine war, any tariffs enacted by the U.S. government and employee availability and wage increases, which may result in additional stress on our working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inception, we have not generated any product revenue and have incurred net losses and negative cash flows from our operations. We have not yet commercialized any of our product candidates, which are in various phases of preclinical and 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and we do not expect to generate revenue from sales of any products for the foreseeable future, if at all. It is likely that we will seek third-party collaborators for the future commercialization of our product candidates that are approved for marketing. However, we may seek to commercialize our products at our own expense, which would require us to incur significant additional expenses for marketing, sales, manufacturing and distribution.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Until such time as we can generate significant revenue from product sales, if ever, we expect to continue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debt securities, it may result in dilution to our existing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increases in inflation expectations and the recent disruptions to, and volatility in, the credit and financial markets in the United States and worldwide resulting from uncertain economic conditions including inflation expectations and interest rates, uncertainties arising as a result of the change in U.S. federal administration, bank failures, public health crises such as the COVID-19 pandemic, any potential for avian influenza or similar outbreak and other geopolitical tensions, such as the Israel-Hamas war and the Russia-Ukraine war. If we are unable to raise additional funds through equity or debt financings when needed, we may be required to delay, limit, reduce or explore other strategic options for our product development or future commercialization efforts or grant rights to develop and market products or product candidates that we would otherwise prefer to develop and market ourselves.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material cash requirements as of June 30, 2025 included operating lease commitments, including the lease of our current headquarters office in New York, New York, laboratory and office space in Birmingham, Alabama and a manufacturing service agreement with a third party to engage in research of cell therapy products. In April 2025, we terminated our operating lease for additional unutilized office space in Birmingham, Alabama. We paid a one-time termination fee of $0.1 million, and will pay five monthly payments of $20,000, beginning June 1, 2025. See Note 12, Equipment and Facility Leases, for additional information. As of June 30, 2025, we had fixed lease payment obligations of $3.8 million, with $1.4 million payable within 12 months.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disclosed above, we have no long-term debt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sources and uses of cash for each of the periods below (in thousands): </w:t>
      </w:r>
    </w:p>
    <w:p>
      <w:pPr>
        <w:pStyle w:val="TextBody"/>
        <w:bidi w:val="0"/>
        <w:jc w:val="left"/>
        <w:rPr/>
      </w:pPr>
      <w:r>
        <w:rPr/>
        <w:t> </w:t>
      </w:r>
    </w:p>
    <w:tbl>
      <w:tblPr>
        <w:tblW w:w="6674" w:type="dxa"/>
        <w:jc w:val="left"/>
        <w:tblInd w:w="0" w:type="dxa"/>
        <w:tblLayout w:type="fixed"/>
        <w:tblCellMar>
          <w:top w:w="28" w:type="dxa"/>
          <w:left w:w="28" w:type="dxa"/>
          <w:bottom w:w="28" w:type="dxa"/>
          <w:right w:w="28" w:type="dxa"/>
        </w:tblCellMar>
      </w:tblPr>
      <w:tblGrid>
        <w:gridCol w:w="4216"/>
        <w:gridCol w:w="146"/>
        <w:gridCol w:w="211"/>
        <w:gridCol w:w="631"/>
        <w:gridCol w:w="166"/>
        <w:gridCol w:w="146"/>
        <w:gridCol w:w="211"/>
        <w:gridCol w:w="73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operating activities was $7.0 million during the six months ended June 30, 2025, primarily due to our net loss of $10.6 million, partially offset by non-cash charges of $3.2 million and changes in operating assets and liabilities of $0.3 million. Increases in our operating assets and liabilities consisted primarily of $0.9 million in prepaid expenses and other current assets, partially offset by decreases of $0.5 million in accrued expenses and other current liabilities relating primarily to accrued compensation, accrued clinical trials, and accrued legal, and $0.1 million in operating lease liabilities. Non-cash charges consisted primarily of $1.8 million in stock-based compensation, $0.9 million in amortization of right-of-use assets associated with our operating and finance leases for the period and $0.5 million of depreciation.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used in operating activities was $14.0 million during the six months ended June 30, 2024, primarily due to our net loss of $17.2 million and changes in operating assets and liabilities of $0.5 million, partially offset by non-cash charges of $3.7 million. Decreases in our operating assets and liabilities consisted primarily of $1.4 million in accrued expenses and other current liabilities relating primarily to accrued compensation, accrued clinical trials, and accrued legal and $0.5 million in long-term operating liabilities,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partially offset by an increase of $0.9 million in prepaid expenses and other current assets and $0.5 million in accounts payable. Non-cash charges consisted primarily of $2.4 million in stock-based compensation due to increased employee headcount resulting from growth in our business, $0.8 million in amortization of right-of-use assets associated with our operating and finance leases for the period and $0.5 million of depreciation.</w:t>
      </w:r>
    </w:p>
    <w:p>
      <w:pPr>
        <w:pStyle w:val="TextBody"/>
        <w:bidi w:val="0"/>
        <w:spacing w:before="240" w:after="283"/>
        <w:jc w:val="both"/>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investing activities was $- million during the six months ended June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investing activities was $0.2 million during the six months ended June 30, 2024, primarily due to purchases of property and equipment and construction in progress activity in relation to capitalized software.</w:t>
      </w:r>
    </w:p>
    <w:p>
      <w:pPr>
        <w:pStyle w:val="TextBody"/>
        <w:bidi w:val="0"/>
        <w:spacing w:before="240" w:after="283"/>
        <w:jc w:val="both"/>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financing activities was $9.2 million during the six months ended June 30, 2025, primarily due to $7.4 million in net proceeds received from our ATM program, $2.3 million in warrants exercised, partially offset by $0.5 million in principal payments of finance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financing activities was $3.1 million during the six months ended June 30, 2024, primarily due to proceeds received from the issuance and sale of common stock pursuant to the ATM program of $3.6 million, partially offset by principal payments of $0.4 million on our leases and $0.1 million of issuance costs.</w:t>
      </w:r>
    </w:p>
    <w:p>
      <w:pPr>
        <w:pStyle w:val="TextBody"/>
        <w:bidi w:val="0"/>
        <w:spacing w:before="240" w:after="283"/>
        <w:jc w:val="both"/>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Management’s Discussion and Analysis of Financial Condition and Results of Operations is based on our condensed financial statements, which are prepared in accordance with accounting principles generally accepted in the United States of America. The preparation of our financial statements requires us to make estimates, assumptions and judgments that affect the reported amounts of assets, liabilities, costs and expenses. We base our estimates and assumptions on historical experience, known trends and other factors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In making estimates and judgments, management employs critical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listed below our critical accounting policies that we believe to have the greatest potential impact on our financial statements. Historically, our assumptions, judgments and estimates relative to our critical accounting estimates have not differed materially from actual results. </w:t>
      </w:r>
    </w:p>
    <w:p>
      <w:pPr>
        <w:pStyle w:val="TextBody"/>
        <w:bidi w:val="0"/>
        <w:spacing w:before="240" w:after="283"/>
        <w:jc w:val="both"/>
        <w:rPr>
          <w:rFonts w:ascii="Times New Roman" w:hAnsi="Times New Roman"/>
          <w:sz w:val="20"/>
        </w:rPr>
      </w:pPr>
      <w:r>
        <w:rPr>
          <w:rFonts w:ascii="Times New Roman" w:hAnsi="Times New Roman"/>
          <w:b/>
          <w:color w:val="000000"/>
          <w:sz w:val="20"/>
        </w:rPr>
        <w:t>Critical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Our significant accounting policies are more fully described in Note 2 to our financial statements located elsewhere in this Quarterly Report on Form 10-Q. We have listed below our critical accounting estimates and accounting policies that we believe to have the greatest potential impact on our financial statements. Historically, our assumptions, judgments and estimates relative to our critical accounting estimates have not differed materially from actual results.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expense all costs incurred in performing research and development activities. Research and development expenses include salaries and benefits, stock-based compensation expense, lab supplies and facility costs, as well as fees paid to nonemployees and entities that conduct certain research and development activities on our behalf and expenses incurred in connection with license agreements. Non-refundable advance payments for goods or services that will be used for rendered or future research and development activities are deferred and amortized over the period that the goods are delivered, or the related services are performed, subject to an assessment of recoverability.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part of the process of preparing our financial statements, we are required to estimate our accrued research and development expenses. We make estimates of our accrued expenses as of each balance sheet date in the financial statements based on facts and circumstances known to us at that time.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particular period. To date, there have not been any material adjustments to our prior estimates of accrued research and development expenses.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measure all stock-based awards granted to employees, nonemployees and directors based on the fair value on the date of the grant and recognize compensation expense for those awards over the requisite service period, which is generally the vesting period of the respective award. We account for our stock-based compensation as an expense in the statements of operations based on the awards’ grant date fair values. We account for forfeitures as they occur by reversing any expense recognized for unvested awards. We estimate the fair value of options granted using the Black-Scholes option-pricing model. The Black-Scholes option-pricing model requires inputs based on certain subjective assumptions, including (a) the expected stock price volatility, (b) the calculation of expected term of the award, (c) the risk-free interest rate and (d) expected dividends. Due to the lack of company-specific historical and implied volatility data, we have based our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us, including stage of product development and life science industry focus. We use the simplified method as allowed by the SEC Staff Accounting Bulletin (SAB) No. 107, Share-Based Payment, to calculate the expected term for options granted to employees, as we do not have sufficient historical exercise data to provide a reasonable basis upon which to estimate the expected term. The risk-free interest rate is based on a treasury instrument whose term is consistent with the expected term of the stock options. The expected dividend yield is assumed to be zero as we have never paid dividends and have no current plans to pay any dividends on our common stock. </w:t>
      </w:r>
    </w:p>
    <w:p>
      <w:pPr>
        <w:pStyle w:val="TextBody"/>
        <w:bidi w:val="0"/>
        <w:spacing w:before="240" w:after="283"/>
        <w:jc w:val="both"/>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During the six months ended June 30, 2025, we adopted Accounting Standards Update (“ASU”)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adopted ASU 2023-07 effective January 1, 2025. See Note 13, Segments, in the accompanying notes to the condensed financial statements for further detail. Additionally, there is no pending accounting guidance that we expect to have a material impact on the condensed financial statements.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2023, the Financial Accounting Standards Board ("FASB") issued Accounting Standards Update ("ASU")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expands the disclosures required for income taxes. This ASU is effective for fiscal years beginning after December 15, 2024, with early adoption permitted. We are currently evaluating the impact of adopting ASU 2023-09 and we will adopt it for fiscal year ending December 31, 2025.</w:t>
      </w:r>
    </w:p>
    <w:p>
      <w:pPr>
        <w:pStyle w:val="TextBody"/>
        <w:bidi w:val="0"/>
        <w:spacing w:before="240" w:after="283"/>
        <w:jc w:val="both"/>
        <w:rPr>
          <w:rFonts w:ascii="Times New Roman" w:hAnsi="Times New Roman"/>
          <w:sz w:val="20"/>
        </w:rPr>
      </w:pPr>
      <w:r>
        <w:rPr>
          <w:rFonts w:ascii="Times New Roman" w:hAnsi="Times New Roman"/>
          <w:b/>
          <w:color w:val="000000"/>
          <w:sz w:val="20"/>
        </w:rPr>
        <w:t>Emerging Growth Company and Smaller Reporting Company Status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qualify as an emerging growth company ("EGC") as defined in the Jumpstart Our Business Startups Act ("JOBS Act"). As an EGC,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take advantage of these exemptions until December 31, 2026, or such earlier time that we are no longer an emerging growth company. We would cease to be an EGC earlier if we have more than $1.235 billion in annual revenue, we have more than $700.0 million in market value of our stock held by non-affiliates or we issue more than $1.0 billion of non-convertible debt securities over a three-year period. For so long as we remain an EGC, we are permitted, and intend, to rely on exemptions from certain disclosure requirements that are applicable to other public companies that are not EGCs. We may choose to take advantage of some, but not all, of the available exemptions.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Therefore, the reported results of operations contained in our financial statements may not be directly comparable to those of other public companies.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also a "smaller reporting company," and we may continue to be a smaller reporting company until either (i) the market value of our stock held by non-affiliates is less than $250.0 million or (ii) our annual revenue is less than $100.0 million during the most recently completed fiscal year and the market value of our stock held by non-affiliates is less than $700.0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and, similar to EGCs, smaller reporting companies have reduced disclosure obligations regarding executive compensation.</w:t>
      </w:r>
    </w:p>
    <w:p>
      <w:pPr>
        <w:pStyle w:val="TextBody"/>
        <w:bidi w:val="0"/>
        <w:spacing w:before="240" w:after="283"/>
        <w:jc w:val="both"/>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smaller reporting company as defined by Item 10 of Regulation S-K and are not required to provide the information otherwise required under this item. </w:t>
      </w:r>
    </w:p>
    <w:p>
      <w:pPr>
        <w:pStyle w:val="TextBody"/>
        <w:bidi w:val="0"/>
        <w:spacing w:before="240" w:after="283"/>
        <w:jc w:val="both"/>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June 30, 2025, our disclosure controls and procedures were effective at the reasonable assurance level.</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Rules 13a-15(d) and 15d-15(d) of the Exchange Act that occurred during the six months ended June 30, 2025,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both"/>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various legal proceedings arising in the ordinary course of our business. We are not currently a party to any material legal proceedings that we believe could have a material adverse effect on our business, operating results or financial condition.</w:t>
      </w:r>
    </w:p>
    <w:p>
      <w:pPr>
        <w:pStyle w:val="TextBody"/>
        <w:bidi w:val="0"/>
        <w:spacing w:before="240" w:after="283"/>
        <w:jc w:val="both"/>
        <w:rPr>
          <w:rFonts w:ascii="Times New Roman" w:hAnsi="Times New Roman"/>
          <w:sz w:val="20"/>
        </w:rPr>
      </w:pPr>
      <w:bookmarkStart w:id="14" w:name="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Investing in our common stock involves a high degree of risk. You should carefully consider the risks described below, as well as the other information in this Quarterly Report on Form 10-Q, including our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prospects. In such an event, the market price of our common stock could decline and you may lose all or part of your investment.</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Summary of Selected Risk Factors Associated with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summary of the principal risks associated with an investment in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is substantial doubt regarding our ability to continue as a going concern. We will require substantial additional funding to finance our operations through regulatory approval, and if we are unable to raise capital, we could be forced to delay, reduce or explore other strategic options for certain of our development programs, or even terminate our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Raising additional capital may cause dilution to our stockholders, restrict our operations or require us to relinquish rights to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sale of a substantial number of shares of our common stock may cause the price of our common stock to decline.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outstanding warrants may not be exercised and we may not receive any cash proceeds from any exercise of warrants.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report of our independent registered public accounting firm for the years ended December 31, 2024 and 2023 contains an explanatory paragraph regarding substantial doubt about our ability to continue as a going concern.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incurred significant operating losses since inception and anticipate that we will continue to incur substantial operating losses for the foreseeable future and may never achieve or maintain profitability.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raise capital may be limited by applicable laws and regulations.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 limited operating history and have no products approved for commercial sale, which may make it difficult for you to evaluate the success of our business to date and to assess our future viability.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dependent on the successful clinical development, regulatory approval and commercialization of our gamma-delta T cell product candidates. If we are not able to obtain required regulatory approvals, we will not be able to commercialize our product candidates and our ability to generate product revenue will be adversely affected.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Interim,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DeltEx product candidates utilize novel approaches to cell therapies, including cancer treatment, which presents significant challenges to successfully develop, manufacture and commercialize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clinical and commercial utility of our DeltEx platform is uncertain and may never be realized. Additionally, certain aspects of the function and production of gamma-delta T cells are poorly understood or currently unknown and may only become known through further preclinical and clinical testing.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product candidate development involves a lengthy and expensive process with uncertain outcomes. We may incur additional costs and encounter substantial delays or difficulties in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encounter difficulties in enrolling patients in our clinical trials, our clinical development activities could be delayed or otherwise adversely affected.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able to file investigational new drug ("IND") applications to commence additional clinical trials on the timelines we expect, and even if we are able to, the FDA may not permit us to proceed.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 of a product candidate intended for use in combination with an already approved therapy may present increased complexity and more or different challenges than development of a product candidate for use as a single agent or monotherapy. Public opinion and scrutiny of our competitors, cell-based immunotherapy and genetic modification approaches may impact public perception of our company and product candidates, or may adversely affect our ability to conduct our business, raise additional capital and our business plans.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face significant competition, and many of our competitors have substantially greater experience and resources than we have.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manufacturing process is complex, and we may encounter difficulties in production, which would delay or prevent our ability to provide a sufficient supply of our product candidates for future clinical trials or commercialization, if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rely on third-party contractors or contract development manufacturing organization for the manufacturing of our product candidates, and failure by those parties to adequately perform their obligations could harm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currently store our gamma-delta T cells and biologic correlative and research specimens from clinical trials and development programs and clinical lentivectors at our research and development facilities and at the facilities of our clinical and/or manufacturing partners, and any damage or loss to our storage freezers and/or facilities from natural disasters or otherwise would cause delays in replacement, and our business could suffer.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currently dependent on a single third-party supplier for manufacture of our automated manufacturing device and our lentiviral vectors. These are critical products required for the manufacturing of our product candidates, including INB-100, INB-200 and INB-400. Any damage or loss to the ability of our suppliers to deliver supplies in a timely manner could cause delays in manufacturing or our clinical trials and our business could suffer.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on third-party healthcare professionals to procure cells for manufacturing and to administer gamma-delta T cells to patients, and our business could be harmed if these third parties administer these processes and/or cells incorrectly.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Licensing of intellectual property is of critical importance to our business and involves complex legal, business and scientific issues. If we breach our license agreements with the University of Alabama at Birmingham Research Foundation, Children’s Healthcare of Atlanta, Inc. and Emory University, or any of the other agreements under which we acquired, or will acquire, the intellectual property rights to our product candidates, we could lose the ability to continue the development and commercialization of the related product.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compete in the pharmaceuticals industry depends upon our ability to attract and retain highly qualified managerial, scientific, medical and other personnel. We are highly dependent on the services of our co-founders, William Ho, our President and Chief Executive Officer ("CEO"), and Dr. Lawrence Lamb, our Chief Scientific Officer ("CSO"), and the loss of these members of our management team or other key employees could impede, delay or prevent the successful development of our product pipeline, the completion of our current and planned clinical trials, and the commercialization of our products or in-licensing or acquisition of new assets, and could negatively impact our ability to successfully implement our business plan.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(or the third parties with whom we work) actual or perceived failures to comply with applicable data privacy and security obligations, including laws, regulations, standards and other obligations could lead to regulatory investigations or actions, litigation (including class claims), fines and penalties, disruptions of our business operations, reputational harm, loss of revenue or profits, and other adverse business consequences.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compliance with the minimum required closing bid price for continued listing on the Nasdaq Capital Market.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completed a reverse stock split of our shares of common stock, which may reduce and may limit the market trading liquidity of the shares due to the reduced number of shares outstanding and may potentially have an anti-takeover effect.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Unstable market and economic conditions, including as a result of interest rate volatility, tariffs, most-favored nation ("MFN") drug pricing, inflation expectations, bank closures, public health crises or geopolitical tensions, such as the Russia-Ukraine and/or the Israel-Hamas wars, may have serious adverse consequences on our business, ability to raise capital, financial condition and share price.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Financial Position and Capital Needs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There is substantial doubt regarding our ability to continue as a going concern. We will require substantial additional funding to finance our operations, and if we are unable to raise capital, we could be forced to delay, reduce or explore other strategic options for certain of our development programs, or even terminate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existing cash of $13.2 million as of June 30, 2025 is expected to fund our operations into June 2026. We continue to deploy cash preservation to defer or reduce costs in the near term in order to preserve capital and increase financial flexibility. These cash preservation measures may impact our ability and the timing to execute our strategy. For example, in September 2024, we announced that we have suspended patient enrollment in the INB-400 Phase 2 clinical trial for newly diagnosed GBM while we explore additional funding and/or partnership opportunities and a regulatory pathway towards approval for the program. Our ability to continue as a going concern will depend on our ability to obtain additional funding, as to which no assurances can be given. We continue to analyze various alternatives, including additional debt or equity financings or other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expenses to continue to increase in connection with our ongoing activities, particularly as we conduct clinical trials of, and seek marketing approval for, our product candidates and advance our other programs. Developing pharmaceutical products, including conducting preclinical studies and clinical trials, is a very time-consuming, expensive and uncertain process that takes years to complete. Other unanticipated costs may also arise. Because the design and outcome of our ongoing and anticipated clinical trials are highly uncertain, we cannot reasonably estimate the actual amount of resources and funding that will be necessary to successfully complete the development and commercialization of any product candidate we develop. Moreover, we will need to obtain substantial additional funding in connection with our continuing operations and planned research and clinical development activities. Our future capital requirements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progress, costs and results of our ongoing preclinical studies and clinical trials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preclinical development, laboratory testing and clinical trials of other product candidates that we may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collaborations on favorable terms,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reimbursement and distribution, for any of our product candidates for which we may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revenue, if any, received from commercial sales of our product candidates for which we may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any milestone and royalty payments with respect to any approved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operating as a public company;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never generate the necessary data or results required to obtain regulatory approval in order to generate revenue from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Our ability to raise additional capital may be adversely impacted by potential worsening global economic conditions, interest rates, tariffs, MFN drug pricing, inflation expectations, the U.S. federal elections, recent disruptions to and volatility in the credit and financial markets in the United States and worldwide resulting from public health crises and geopolitical tensions, such as the Israel-Hamas war and the Russia-Ukraine war and include social media posts from prominent politicians. If we are unable to raise capital when needed or on acceptable terms, we could be forced to delay, reduce, or explore other strategic options for our research and development programs or other opportunities, or even terminate our operations. If we do not obtain additional financing and are required to terminate our operations, our stockholders will lose all or a part of their investment.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we will need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the extent that we raise additional capital, if available, through the sale of equity or convertible debt securities, including through our ATM program, your ownership interest in our company may be diluted, and the terms of these securities may include liquidation or other preferences that adversely affect your rights as a stockholder. 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raise additional capital through future collaborations, strategic alliances or third-party licensing arrangements, we may have to relinquish valuable rights to our intellectual property, future revenue streams, research programs or product candidates, or grant licenses on terms that may not be favorable to us, if at all. If we are unable to raise additional capital when needed, we may be required to delay, limit, reduce or explore other strategic options for our product candidate development or future commercialization efforts, or grant rights to develop and market product candidates that we would otherwise develop and market ourselves.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 sale of a substantial number of shares of our common stock may cause the price of our common stock to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including as a result of exercises of the outstanding warrants. If our stockholders sell, or the market perceives that our stockholders intend to sell, substantial amounts of our common stock in the public market, the market price of our common stock could decline significantly.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outstanding Series A, Series B and Series C warrants may not be exercised and we may not receive any cash proceeds from any exercise of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2025, we had 248,3824 pre-funded warrants, 129,296 Series A warrants, 303,574 Series B warrants, and 997,638 Series C warrants outstanding. The pre-funded warrants have an exercise price of $0.0001 per share. Certain of the Series A warrants, as amended (the “Amended Series A warrants”), have an exercise price of $13.50 per share. The Series B warrants have an exercise price of $13.50 per share. The Series C warrants have an exercise price of $8.10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Series A warrants are exercisable immediately. The Amended Series A warrants will expire on October 4, 2025. The Series B warrants are exercisable immediately and will expire on December 13, 2028. The Series C warrants are exercisable immediately and will expire on October 4,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receive up to an aggregate of $13.9 million from the exercise of the Series A, Series B and Series C warrants, assuming the exercise in full of all of the warrants for cash. However, we will only receive proceeds to the extent the holders of warrants elect to exercise or, in the case of the Series A warrants, if the mandatory exercise feature is triggered. We can provide no assurances as to the amount of proceeds we will receive from the exercise of warrants or whether we will receive any proceeds at all. Additionally, the warrants may, in certain circumstances, be exercised by way of a cashless exercise, meaning that the holder may not pay a cash purchase price upon exercise, but instead would receive upon such exercise the net number of shares of our common stock determined according to the formula set forth in the applicable warrant. Accordingly, we may not receive any additional funds, or any significant additional funds, upon any exercise of the warrants. To date 47,088 Series C warrants have been exercised for net proceeds of $0.4 million.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report of our independent registered public accounting firm for the years ended December 31, 2024 and 2023 contains an explanatory paragraph regarding substantial doubt about our ability to continue as a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Due to the uncertainty of our ability to meet our current operating and capital expenses, in its report on our audited annual financial statements as of and for the years ended December 31, 2024 and 2023, our independent auditors included an explanatory paragraph regarding our ability to continue as going concern. Substantial doubt about our ability to continue as a going concern may materially and adversely affect the price per share of our common stock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incurred significant operating losses since inception and anticipate that we will continue to incur substantial operating losses for the foreseeable future and may never achieve or maintain profitability.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significant operating losses since inception. Our net loss was $5.1 million and $8.7 million for the three months ended June 30, 2025 and 2024 and $10.7 million and $17.3 million for the six months ended June 30, 2025 and 2024, respectively. As of June 30, 2025, we had an accumulated deficit of $132.2 million. We expect to continue to incur significant expenses and increasing operating losses for the foreseeable future. Since inception, we have devoted substantially all of our efforts to research and preclinical and clinical development of our product candidates, organizing and staffing our company, business planning, raising capital, establishing our intellectual property portfolio and conducting clinical trials. To date, we have never obtained regulatory approval for, or commercialized, any product candidates. It could be several years, if ever, before we have a commercialized product. The net losses we incur may fluctuate significantly from quarter to quarter and year to year. We anticipate that our expenses will increase substantially if, and as,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 our current and future clinical trials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develop and advance our preclinical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regulatory and marketing approvals for any of our current and future product candidates that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our manufacturing capability, including developing our contract development and manufacturing relationships, and building our internal manufacturing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 our operational, financial, and management systems and increase personnel, including personnel to support our preclinical and clinical development, manufacturing and 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sales, marketing and distribution infrastructure in the future to commercialize any current or future product candidate for which we may obtain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to identify, discover, develop and commercialize additional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additional legal, accounting or other expenses in operating our business, including the additional costs associated with operating as a public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become and remain profitable, we must succeed in developing and eventually commercializing products that generate significant revenue. This will require us to be successful in a range of challenging activities, including completing preclinical studies and clinical trials of our current and future product candidates, obtaining regulatory approval, establishing and validating commercial-scale current good manufacturing practices ("cGMP") facilities, marketing and selling any products for which we obtain regulatory approval (including through third parties), as well as discovering or acquiring and developing additional product candidates. We are only in the preliminary stages of some of these activities. As inflation expectations remain uncertain in the United States and globally, we expect the costs of certain activities will increase. Should suppliers and consultants increase prices to cover increased wages and materials costs, we expect our expenses and cash utilization could increase substantially. We may never succeed in these activities and, even if we do, may never generate revenues that are sufficient to offset our expenses and achieve profitability.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common stock could also cause you to lose all or part of your investment.</w:t>
      </w:r>
    </w:p>
    <w:p>
      <w:pPr>
        <w:pStyle w:val="TextBody"/>
        <w:bidi w:val="0"/>
        <w:spacing w:before="240" w:after="283"/>
        <w:jc w:val="both"/>
        <w:rPr>
          <w:rFonts w:ascii="Times New Roman" w:hAnsi="Times New Roman"/>
          <w:sz w:val="20"/>
        </w:rPr>
      </w:pPr>
      <w:r>
        <w:rPr>
          <w:rFonts w:ascii="Times New Roman" w:hAnsi="Times New Roman"/>
          <w:b/>
          <w:i/>
          <w:color w:val="000000"/>
          <w:sz w:val="20"/>
        </w:rPr>
        <w:t>Our ability to raise capital may be limited by applicable laws and regulations.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Using a shelf registration statement on Form S-3 to raise additional capital generally takes less time and is less expensive than other means, such as conducting an offering under a Form S-1 registration statement. However, our ability to raise capital using a shelf registration statement may be limited by, among other things, SEC rules and regulations. Under SEC rules and regulations, if our public float (the market value of our common stock held by non-affiliates) is less than $75.0 million, then the aggregate market value of securities sold by us or on our behalf under our Form S-3 in any 12-month period is limited to an aggregate of one-third of our public float. As our public float is currently less than $75.0 million, we are currently subject to this limitation. If our ability to utilize a Form S-3 registration statement for a primary offering of our securities continues to be limited to one-third of our public float, we may need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conduct such an offering pursuant to an exemption from registration under the Securities Act or under a Form S-1 registration statement, which would increase the cost of raising additional capital relative to utilizing a Form S-3 registration statement.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a limited operating history and have no products approved for commercial sale, which may make it difficult for you to evaluate the success of our business to date and to assess our future viability.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early clinical-stage biotechnology company with a limited operating history upon which you can evaluate our business and prospects. Our operations to date have been limited to financing and staffing our company, developing our technology, identifying and developing our product candidates, undertaking preclinical studies, initiating and conducting clinical trials for INB-400, INB-200 and INB-100, business planning and raising capital. Other than INB-400, INB-200 and INB-100, all of our ongoing research programs are still in the preclinical or research stage of development, and the risk of failure in the biopharmaceutical industry for programs or products candidates at such stage of development is even higher than those in the clinical stage of development. We have not yet demonstrated an ability to successfully conduct or complete any clinical trials, including large-scale, multi-center pivotal clinical trials, obtain marketing approval, manufacture a clinical or commercial scale product or arrange for a third party to do so on our behalf or conduct sales and marketing activities necessary for successful product commercialization. Typically, it takes about six to ten years to develop a new drug from the time it enters Phase 1 clinical trials to when it is approved for treating patients, but in many cases it may take longer. Consequently, predictions about our future success or viability may not be as accurate as they could be if we had a longer operating history or a history of successfully developing and commercializing genetic medicine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as a business with a limited operating history, we may encounter unforeseen expenses, difficulties, complications, delays and other known and unknown factors. We will eventually need to transition from a company with a research and clinical focus to a company, if any of our product candidates are approved, capable of supporting commercial activities. We may not be successful in such a transition.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the Development of Our Product Candidates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dependent on the successful clinical development, regulatory approval and commercialization of our gamma-delta T cell product candidates. If we are not able to obtain required regulatory approvals, we will not be able to commercialize our product candidates and our ability to generate product revenue will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is dependent on our ability to successfully complete development of, obtain regulatory approval for, and, if approved, successfully commercialize our product candidates in a timely manner. We may face unforeseen challenges in our product candidate development strategy, and we can provide no assurances that our product candidate or clinical trial design will prove to be effective, that we will be able to take advantage of abbreviated regulatory pathways for any of our product candidates, or that we will ultimately be successful in our future clinical trials. We expect that a substantial portion of our efforts and expenses over the next several years will be devoted to the development of our lead product candidate, INB-100, in our ongoing clinical trials. Our product candidates are in early stages of development and may never be commercialized. Additionally, we announced in September 2024 that we have suspended patient enrollment in the INB-400 Phase 2 clinical trial for newly diagnosed GBM while we explore additional funding and/or partnership opportunities, if any, for the program. We would require substantial additional funds to recommence this trial.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anticipate seeking initial regulatory approvals in the United States and the European Union but may in the future submit applications for the regulatory approval of one or more of our product candidates to additional foreign regulatory authorities. We have not applied or obtained regulatory approval for any product candidate in the United States or abroad, and it is possible that neither our current product candidates nor any product candidates we may seek to develop in the future will obtain regulatory approval. Neither we nor any of our partners are permitted to market any of our product candidates in the United States or abroad until we receive regulatory approval from the FDA or the applicable foreign regulatory agency.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product candidates will require additional clinical and non-clinical development, regulatory review and approval in multiple jurisdictions, substantial investment, access to sufficient commercial manufacturing capacity and significant marketing efforts before they can be successfully commercialized. Prior to obtaining approval to commercialize any product candidate in the United States or abroad, we must demonstrate with substantial evidence from well-controlled clinical trials, and to the satisfaction of the FDA or comparable foreign regulatory authorities, that such product candidate is safe and effective for its intended uses. Results from preclinical studies and clinical trials can be interpreted in different ways. Even if we believe that the preclinical or clinical data for our product candidates are promising, such data may not be sufficient to support approval by the FDA and other regulatory authorities. The FDA may also require us to conduct additional preclinical studies, assay development or clinical trials for our product candidates either pre- or post-approval, or it may object to elements of our clinical development program, requiring their alteration. We may also decide to modify clinical protocols or procedures in future clinical trials based on clinical and experimental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the large number of products in development, only a small percentage successfully complete the FDA or comparable foreign regulatory authorities’ approval processes and are commercialized. The lengthy approval or marketing authorization process as well as the unpredictability of future clinical trial results may result in our failing to obtain regulatory approval or marketing authorization to market our product candidates, which would significantly harm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 candidates could fail to receive regulatory approval from the FDA or a comparable foreign regulatory authority for many reasons, including,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disagreement with the design or conduct of any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demonstrate to the satisfaction of regulatory agencies that our product candidates are safe and effective, or have a positive benefit/risk profile for its proposed indication;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of clinical trials to meet the level of statistical significance required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disagreement with our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insufficiency of data collected from clinical trials of our product candidates to support the submission and filing of a Biologics License Application ("BLA") or other submission or to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obtain approval of our manufacturing processes or facilities of third-party manufacturers with whom we contract for clinical and commercial supplies or our own manufacturing facility;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approval policies or regulations that render our preclinical and clinical data insufficient for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any delay in, or termination of, our clinical trials will delay the submission of a BLA to the FDA or other similar applications with other relevant foreign regulatory authorities and, ultimately, our ability to commercialize our product candidates, if approved, and generate 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eventually complete clinical testing and receive approval of a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because all of our product candidates are based on the same core gamma-delta T cell technology, if any of our product candidates encounter safety or efficacy problems, developmental delays or regulatory issues or other problems including the failure to demonstrate comparability or equivalence, these could impact the development plans for our other product candidates. Our failure to timely complete clinical trials, obtain regulatory approval or, if approved, commercialize our product candidates could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product candidates are in early stages of development, and therefore they will require extensive additional preclinical and clinical testing. Success in preclinical studies or early-stage clinical trials may not be indicative of results in future clinical trials and we cannot assure you that any ongoing, planned or future clinical trials will lead to results sufficient for the necessary regulatory approvals.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our product candidates are in early stages of development, they will require extensive preclinical and clinical testing. INB-200 and INB-100 are our only product candidates currently in clinical trials. In September 2024, we announced that we have suspended patient enrollment in the INB-400 Phase 2 clinical trial for newly diagnosed GBM while we explore additional funding and/or partnership opportunities for the program, if any. Success in preclinical testing and early-stage clinical trials does not ensure that later clinical trials and/or product candidate will generate the same results or otherwise provide adequate data to demonstrate the efficacy, safety and equivalency of a product candidate. Preclinical studies and Phase 1 clinical trials are primarily designed to test safety, to study pharmacokinetics and pharmacodynamics and to understand the side effects of product candidates at various doses and schedules. Success in preclinical studies and earlier clinical trials does not ensure that later efficacy trials will be successful, nor does it predict final results. Our product candidates may fail to show the desired safety and efficacy in clinical development despite positive results in preclinical studies or even if they successfully advance through earlier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example, although we have undertaken Phase 1 clinical trials for INB-200 and INB-100, and have determined the recommended RP2D for the Phase 2 trial of INB-100, the FDA has not yet made any determination regarding safety and efficacy of either product candidate in the targeted indications. Further, our novel approaches to immune cell therapies are unproven and as such, the cost and time needed to develop our product candidates is difficult to predict and our efforts may not be successful. If we do not observe favorable results in clinical trials of our product candidates, we may decide to delay or abandon clinical development of such product candidate. Any such delay or abandonment could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 design of a clinical trial can determine whether its results will support approval of a product, and flaws in the design of a clinical trial may not become apparent until the clinical trial is well advanced. As an organization, we have limited experience designing clinical trials and may be unable to design and execute a clinical trial to support regulatory approval. Many companies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pharmaceutical and biotechnology industries have suffered significant setbacks, including failure in late-stage clinical trials even after achieving promising results in preclinical testing and earlier clinical trials. Data obtained from preclinical and clinical activities are subject to varying interpretations, which may delay, limit or prevent regulatory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we cannot predict with any certainty if or when we might submit a BLA for regulatory approval for any of our product candidates or whether any such BLA will be accepted for review by the FDA, or whether any BLA will be approved upon review. Even if our clinical trials are completed as planned, we cannot be certain that their results will support our proposed indications.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and effective for their proposed uses. This failure could cause us to abandon a product candidate and may delay development of other product candidates. Any delay in, or termination of, our clinical trials will delay and possibly preclude the filing of any BLAs with the FDA and, ultimately, our ability to commercialize our product candidates and generate product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gamma-delta T-cell engager program (γδ TCE), INB-600, currently in preclinical development, is subject to significant risks and uncertainties that could materially impact development of this platform and impact our results, timelines, financing or business objectives. The development is early and preclinical and the work to bring a TCE through IND-enabling develop and into clinical development encompasses many critical processes including cloning into optimized GMP compliant vector and cell systems, scale-up, generation of transient or stable cell lines for production, GMP manufacturing and large-scale production presents complex scientific and technical challenges. This includes the risk that the T-cell engager’s properties, such as binding affinity or specificity, may not function as anticipated when transitioning from preclinical systems to larger-scale production system. Additionally, achieving sufficient purity during the purification process to meet stringent regulatory standards for clinical trials poses a significant risk, as difficulties in removing impurities or ensuring product stability could lead to manufacturing delays or failures. Furthermore, in IND-enabling animal models, there is a risk that the T-cell engager may not demonstrate the anticipated efficacy or may exhibit toxicity not previously identified in in vitro testing, potentially due to differences in biological systems or unforeseen off-target effects. Advancing to clinical trials introduces additional uncertainties, including challenges in obtaining regulatory approvals, potential safety or efficacy issues, difficulties in patient recruitment, and the complexities of trial execution. Failure to successfully address these risks could delay or prevent the progression of our T-cell engager into clinical development.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publish interim, "topline" or preliminary data from our clinical trials. Interim, "topline" or preliminary data from clinical trials that we may complete are subject to the risk that one or more of the clinical outcomes may materially change as patient enrollment continues and more patient data become available. Interim, "topline" and preliminary data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Differences between interim, "topline" and preliminary data and final data could significantly harm our business prospects and may cause the trading price of our common stock to fluctuate significantly.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DeltEx product candidates utilize novel approaches to cell therapies, including cancer treatment, which presents significant challenges to successfully develop, manufacture and commercialize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our product candidates represent a novel approach to immunotherapy, including cancer treatment, and we have concentrated significant research and development efforts to date developing our INB-100, INB-200 and INB-400 product candidates, as well as our additional drug-resistant immunotherapy ("DRI") gamma-delta T cell preclinical product candidates. Gamma-delta T cell immunotherapy is a newly emerging field and our approaches, including genetic modification and DeltEx DRI gamma-delta T cells, have not been extensively tested over any significant period. We have not yet succeeded and may never succeed in demonstrating efficacy and safety for any of our product candidates in clinical trials or in obtaining marketing approval thereafter.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example, INB-100, our novel allogeneic gamma-delta T cell product candidate that we are initially developing for the treatment of patients with acute leukemia undergoing hematopoietic stem cell transplantation, is manufactured from healthy donor T cells using our proprietary manufacturing process. Allogeneic versions of cell therapy and gamma-delta T cell product candidates is an unproven field of development and is subject to particular risks that are difficult to quantify, including understanding and addressing variability in the quality and quantity of a donor’s T cells and the patient’s potential immune reaction to the foreign donor cells, which could ultimately affect safety, efficacy and our ability to produce product in a reliable and consistent manner. As such, we may be faced with unforeseen results, delays and setbacks, in addition to the other foreseeable risks and uncertainties associated with developing immune cell therapies.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we are the first company to advance a genetically modified gamma-delta T cell product candidate, INB-200, which we are currently developing for the treatment of certain solid tumors, into the clinic. The manufacture of our cell therapies involves complex processes, including, for INB-100, where blood cells are isolated from an allogeneic donor via leukapheresis, gamma-delta T cells are expanded and activated, and other cells are removed through magnetic separation and then cryopreserved. For INB-200, blood cells are isolated from the patient via leukapheresis, the gamma-delta T cells are transduced, expanded and activated, and, if required, other cells are removed through magnetic separation prior to cryopreservation.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delay or difficulties in manufacturing lentiviral vector and/or clinical supply of INB-100, INB-200 or any of our other current or future product candidates would adversely affect our business and operations. For additional details surrounding risks related to our manufacturing process, see the risks highlighted in "Risks Related to Manufacturing and our Dependence on Third Parties," including "Our manufacturing process is complex and we may encounter difficulties in production, which would delay or prevent our ability to provide a sufficient supply of our product candidates for future clinical trials or commercialization,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Advancing product candidates utilizing such novel approaches to immunotherapy creates significant challenges for us, including,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our product candidate to our specifications and in a timely manner to support our clinical trials, and, if approved,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sourcing clinical and, if approved, commercial supplies for the raw materials used to manufacture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understanding and addressing variability in the quality of a donor and/or patient’s T cells, which could ultimately affect our ability to produce our product candidates in a reliable and consistent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conditioning patients with chemotherapy or other lymphodepletion agents in advance of administering our product candidates, which may increase the risk of adverse side effects;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educating medical personnel regarding how to properly isolate cells, administer our cells and the potential side effect profile of our product candidates, such as cytokine release syndrome, neurotoxicity, graft versus host disease, prolonged cytopenia, infections, hygromas and neutropenic sepsis,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enrolling sufficient numbers of patients in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training a sufficient number of technicians in how to properly manufacture our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 reliable, safe, effective and cost-effective means of consistently expanding and manufacturing our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understanding and addressing variability in demand for manufacturing and its impact on capacity utilization of available infrastructure and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 reliable, safe and effective means of genetically modifying our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submitting applications for and obtaining regulatory approval, as the FDA and other regulatory authorities have limited experience with commercial development of immunotherapies for cancer and viral associated infectious diseases;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sales and marketing capabilities, as well as developing a manufacturing process and distribution network to support the commercialization of any approved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must be able to overcome these challenges in order for us to successfully develop, commercialize and manufacture our product candidates utilizing our novel approaches to gamma-delta T cell therapies.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clinical and commercial utility of our DeltEx platform is uncertain and may never be realized. Additionally, certain aspects of the function and production of gamma-delta T cells are poorly understood or currently unknown and may only become known through further preclinical and clinical testing.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gamma-delta T cells have only been evaluated in early clinical trials. These clinical trials were primarily designed to evaluate safety and tolerability, and not designed to produce statistically significant results as to efficacy. Most of the data to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regarding gamma-delta T cells were derived from clinical trials not conducted by us, including physician-sponsored clinical trials, and utilizing gamma-delta T cells not manufactured by us. We currently have two ongoing clinical trials to evaluate gamma-delta T cells in investigator-sponsored clinical trials, which have enrolled and dosed only a limited number of patients to date. Success in early clinical trials does not ensure that large-scale clinical trials will be successful, nor does it predict final results. Even after the completion of our ongoing Phase 1 clinical trials, our gamma-delta T cell product candidates will have only been tested in a small number of patients. Results from these clinical trials may not necessarily be indicative of the safety and tolerability or efficacy of our product candidates as we expand into larger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ultimately be able to provide the FDA with substantial clinical evidence to support a claim of safety, efficacy, equivalency, purity and potency sufficient to enable the FDA to approve our DeltEx platform product candidates for any indication. This may be because early clinical trials do not meet their endpoints, because later clinical trials fail to reproduce favorable data obtained in earlier clinical trials, because the results of such trials are not statistically significant, because the FDA disagrees with how we interpret the data from these clinical trials, or because the FDA does not accept these therapeutic effects as valid endpoints in pivotal clinical trials necessary for market approval. For example, we are developing INB-100 for the treatment of patients undergoing hematopoietic stem cell transplantation for the treatment of AML, and our manufacturing process is predominantly based on cells received from healthy haploidentical related donors with at least half of the major human leukocyte antigen ("HLA") types matched. Our clinical development plan for INB-100 will seek to determine the safety of HLA mismatched, donor-derived gamma-delta T cells and establish the risk of graft versus host disease ("GvHD") if any. While mismatched gamma-delta T cells are not known to initiate GvHD, we observed grade 1 and/or 2 GvHD in approximately 60% of patients treated with INB-100 as of January 17, 2025. We will also seek to better understand the persistence of mismatched gamma-delta T cells and their potential impact on immune reconstitution, clinical activity and duration of response. The grade 1/2 GvHD that we have observed has been responsive to steroid treatment, and we believe that a high degree of HLA matching will not be required to prevent or reduce the risks of GvHD or for clinically meaningful activity and durability of response. Recent competitor data presented at ASCO 2024 demonstrated that persistence of donor derived cells are correlated with levels of HLA matching and they are now advancing their programs to be haploidentical matched as we have in our INB-100 program. If it becomes apparent through preclinical testing or additional clinical trials that such HLA matching is always required, a future "off-the-shelf" product may not be attainable, which could prevent or delay the further advancement of "off-the-shelf" product candidates and adversely affect our business and future development plans. We will also need to demonstrate that our DeltEx platform product candidates are safe. We do not have data on possible harmful long-term effects of our DeltEx platform product candidates and do not expect to have this data in the near future. As a result, our ability to generate clinical safety and efficacy data sufficient to support submission of a marketing application or commercialization of our DeltEx platform product candidates is uncertain and is subject to significant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actual or perceived safety issues, including adoption of new therapeutics or novel approaches to treatment, may adversely influence the willingness of subjects to participate in clinical trials, or if approved by applicable regulatory authorities, of physicians to subscribe to the novel treatment mechanics. The FDA or other applicable regulatory authorities may impose specific post-market requirements, such as establishment of a Risk Evaluation and Mitigation Strategy ("REMS") and request additional information informing benefits or risks of our products may emerge at any time prior to or after regulatory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Physicians, hospitals and third-party payors are often slow to adopt new products, technologies and treatment practices that require additional upfront costs and training. Based on these and other factors, hospitals and payors may decide that the benefits of this new therapy do not or will not outweigh its costs.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Clinical product candidate development involves a lengthy and expensive process with uncertain outcomes. We may incur additional costs and encounter substantial delays or difficulties in our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commercialize, market, promote or sell any product candidate without obtaining marketing approval from the FDA or other comparable regulatory authority, and we may never receive such approvals. It is impossible to predict when or if any of our product candidates will prove effective or safe in humans and will receive regulatory approval. 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is difficult to design and implement, can take many years to complete and is uncertain as to outcome.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Additionally, our ongoing trials for INB-100 and INB-200 involve studying a relatively small patient population, which makes it difficult to predict whether the favorable results observed in such clinical trial will be repeated in larger and more advanced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experience numerous unforeseen events prior to, during, or as a result of, clinical trials that could delay or prevent our ability to receive marketing approval or commercialize our product candidates, including the following (among other unforeseen events included in this "─Risks Related to the Development of our Product Candidates" subsection):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 consensus with regulatory authorities on the design, location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or setbacks in patient enrollment;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of our product candidates may produce negative or inconclusive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future public health crises, which may slow potential enrollment, impact hospital clinical and/or administrative support staff, reduce the number of eligible patients for clinical trials, or reduce the number of patients that remain in our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a clinical hold by regulatory authorities as a result of, among other reasons, a serious adverse event, a failure in the chemistry manufacturing and controls requirements, or a failed inspection of our clinical trial operations, trial sites or manufacturing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occurrence of serious adverse events associated with the product candidate that are viewed to outweigh its potential benefits;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need to conduct additional clinical trials or abandon product development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inability to successfully complete preclinical and clinical development could result in additional costs to us or impair our ability to generate revenue from future product sales or other sources.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products to market before we do, which could impair our ability to successfully commercialize our product candidates and may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clinical trial requirements of the FDA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Regulatory agencies administering existing or future regulations or legislation may not allow production and marketing of products utilizing gene regulation technology in a timely manner or under technically or commercially feasible conditions. Regulatory action or private litigation could result in expenses, delays or other impediments to our research programs or the commercialization of resulting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if the results of our clinical trials are inconclusive or if there are safety concerns or serious adverse events associated with our product candidates, we may be delayed in obtaining marketing approval, or not obtain marketing approval at all, obtain approval with labeling that includes significant use or distribution restrictions or safety warnings, and/or have regulatory authorities withdraw or suspend their approval or impose restrictions on distribution in the form of a modified REMS, among other results. We could also encounter delays if physicians encounter unresolved ethical issues associated with enrolling patients in clinical trials of our product candidates in lieu of prescribing existing treatments that have established safety and efficacy profiles.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the FDA or an independent institutional review board ("IRB") may also suspend our clinical trials at any time if it appears that we or our collaborators are failing to conduct a trial in accordance with regulatory requirements, including the FDA’s current Good Clinical Practice ("GCP") regulations, that we are exposing participants to unacceptable health risks, or if the FDA finds deficiencies in our INDs or the conduct of these trials. Therefore, we cannot predict with any certainty the schedule for commencement and completion of future clinical trials.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Development of a product candidate intended for use in combination with an already approved therapy may present increased complexity and more or different challenges than development of a product candidate for use as a single agent or monotherapy.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developing certain of our product candidates, including INB-400 and INB-200, to be used in combination with approved therapies, such as chemotherapy, which may present additional challenges. For example, the FDA may require us to use more complex clinical trial designs, to evaluate the contribution of each product and product candidate to any observed effects. It is possible that the results of these trials could show that most or any positive results are attributable to the already approved product. Moreover, following product approval, the FDA may require that products used in conjunction with each other be cross labeled. To the extent that we do not have rights to already approved products, this may require us to work with another company to satisfy such a requirement. Moreover, developments related to the already approved therapies may impact our clinical trials for the combination as well as our commercial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prospects should we receive marketing approval. Such developments may include changes to the approved therapy’s safety or efficacy profile, changes to the availability of the approved therapy, and changes to the standard-of-care.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encounter difficulties in enrolling patients in our clinical trials, our clinical development activities could be delayed or otherwise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timely completion of clinical trials in part depends on patient enrollment, and as such identifying and qualifying patients to participate in our clinical trials is critical to our success. We may encounter difficulties in enrolling a sufficient number of eligible patients to participate in our clinical trials, thereby delaying or preventing development and approval of our product candidates. Even once enrolled, we may be unable to retain a sufficient number of patients to complete any of our trials. Because our focus includes rare disorders, there are limited patient pools from which to draw in order to complete our clinical trials in a timely and cost-effective manner. Additionally, some of the initial indications for which we are developing our current product candidates, including glioblastoma and AML, primarily affect an elderly population over the age of 65, who might suffer from other age-related and unknown and/or pre-existing ailments or health concerns. If any such patient enrolled in our smaller-scale Phase 1 trials has to drop out due to pre-existing health issues or due to a serious adverse effect, or otherwise dies, and we are not able to recruit additional patients in a timely manner, or at all, our clinical trials could be delayed or otherwise halted. As such, despite diligent planning of our clinical trials and analysis of their feasibility regarding patient recruitment, we may experience difficulties, delays or inability in patient enrollment in our clinical trials for a variety of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nature of the patient population;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severity and incidence of the disease under investigation;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design of the trial and the complexity for patients and clinical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general health condition of the patient and their gamma-delta T cells and immune cells broadly;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patients’ general health conditions do not allow the conduct of study/screening procedures (such as leukapheresis) the manufacture of therapeutic product or application of the appropriate standard-of-care treatment or application of the Stupp regimen;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consistently manufacture gamma-delta T cell product candidates in sufficient quantities at sufficient activity and/or transduction efficiency to provide a suitable therapeutic dose of gamma-delta T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competing clinical trials for similar therapies, other new therapeutics, new combination treatments, new medicinal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clinicians’ and patients’ perceptions as to the potential advantages and side effects of the product candidate being studied in relation to other available therapies, including any new drugs or treatments that may be approved or become standard-of-care for the indications we are investigating;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differences in clinician treatment practices and/or protocols from center to center;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obtain and maintain patient consents due to various reasons, including but not limited to, patients’ unwillingness to participate due to public health crises;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enrolled subjects will drop out, develop complications or die before completion of the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develop and provide appropriate screening, product characterization and release assays;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patients failing to complete a clinical trial or returning for post-treatment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manufacture the requisite materials for a patient and clinical trial;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of clinical sites to enroll patients as health care capacities are required to cope with natural disasters, epidemics or other health system emergencies.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build relationships with patient communities may not succeed, which could result in delays in patient enrollment in our clinical trials. Any negative results we may report in clinical trials of our product candidates may make it difficult or impossible to recruit and retain patients in other clinical trials of that same product candidate. Delays or failures in planned patient enrollment or retention may result in increased costs, program delays or both, which could have a harmful effect on our ability to develop our product candidates or could render further development impossible. In addition, we may rely on clinical research organizations ("CROs") and clinical trial sites to ensure proper and timely conduct of our future clinical trials and, while we intend to enter into agreements governing their services, we will be limited in our ability to ensure their actual performance.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conduct of clinical trials, patients report changes in their health, including illnesses, injuries and discomforts, to their doctor. Often, it is not possible to determine whether or not the product candidate being studied caused these conditions. Regulatory authorities may draw different conclusions or require additional testing to confirm these determinations, if they occur. Many times, side effects are only detectable after investigational drugs are tested in large-scale pivotal trials or, in some cases, after they are made available to patients on a commercial scale after approval. For example, in January 2024, FDA required approved CAR-T products to add boxed warning information to their labeling concerning the risk of developing secondary T cell malignancies. If additional clinical experience indicates that any of our product candidates or the use of lentiviral vectors have side effects or cause serious or life-threatening side effects, the development of the product candidate may fail or be delayed, or, if the product candidate has received regulatory approval, such approval may be revoked, which would harm our business, prospects, operating results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Undesirable side effects caused by our product candidates, implanted devices, gene-editing methods, delivery methods or dosage levels could cause us or regulatory authorities to interrupt, delay or halt clinical trials and could result in a more restrictive label or the delay or denial of regulatory approval by the FDA or other comparable foreign regulatory authority. As a result of safety or toxicity issues that we may experience in our clinical trials, we may be placed on clinical hold and not receive approval to market any product candidates, which could prevent us from ever generating revenues or achieving profitability. Results of our trials could reveal an unacceptably high severity and incidence of side effects, or side effects outweighing the benefits of our product candidates. In such an event, our studies could be delayed,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subjects to complete the trial or result in potential product liability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we have only tested INB-100, INB-200 and INB-400 in a limited number of patients with cancer and these clinical trial participants have only been observed for a limited period of time after dosing at a limited number of sites. To date, our clinical trials have been run at academic/tertiary care centers. As we continue developing our lead product candidates and initiate multi-center clinical trials of our product candidates, including potentially at community hospitals, SAEs, undesirable or potentially fatal side effects, cytokine release syndrome, viral or bacterial infections,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 Should we observe SAEs in our clinical trials or identify undesirable side effects or other unexpected findings, our trials could be delayed or even terminated, and our development programs may be halted entirely.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file IND applications to commence additional clinical trials on the timelines we expect, and even if we are able to, the FDA may not permit us to proceed.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previously announced our goals for potentially submitting additional INDs for INB-100 and INB-400. We have suspended enrollment for INB-400 as we seek additional funding sources and/or potential partnerships for this program. We may not be able to make additional filings on the timelines we expect, which may cause delays in commencing additional clinical trials. Even if such regulatory authorities agree with the design and implementation of the clinical trials set forth in an IND or clinical trial application, we cannot guarantee that such regulatory authorities will not change their requirements in the future. Moreover, we cannot be sure that submission of an IND for any of our other product candidates will result in the FDA allowing trials to begin, or that, once begun, issues will not arise that result in a decision by us, by IRBs, or independent ethics committees, or by the FDA or other regulatory authorities to suspend or terminate clinical trials. For example, we may experience manufacturing delays or other delays with IND-enabling studies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or the FDA or other regulatory authorities may require additional preclinical studies that we did not anticipate. Moreover, we cannot be assured that submission of an IND will result in the FDA allowing clinical trials to begin, or that, once begun, issues will not arise that result in a decision by us, by IRBs, or independent ethics committees or by the FDA or other regulatory authorities to suspend or terminate clinical trials, including as a result of a clinical hold. Additionally, even if such regulatory authorities agree with the design and implementation of the clinical trials set forth in an IND or clinical trial application, we cannot guarantee that such regulatory authorities will not change their requirements in the future. The inability to initiate clinical trials any of our product candidates on the timeline currently anticipated or at all could have a material adverse effect on our business,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seek breakthrough therapy, Regenerative Medicine Advanced Therapy ("RMAT") or Fast Track designations and may pursue accelerated approval for some or all of our current product candidates, but we may be unable to obtain such designations or, where obtained, we may be unable to maintain breakthrough therapy designation or obtain or maintain the benefits associated with such designations.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seek breakthrough therapy, RMAT or Fast Track designations and may pursue accelerated approval for INB-100, INB-200, INB-400 and some or all of our other and future product candidates. Breakthrough therapy designation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intensive guidance on an efficient drug development program, beginning as early as Phase 1, organizational commitment involving senior managers; and eligibility for rolling review and priority review. Breakthrough therapy designation does not change the standards for product approval. There can be no assurance that we will receive breakthrough therapy designation for any product candidate or any particular indication.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also seek Fast Track designation. If a drug or biologic candidate is intended for the treatment of a serious or life-threatening condition or disease and the drug demonstrates the potential to address unmet medical needs for the condition, the sponsor may apply for Fast Track designation. Even if we do apply for and receive Fast Track designation, we may not experience a faster development, review or approval process compared to conventional FDA procedures. The FDA may rescind Fast Track designation if it believes that the designation is no longer supported by data from our clinical development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we may also seek accelerated approval under the FDA’s accelerated approval programs. The FDA may approve a drug or biologic for a serious or life-threatening disease or condition that generally provides meaningful advantages over available treatments and demonstrates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Seeking and obtaining these designations is dependent upon results of our clinical program, and we cannot guarantee whether and when we may have the data from our clinical programs to support an application to obtain any such designation. The FDA and comparable foreign regulatory agencies have broad discretion whether or not to grant any of these or similar designations, so even if we believe a particular product candidate is eligible for one or more of these designations, we cannot assure you that the applicable regulatory authority would decide to grant it. Even if we do receive the designations we may apply for, we may not experience a faster development process, review or approval compared to conventional procedures, as applicable. The FDA or other regulatory agencies may also rescind any granted designations if it believes that the designation is no longer supported by data from our clinical development program.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Although we have received orphan drug designation for INB-400 in the past and may continue to seek orphan drug designation for some or all of our current or future product candidates, we may be unsuccessful or may be unable to maintain the benefits associated with orphan drug designation, including the potential for supplemental market exclusivity.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2023, we received orphan drug designation for the autologous and allogeneic IND-400 product candidate, covering a broad range of malignant glioma treatments, including newly diagnosed glioblastoma. We may continue to seek orphan drug designation for one or more of our current or future product candidates, including INB-100 or its successor. Under the Orphan Drug Act, the FDA may grant orphan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As previously announced, we received such orphan drug designation for both INB-400 autologous and allogeneic products for malignant gliomas in April 2023. In the United States, orphan drug designation entitles a party to financial incentives such as opportunities for grant funding towards clinical trial costs, tax advantages and user-fee waivers. After the FDA grants orphan drug designation, the identity of the biologic and its potential orphan use are disclosed publicly by the FDA. Orphan drug designation does not convey any advantage in, or shorten the duration of, the regulatory review and approval process.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product that has orphan drug designation subsequently receives the first FDA approval for the particular active ingredient in the product treating the disease for which it has such orphan drug designation, that product is entitled to orphan product exclusivity. This means that the FDA may not approve any other applications, including a BLA, to market the same product for the same indication for seven years. However, that exclusivity may be nullified in limited circumstances in which another product shows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the FDA can still approve other products that have a different active ingredient for use in treating the same indication or disease. Further, the FDA can waive orphan exclusivity if we are unable to manufacture sufficient supply of our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seek orphan drug designation for INB-100 and some or all of our other or future product candidates in additional orphan indications in which there is a medically plausible basis for the use of these product candidates. Even when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intend to seek orphan drug designation for other product candidates, we may never receive these designations. For example, the FDA has expressed concerns regarding the regulatory considerations for orphan drug designation as applied to tissue agnostic therapies, and the FDA may interpret the Federal Food, Drug and Cosmetic Act, and regulations promulgated thereunder, in a way that limits or blocks our ability to obtain orphan drug designation or orphan drug exclusivity, if our product candidates are approved, for our targeted indications.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identify or discover other product candidates and may fail to capitalize on programs or product candidates that may present a greater commercial opportunity or for which there is a greater likelihood of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identify and develop, additional product candidates will require substantial technical, financial and human resources, whether or not any product candidates are ultimately identified. We may also broaden the reach of our DeltEx platform by selectively in-licensing technologies or product candidates. Our efforts may initially show promise in identifying potential product candidates, yet fail to yield product candidates for clinical development, approved products or commercial revenues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methodology used may not be successful in identifying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competitors may develop alternatives that render any product candidates we develop obsolete;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product candidates we develop may be covered by third parties’ patents or other exclusive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demonstrate harmful side effects or other characteristics that indicate it is unlikely to be effective or otherwise does not meet applicable regulatory criteria;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not be capable of being produced in commercial quantities at an acceptable cost, or at all;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not be accepted as safe and effective by physicians, patients, the medical community or third-party payors.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limited financial and management resources and, as a result, we may forego or delay pursuit of opportunities with other product candidates or other indications that later prove to have greater market potential. Our resource allocation decisions may cause us to fail to capitalize on viable commercial products, including attractive or profitable market opportunities. If we do not accurately evaluate the commercial potential or target market for a particular product candidate, we may relinquish valuable rights to that product candidate through collaboration, licensing or other royalty arrangements in circumstances under which it would have been more advantageous for us to retain sole development and commercialization rights to such product candidate. In addition, we may not be successful in replicating our approach to product candidate development for other disease indications. If we are unsuccessful in identifying and developing additional product candidates or are unable to do so, our business may be harmed.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Public opinion and scrutiny of our competitors, cell-based immunotherapy and genetic modification approaches may impact public perception of our company and product candidates, or may adversely affect our ability to raise capital, conduct our business and our business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DeltEx platform utilizes a relatively novel technology involving the genetic modification of human cells and utilization of those modified cells in other individuals. Public perception may be influenced by negative claims about our DeltEx platform, or that of competitor's products and/or programs such as claims that gamma-delta T cell and/or other cell-based immunotherapy is unsafe, unethical, inefficacious, expensive or immoral and, consequently, our approach may not gain the acceptance of the public or the medical community. Negative public reaction to cell-based immunotherapy in general and a recent increase in patient deaths and clinical holds by other companies could result in greater government regulation and stricter labeling requirements of cell-based immunotherapy products, including any of our product candidates, and could cause a decrease in the demand for any products we may develop. Negative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 attitudes may adversely impact our ability to enroll patients in clinical trials. Moreover, our success will depend upon physicians specializing in the treatment of those diseases that our product candidates target, and their patients being willing to receive, treatments that involve the use of our product candidates in lieu of, or in addition to, existing treatments they are already familiar with and for which greater clinical data may be available. More restrictive government regulations or negative public opinion could have an adverse effect on our business, ability to raise additional capital and/or financial condition and may delay or impair the development and commercialization of our product candidates or demand for any products we may develop. Adverse events in our clinical trials, even if not ultimately attributable to our product candidates,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face significant competition, and many of our competitors have substantially greater experience and resources than we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and commercial landscape in the indications we are targeting, as well as in the field of immuno-oncology, is highly competitive. We may face potential competition with respect to our current product candidates and may face competition with respect to any other product candidates that we may seek to develop or commercialize in the future from pharmaceutical and biotechnology companies, academic institutions, government agencies and other public and private research institutions.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our current or potential competitors have greater financial and other resources, larger research and development staffs, and more experienced capabilities in researching, developing and testing products than we do. Many of these companies also have more experience in conducting clinical trials, obtaining FDA and other regulatory approvals, and manufacturing, marketing and distributing therapeutic products. Smaller or clinical-stage companies like us may successfully compete by establishing collaborative relationships with larger pharmaceutical companies or academic institutions. Mergers and acquisitions in the pharmaceutical and biotechnology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cancer and other diseases, which could give such products significant regulatory and market timing advantages over any of our product candidates. In addition, large pharmaceutical companies or other companies with greater resources or experience than us may choose to forgo therapy opportunities that would have otherwise been complementary to our product development and collaboration plans. Our competitors may succeed in developing, obtaining patent protection for, or commercializing their products more rapidly than us, which could result in our competitors establishing a strong market position before we are able to enter the market. A competing company developing or acquiring rights to a more effective therapeutic product for the same diseases targeted by us, or one that offers significantly lower costs of treatment could render our products noncompetitive or obsolete. We may not be successful in marketing any product candidates we may develop against competitors.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expect the product candidates we develop will be regulated as biologics, and therefore they may be subject to competition sooner than anticipated.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Biologics Price Competition and Innovation Act of 2009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approval of a biologic product biosimilar to one of our products could have a material adverse impact on our business as it may be significantly less costly to bring to market and may be priced significantly lower than our products.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Manufacturing and Our Dependence on Third Parties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manufacturing process is complex, and we may encounter difficulties in production, which would delay or prevent our ability to provide a sufficient supply of our product candidates for future clinical trials or commercialization,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Some of our product candidates, including INB-200 and INB-300, as well as our suspended INB-400 program, are genetically engineered human cells, and the process of manufacturing such product candidates, as well as the lentiviral vectors, is complex, highly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regulated, variable and subject to numerous risks. Manufacturing our product candidates involves harvesting cells from a donor, isolating cells via leukapheresis, activating and expanding the gamma-delta T cells, cryopreservation, testing, storage and eventually shipment and infusion of the cell product into the patient’s body.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manufacturing process will be susceptible to product loss or failure, or product variation that may negatively impact patient outcomes, due to process and logistical issues associated with the collection of starting material from the donor, shipping such material to the manufacturing site, shipping the final product back to the recipient, preparing the product for administration, infusing the patient with the product, manufacturing issues or different product characteristics resulting from the inherent differences in donor starting materials, variations between reagent lots, interruptions in the manufacturing process, contamination, equipment or reagent failure, improper installation or operation of equipment and/or programs, vendor or operator error, inconsistency in cell growth and variability in product characteristics.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minor variations in starting reagents and materials, or deviations from normal manufacturing processes could result in reduced production yields, product defects, manufacturing failure and other supply disruptions. If, for any reason in our clinical trials, we lose the starting material for a manufactured product for one of our patients at any point in the process, or the expansion or transduction procedures in the manufacturing process should fail for any reason, such patient would no longer receive a dose of the therapy and may end participation in our clinical trial. For instance, operator errors impacting machine function, gas or airflow, or reagent addition can negatively impact the process. Manufacturing by a previously contracted facility has resulted in such operator errors; however, we identified these errors through our quality control procedures prior to patient administration.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We will be required to maintain a chain of identity with respect to materials as they move from the donor to the manufacturing facility, through the manufacturing process and back to the clinical trial recipient. Maintaining a chain of identity is difficult and complex, and failure to do so could result in adverse patient outcomes, loss of product or regulatory action, including withdrawal of our products from the market, if licensed. Any failure in the foregoing processes could render a batch of product unusable, could affect the regulatory approval of such product candidate, could cause us to incur fines or penalties or could harm our reputation and that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make changes to our manufacturing process for various reasons, such as to control costs, increase yield or dose, achieve commercial scale, decrease processing time, increase manufacturing success rate or for other reasons. We previously relocated clinical trial manufacturing for one of our clinical development programs to an academic GMP facility closer to our laboratory headquarters in Birmingham, Alabama to permit us contractual direct access as a means of preventing manufacturing errors. However, even with this contractual direct access and closer collaboration with the facility’s manufacturing staff, there can be no guarantee that manufacturing errors will not occur.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to our process made during the course of clinical development could require us to show the comparability of the product used in earlier clinical phases or at earlier portions of a trial to the product used in later clinical phases or later portions of the trial.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rely on third-party contractors or contract development manufacturing organization for the manufacturing of our product candidates, and failure by those parties to adequately perform their obligations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we endeavor to build and operate a manufacturing facility in the future, we do not currently own any facility that may be used as our clinical or commercial-scale manufacturing and processing facility and expect that we will rely on outside vendors for at least a portion of the manufacturing of our cell therapy product candidates that we develop. For example, in September 2022, we announced a partnership with the Dunbar CAR T-Cell Program at the University of Louisville as the manufacturing center for our suspended INB-400 clinical program. The facilities used by our partners and contract manufacturers must be submitted and disclosed to the FDA or other foreign regulatory agencies and may be selected for inspection or audit following the submission of an application to the FDA or other foreign regulatory agencies. To the extent that we engage third parties for manufacturing services, we will not control the manufacturing process of, and will be completely dependent on, our contract manufacturing partners for compliance with confidentiality agreements and the cGMP requirements for the manufacture of our product candidates. We have not yet had any product candidates to be manufactured or processed on a commercial scale and may not be able to do so. We will make changes as we work to optimize the manufacturing process, and we cannot be sure that even minor changes in the process will result in products that meet specifications are capable or safe and effective. If such contract manufacturers cannot successfully manufacture material that conforms to our specifications and the strict regulatory requirements of the FDA or others, we will not be able to secure and/or maintain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approval for our product candidates. In addition, we have no control over the ability of third parties to maintain adequate quality control, quality assurance and qualified personnel. If the FDA or a comparable foreign regulatory authority does not agree that these facilities for the manufacture of our product candidates are acceptable or if it withdraws any such approval or acceptance in the future, we may need to find alternative manufacturing facilities, which would significantly impact our ability to develop, obtain regulatory approval for or market our product candidates, if approved. Any significant delay in the supply of a product candidate, or the raw material components thereof, for an ongoing clinical trial due to the need to replace a third-party manufacturer could considerably delay completion of our clinical trials, product testing and potential regulatory approval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the process of manufacturing lentiviral vector and cell therapies is susceptible to product loss due to contamination, equipment failure or improper installation, maintenance or operation of equipment, or vendor or operator error. Even minor deviations from normal manufacturing and distribution processes for any of our product candidates could result in reduced production yields, increased costs, impact to key product quality attributes, and other supply disruptions. Such minor deviations did in fact occur in our previously contracted manufacturing facility due to operator error.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defects can also occur unexpectedly. If microbial, viral or other contaminations are discovered in our product candidates, manufacturing reagents, raw materials, or in the manufacturing facilities in which our product candidates and/or their precursors are made, these manufacturing facilities may need to be closed for an extended period of time to allow us to investigate and remedy the contamination. Because some of our cell therapy product candidates are manufactured from the blood of third-party donors, the process of manufacturing is susceptible to the availability and variability of the third-party donor material. The process of developing products that can be commercialized may be particularly challenging, even if they otherwise prove to be safe and effective. The manufacture of these product candidates involves complex processes. Some of these processes require specialized equipment and highly skilled and trained personnel. The process of manufacturing these product candidates will be susceptible to additional risks, given the need to maintain aseptic conditions throughout the manufacturing process. Contamination with viruses or other pathogens in either the donor material or materials utilized in the manufacturing process or ingress of microbiological material at any point in the process may result in contaminated or unusable product and patients may not receive a dose. These types of contaminations could result in delays in the manufacture of products which could result in delays in the development of our product candidates. These contaminations could also increase the risk of adverse side effects. Furthermore, the selection and distribution of the appropriate cell product for therapeutic use in a patient requires close coordination between the manufacturing facility, clinical operations, supply chain and quality assurance personnel.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intend to rely on third-party manufacturers to supply us with additional quantities of our product candidates to be used, if approved, for commercialization. We do not yet have a commercial supply agreement for commercial quantities of product. If we are not able to meet market demand for any approved product, it would negatively impact our ability to generate revenue, harm our reputation, and could have an adverse effect on our business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our reliance on third-party manufacturers entails risks to which we would not be subject if we manufactured product candidates ourselves,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meet our product specifications and quality requirements consistently;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 or inability to procure or expand sufficient manufacturing capacity;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issues related to scale-up of manufacturing;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and validation of new equipment and facilities required for scale-up;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may not be able to execute our manufacturing procedures and other logistical support requirements appropriately;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may fail to comply with cGMP requirements and other inspections by the FDA or other comparable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negotiate manufacturing agreements with third parties under commercially reasonable terms,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breach, termination or nonrenewal of manufacturing agreements with third parties in a manner or at a time that is costly or damaging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reliance on single sources for reagents and components;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lack of qualified backup suppliers for those components that are currently purchased from a sole or single-source supplier;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may not devote sufficient resources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own, or may have to share, the intellectual property rights to any improvements made by our third-party manufacturers in the manufacturing process for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operations of our third-party manufacturers or suppliers could be disrupted by conditions unrelated to our business or operations, including the bankruptcy of the manufacturer or supplier;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carrier disruptions or increased costs that are beyond our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we enter into a strategic collaboration with a third party for the commercialization of our current or any future product candidates, we will not be able to control the amount of time or resources that they devote to such efforts. If any strategic collaborator does not commit adequate resources to the marketing and distribution of our current or any future product candidates, it could limit our potential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adverse developments affecting manufacturing operations for our product candidates may result in lot failures, inventory shortages, shipment delays, product withdrawals or recalls or other interruptions in the supply of our drug product which could prevent the administration to patients and delay the development of our product candidates. We may also have to write off inventory, incur other charges and expenses for supply of drug product that fails to meet specifications, undertake costly remediation efforts, or seek more costly manufacturing alternatives.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these events could lead to clinical trial delays or failure to obtain regulatory approval or impact our ability to successfully commercialize our current or any future product candidates once approved. Some of these events could be the basis for FDA action, including injunction, request for recall, seizure, or total or partial suspension of production.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currently store our gamma-delta T cells and biologic correlative and research specimens from clinical trials and development programs and clinical lentivectors at our research and development facilities and at the facilities of our clinical and/or manufacturing partners, and any damage or loss to our storage freezers and/or facilities from natural disasters or otherwise would cause delays in replacement, and our business could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Specimens are stored in our freezers at our research and development facilities. If these cells are damaged, including by the loss or malfunction of our freezers or our back-up power systems, as well as by damage from fire or other natural disasters, our development program could be delayed or terminated and our business could suffer. Loss of a significant supply would require manufacturing of additional vector which could cause us to incur significant additional expenses and liability.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currently dependent on a single third-party supplier for manufacture of our automated manufacturing device and our lentiviral vectors. These are critical products required for the manufacturing of our product candidates, including INB-100, INB-200 and INB-400. Any damage or loss to the ability of our suppliers to deliver supplies in a timely manner could cause delays in manufacturing, and our clinical trials and our business could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gamma-delta T cell products for INB-100 and INB-200, as well as our suspended INB-400 program, are manufactured in a programmable, cell-manufacturing, closed system device. We have multiple devices, including backup devices in all facilities if the primary instrument breaks, however, if the devices are damaged and cannot be repaired or the supplier cannot deliver new devices in a timely manner, or at all, our ability to manufacture and supply sufficient quantities of our products for clinical or commercial usage could be delayed, or potentially hindered. Our current supply of vectors will cover approximately 189 patients after a large manufacturing run was completed in the first half of 2023. If our third-party contractor is unable to provide adequate lentiviral vectors in a timely manner, our ability to manufacture and supply sufficient quantities of our product candidates for clinical or commercial usage will be delayed or hindered, and our business could suffer.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rely on third-party healthcare professionals to administer gamma-delta T cells to patients, and our business could be harmed if these third parties administer these cells incorrectly.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the expertise of physicians, nurses and other associated medical personnel to administer gamma-delta T cells to clinical trial patients. If these medical personnel are not properly trained to administer, or do not properly administer, gamma-delta T cells, the therapeutic effect of gamma-delta T cells may be diminished or the patient may suffer injury.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we achieve the ability to freeze and thaw our gamma-delta T cells, third-party medical personnel will have to be trained on proper methodology for thawing gamma-delta T cells received from us. If this thawing is not performed correctly, the cells may become damaged and/or the patient may suffer injury. While we intend to provide training materials and other resources to these third-party medical personnel, the thawing of gamma-delta T cells will occur outside our supervision and may not be administered properly. If, due to a third-party error, people believe that gamma-delta T cells are ineffective or harmful, the desire to use gamma-delta T cells may decline, which would negatively impact our business, reputation and prospects. We may also face significant liability even though we may not be responsible for the actions of these third parties.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believe we may require an updated and validated protocol for commercial-scale expansion and manufacturing of gamma-delta T cells for conducting pivotal trials and for commercialization of our product candidates, if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clinical trials that we conduct, as well as any potential commercialization of our product candidates when approved, will depend on the reliability, safety and efficacy of our protocols for expanding, transducing and manufacturing gamma-delta T cells at scale. Our efforts to scale up production of our gamma-delta T cells in anticipation of future clinical trials or commercialization may reveal, an inability to overcome biology or may otherwise encounter challenges, including scrutiny from regulatory authorities. To the extent we encounter any such difficulties, our ability to conduct additional clinical trials or to scale for commercialization will be hindered or prevented, which would have an adverse effect on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not yet developed commercial-scale infrastructure for freezing and thawing large quantities of gamma-delta T cells, which we believe will be required for the storage and distribution of our gamma-delta T cell product candidates at commercial scale.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demonstrated that gamma-delta T cells can be frozen and thawed in large commercial-scale quantities without damage, in a cost-efficient manner and without degradation over long periods of time. We may encounter difficulties not only in developing freezing and thawing, but also in obtaining the necessary regulatory approvals for using such in treatment. If we cannot adequately demonstrate similarity of our frozen product to the unfrozen form to the satisfaction of the FDA, we could face substantial delays in our regulatory approvals. If we are unable to freeze gamma-delta T cells for shipping purposes, our ability to promote adoption and standardization of our products, as well as achieve economies of scale by centralizing our production facility, will be limited. Even if we are able to successfully freeze and thaw gamma-delta T cells in large quantities, we will still need to develop a cost-effective and reliable distribution and logistics network, which we may be unable to accomplish. For these and other reasons, we may not be able to commercialize gamma-delta T cells on a large scale or in a cost-effective manner.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involves the use of hazardous materials and we and our third-party manufacturers and suppliers must comply with environmental, health and safety laws and regulations, which can be expensive and restrict or interrupt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research and development activities and our third-party manufacturers’ and suppliers’ activities involve the generation, storage, use and disposal of hazardous materials, including the components of our product candidates, such as genetically modified cells, and other hazardous compounds and wastes. We and our manufacturers and suppliers are subject to environmental, health and safety laws and regulations governing, among other matters, the use, manufacture, generation, storage, handling, transportation, discharge and disposal of these hazardous materials and wastes and worker health and safety. In some cases, these hazardous materials and various wastes resulting from their use are stored at our and our manufacturers’ facilities pending their use and disposal. We cannot eliminate the risk of contamination or injury, which could result in an interruption of our commercialization efforts, research and development efforts and business operations, damages and significant cleanup costs and liabilities under applicable environmental, health and safety laws and regulations. We also cannot guarantee that the safety procedures utilized by our third-party manufacturers for handling and disposing of these materials and wastes generally comply with the standards prescribed by these laws and regulations. We may be held liable for any resulting damages costs or liabilities, which could exceed our resources, and state or federal or other applicable authorities may curtail our use of certain materials and/or interrupt our business operations. Furthermore, environmental, health and safety laws and regulations are complex, change frequently and have tended to become more stringent. We cannot predict the impact of such changes and cannot be certain of our future compliance. Failure to comply with these environmental, health and safety laws and regulations may result in substantial fines, penalties or other sanctions. We do not currently carry hazardous waste insurance coverage.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intend to partner with third parties, such as academic institutions and CROs, to conduct, supervise and monitor some of our preclinical studies and clinical trials, and if those third parties perform in an unsatisfactory manner, it may harm our business and delay or impair our ability to obtain regulatory approval or otherwise commercialize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are conducting our current clinical trials through our direct contractual agreements with hospitals, we intend to rely on CROs and clinical trial sites to conduct our future preclinical studies and clinical trials, and we expect to have limited influence over their actual performance. We intend to rely upon CROs to monitor and manage data for our clinical programs, as well as the execution of future preclinical studies. We expect to control only certain aspects of the activities of our third-party service providers, including investigators and CROs. Nevertheless, we will be responsible for ensuring that each of our preclinical studies and clinical trials is conducted in accordance with the applicable protocol, legal, regulatory and scientific standards, and our reliance on third parties does not relieve us of our regulatory responsibilities.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and our future CROs will be, required to comply with the good laboratory practices ("GLPs") and GCPs, which are regulations and guidelines enforced by the FDA and comparable foreign regulatory authorities in the form of International Council for Harmonization guidelines for any of our product candidates that are in preclinical and clinical development. The regulatory authorities enforce GCPs through periodic inspections of trial sponsors, principal investigators and clinical trial sites. Although we rely on CROs to conduct GCP-compliant clinical trials, we remain responsible for ensuring that each of our GLP preclinical studies and clinical trials is conducted in accordance with its investigational plan and protocol and applicable laws and regulations. If we or our future CROs fail to comply with GCPs, the clinical data generated in our clinical trials may be deemed unreliable, and the FDA or comparable foreign regulatory authorities may require us to perform additional clinical trials before approving our marketing applications. Accordingly, if CROs fail to comply with these regulations or fail to recruit a sufficient number of subjects, we may be required to repeat clinical trials, which would delay the regulatory approval process.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reliance on third parties to conduct clinical trials will result in less direct control over the management of data developed through clinical trials than would be the case if we were relying entirely upon our own staff. Communicating with CROs and other third parties can be challenging, potentially leading to mistakes as well as difficulties in coordinating activities. Such parties may: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have staffing difficulties;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 to comply with contractual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experience regulatory compliance issues;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undergo changes in priorities or become financially distressed.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factors may adversely affect the willingness or ability of third parties to conduct our clinical trials and may subject us to unexpected cost increases that are beyond our control. If our future CROs, or hospitals where we conduct our clinical trials, do not successfully carry out their contractual duties or obligations with us or regulatory agencies, fail to meet necessary safety measures and protocols, fail to meet expected deadlines, or fail to comply with regulatory and/or IRB requirements,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 While we will have agreements governing their activities, our CROs will not be our employees, and we will not control whether or not they devote sufficient time and resources to our future clinical and preclinical programs. These CROs may also have relationships with other commercial entities, including our competitors, for whom they may also be conducting clinical trials, or other drug development activities which could harm our business. We face the risk of potential unauthorized disclosure or misappropriation of our intellectual property by CROs, which may reduce our trade secret protection and allow our potential competitors to access and exploit our proprietary technology.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the FDA or other regulatory authorities may disagree with the sufficiency of our right of reference to the preclinical, manufacturing or clinical data generated by investigator-sponsored trials or our interpretation of preclinical, manufacturing or clinical data from these investigator-sponsored trials. If so, regulatory authorities may require us to obtain and submit additional preclinical, manufacturing or clinical data before we may initiate further clinical trials and/or obtain any regulatory approvals.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relationships with any CROs or hospitals where we conduct our current clinical trials terminate, we may not be able to enter into arrangements with alternative CROs and other third parties or do so on commercially reasonable terms. Switching or adding additional CROs involves substantial cost and requires management time and focus. In addition, there is a natural transition period when a new CRO commences work. As a result, delays occur, which can negatively impact our ability to meet our desired clinical development timelines. While we intend to carefully manage our relationships with our CROs, there can be no assurance that we will not encounter challenges or delays in the future or that these delays or challenges will not have a negative impact on our business, financial condition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employees, principal investigators, consultants and commercial partners may engage in misconduct or other improper activities, including noncompliance with regulatory standards and requirements and insider trading.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collaborators, principal investigators, consultants, commercial partners and outside actors.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instituted against us and we are not successful in defending ourselves or asserting our rights, those actions could result in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or global health concerns could hinder their ability to hire, retain or deploy key leadership and other personnel, or otherwise prevent new or modified products from being advanced, developed, cleared or approved or commercialized in a timely manner or at all,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the FDA to review and approve new products or regulatory submissions can be affected by a variety of factors, including government budget and funding levels, statutory, regulatory, and policy changes, the FDA’s ability to hire and retain key personnel and accept the payment of user fees, and other events, such as public health crises,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In addition, the current administration has proposed substantial reductions in force at various government agencies including the FDA, which could significantly reduce the FDA’s capacity to perform its functions in a manner consistent with its past practices and could delay reviews and negatively impact our business.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Licensing of intellectual property is of critical importance to our business and involves complex legal, business and scientific issues. If we breach our license agreements with the University of Alabama at Birmingham Research Foundation, Children’s Healthcare of Atlanta, Inc. and Emory University, or any of the other agreements under which we acquired, or will acquire, the intellectual property rights to our product candidates, we could lose the ability to continue the development and commercialization of the related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licensing of intellectual property is of critical importance to our business and to our current and future product candidates, and we expect to enter into additional such agreements in the future. In particular, our product candidates, INB-100, INB-200, INB-300 and INB-400, will or have been are dependent on our license agreements with The UAB Research Foundation ("UABRF") Children’s Healthcare of Atlanta, Inc. ("CHOA") and Emory University ("Emory") and, together with UABRF and CHOA, the Licensors, pursuant to which we have obtained exclusive worldwide licenses under certain immunotherapy related patents and know-how that are critically important for these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have been granted exclusive licenses under the UABRF, CHOA and Emory license agreements, we do not have the right to control the preparation, filing, prosecution and maintenance of patents and patent applications covering the technology that we license from UABRF and Emory. Therefore, we cannot always be certain that these patents and patent applications will be prepared, filed, prosecuted and maintained in a manner consistent with the best interests of our business. Although we have a right to have our comments considered in connection with the prosecution process, if the Licensors fail to prosecute and maintain such patents, or loses rights to those patents or patent applications as a result of its control of the prosecution activities, the rights we have licensed may be reduced or eliminated, and our right to develop and commercialize any of our product candidates that are the subject of such licensed rights could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meet our obligations under the UABRF, CHOA or Emory license agreements in any material respect, and fail to cure such breach in a timely fashion, then the Licensors may terminate their applicable license agreement. If the license agreements are terminated, and we lose our intellectual property rights thereunder, this may result in a complete termination of our product development and any commercialization efforts for our product candidates. While we would expect to exercise all rights and remedies available to us, including seeking to cure any breach by us, and otherwise seek to preserve our rights under the license agreements, we may not be able to do so in a timely manner, at an acceptable cost or at all. For more information on the UABRF, CHOA and Emory license agreements, see Note 9, License Agreements, in our financial statements contained elsewhere in this Quarterly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license agreements we enter into in the future may not provide exclusive rights to use intellectual property and technology in all relevant fields of use and in all territories in which we may wish to develop or commercialize our technology and products. As a result, we may not be able to prevent competitors from developing and commercializing competitive products in territories included in all of our licenses.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research resulting in certain of our in-licensed patent rights was funded in part by the U.S. federal or state governments. As a result, the government may have certain rights, including march-in rights, to such patent rights.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depends, in large part, on our ability to obtain and maintain patent protection in the United States and other countries with respect to our product candidates and our technology. We and our licensors have sought, and intend to seek, to protect our proprietary position by filing patent applications in the United States and abroad related to our product candidates and our technology that are important to our business. As of June 30, 2025, we owned, co-owned or exclusively licensed five issued U.S. patents, seven issued European patents, 19 other issued foreign patents, 8 pending U.S. applications, three pending PCT applications and 23 other foreign national-stage applications, including five European regional-phase applications that are important to the development of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 Since patent applications in the United States and most other countries are confidential for a period of time after filing, and some remain so until issued, we cannot be certain that we or our licensors were the first to file a patent application relating to any particular aspect of a product candidate. As a result of these and other factors,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Moreover, we may be subject to a third-party pre-issuance submission of prior art or become involved in opposition, derivation,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have not pursued or maintained, and may not pursue or maintain in the future, patent protection for our product candidates in every country or territory in which we may sell our products, if approved. In addition, the laws of some foreign countries do not protect intellectual property rights to the same extent as federal and state laws in the United States. Consequently, we may not be able to prevent third parties from infringing our patents in all countries outside the United States, or from selling or importing products that infringe our patents in and into the United States or other jurisdictions.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the coverage claimed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our owned and in-licensed patents may be subject to a reservation of rights by one or more third parties. For example, the research resulting in certain of our owned and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Obtaining and maintaining our patent rights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patent applications will have to be paid to the USPTO and various government patent agencies outside the United States over the lifetime of our owned and licensed patents and/or applications and any patent rights we may own or license in the future. We rely on our service providers or our licensors to pay these fees.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our service providers or our licensors fail to maintain the patents and patent applications covering our products or technologies, we may not be able to stop a competitor from marketing products that are the same as or similar to our product candidates, which would have an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we fail to apply for or otherwise fail to obtain applicable patent term extensions or adjustments, we will have a more limited time during which we can enforce our granted patent rights. In addition, if we are responsible for patent prosecution and maintenance of patent rights in-licensed to us, any of the foregoing could expose us to liability to the applicable patent owner.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Given the amount of time required for the development, testing and regulatory review of product candidates such as INB-100, INB-200, INB-300, INB-400, INB-500, and INB-600, patents protecting such candidates might expire before or shortly after such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However, the extension cannot extend the total patent term beyond 14 years from the date of drug approval, which is limited to the approved indication (or any additional indications approved during the period of extension). Furthermore, only one patent per approved product can be extended and only those claims covering the approved product, a method for using it or a method for manufacturing it may be extended.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the period during which we can enforce our patent rights for the applicable product candidate will be shortened and our competitors may obtain approval to market competing products sooner. Additionally, our competitors may be able to take advantage of our investment in development and clinical trials by referencing our clinical and preclinical data and launch their product earlier than might otherwise be the case.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Third parties may initiate legal proceedings alleging that we are infringing, misappropriating or otherwise violating their intellectual property rights and/or trademark, the outcome of which would be uncertain and could have a negative impact on the success of our business.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commercial success depends, in part, upon our ability and the ability of others with whom we may collaborate to develop, manufacture, market and sell our current and any future product candidates and use our proprietary technologies without infringing, misappropriating or otherwise violating the intellectual property, trademarks and other proprietary rights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current and any future product candidates and technology, names, including interference proceedings, post grant review and </w:t>
      </w:r>
      <w:r>
        <w:rPr>
          <w:rFonts w:ascii="Times New Roman" w:hAnsi="Times New Roman"/>
          <w:i/>
          <w:color w:val="000000"/>
          <w:sz w:val="20"/>
        </w:rPr>
        <w:t>inter partes</w:t>
      </w:r>
      <w:r>
        <w:rPr>
          <w:rFonts w:ascii="Times New Roman" w:hAnsi="Times New Roman"/>
          <w:color w:val="000000"/>
          <w:sz w:val="20"/>
        </w:rPr>
        <w:t xml:space="preserve"> review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is a high burden and requires us to present clear and convincing evidence as to the invalidity of any such U.S. patent claim, there is no assurance that a court of competent jurisdiction would invalidate the claims of any such U.S. patent. Moreover, given the vast number of patents in our field of technology, we cannot be certain that we do not infringe existing patents or that we will not infringe patents that may be granted in the future. Other companies and research institutions have filed, and may file in the future, patent applications related to gamma-delta T cell immunotherapy. Some of these patent applications have already been allowed or issued, and others may issue in the future. 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our product candidate infringes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found to infringe a third party’s valid and enforceable intellectual property rights, we could be required to obtain a license from such third party to continue developing, manufacturing and marketing our product candidate(s) and technology. Under any such license, we would most likely be required to pay various types of fees, milestones, royalties or other amounts. Moreover, we may not be able to obtain any required license on commercially reasonable terms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licensing or acquisition of third-party intellectual property rights is a competitive area, and more established companies may also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an adverse effect on our business, financial condition, results of operations and prospects. Furthermore,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In addition, we could be found liable for monetary damages, including treble damages and attorneys’ fees, if we are found to have willfully infringed a patent or other intellectual property right. We may be required to indemnify collaborators or contractors against such claims. A finding of infringement could prevent us from manufacturing and commercializing our current or any future product candidates or force us to cease some or all of our business operations, which could harm our business. Even if we are successful in defending against such claims, litigation can be expensive and time-consuming and would divert management’s attention from our core business.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Claims that we have misappropriated the confidential information or trade secrets of third parties could have a similar negative impact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involved in lawsuits to protect or enforce our patents, the patents of our licensors or our other intellectual property rights, which could be expensive, time-consuming and unsuccessful.</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Competitors may infringe, misappropriate or otherwise violate our patents, the patents of our licensors or our other intellectual property rights. To counter infringement or unauthorized use, we may be required to file legal claims, which can be expensive and time-consuming and are likely to divert significant resources from our core business, including distracting our technical and management personnel from their normal responsibilities.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owned or licensed patents at risk of being invalidated or interpreted narrowly and could put our owned or licensed patent applications at risk of not issuing. The initiation of a claim against a third party might also cause the third party to bring counterclaims against us, such as claims asserting that our patent rights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w:t>
      </w:r>
      <w:r>
        <w:rPr>
          <w:rFonts w:ascii="Times New Roman" w:hAnsi="Times New Roman"/>
          <w:i/>
          <w:color w:val="000000"/>
          <w:sz w:val="20"/>
        </w:rPr>
        <w:t xml:space="preserve">ex parte </w:t>
      </w:r>
      <w:r>
        <w:rPr>
          <w:rFonts w:ascii="Times New Roman" w:hAnsi="Times New Roman"/>
          <w:color w:val="000000"/>
          <w:sz w:val="20"/>
        </w:rPr>
        <w:t xml:space="preserve">reexaminations, </w:t>
      </w:r>
      <w:r>
        <w:rPr>
          <w:rFonts w:ascii="Times New Roman" w:hAnsi="Times New Roman"/>
          <w:i/>
          <w:color w:val="000000"/>
          <w:sz w:val="20"/>
        </w:rPr>
        <w:t>inter partes</w:t>
      </w:r>
      <w:r>
        <w:rPr>
          <w:rFonts w:ascii="Times New Roman" w:hAnsi="Times New Roman"/>
          <w:color w:val="000000"/>
          <w:sz w:val="20"/>
        </w:rPr>
        <w:t xml:space="preserve"> review, post-grant review, or oppositions or similar proceedings outside the United States, in parallel with litigation or even outside the context of litigation. The outcome following legal assertions of invalidity and unenforceability is unpredictable. We cannot be certain that there is or will be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or if the license offered as a result is not on commercially reasonable terms. Any litigation or other proceedings to enforce our intellectual property rights may fail, and even if successful, may result in substantial costs and distract our management and other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an adverse effect on our ability to compete in the marketplace.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U.S. patent law or the patent law of other countries or jurisdictions could diminish the value of patents in general, thereby impairing our ability to protect our current and any future product candidates.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by USPTO-administered post-grant proceedings, including post-grant review, </w:t>
      </w:r>
      <w:r>
        <w:rPr>
          <w:rFonts w:ascii="Times New Roman" w:hAnsi="Times New Roman"/>
          <w:i/>
          <w:color w:val="000000"/>
          <w:sz w:val="20"/>
        </w:rPr>
        <w:t xml:space="preserve">inter partes </w:t>
      </w:r>
      <w:r>
        <w:rPr>
          <w:rFonts w:ascii="Times New Roman" w:hAnsi="Times New Roman"/>
          <w:color w:val="000000"/>
          <w:sz w:val="20"/>
        </w:rPr>
        <w:t>review, and derivation proceedings. The America Invents Act and its implementation could increase the uncertainties and costs surrounding the prosecution of our patent applications and the enforcement or defense of our issued patents, all of which could have an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Filing, prosecuting and defending patents covering our current and any future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we rely on third parties to help us discover, develop and manufacture our current and any future product candidates, or if we collaborate with third parties for the development, manufacturing or commercialization of our current or any future product candidates, we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 In addition, from time to time we may hire scientists or other employees or consultants who originate from jurisdictions, including China, that have a history of engaging in misappropriation or theft of trade secrets or other acts of trade secret espionage; if any such individuals are found to be engaging in such illegal behavior, it could have a material adverse effect on our ability to protect our intellectual property and our business prospects more generally.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or unlawfully obtained and is using our trade secrets, like patent litigation, is expensive and time-consuming, and the outcome is unpredictable. In addition, courts outside the United States are sometimes less willing to protect trade secrets.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seeking patent and trademark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advisors and consultants. Despite these efforts, any of these parties may breach the agreements and disclose our proprietary information, including our trade secrets. Further, we cannot guarantee that we have entered into such agreements with each party that may have or has had access to our trade secrets or other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Any trademarks we may obtain may be infringed or successfully challenged, resulting in harm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current or any future product candidates. Once we select trademarks and apply to register them, our trademark applications may not be approved. Third parties may oppose our trademark applications or otherwise challenge our use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any proprietary name we propose to use with our current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The following examples are illustrative: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make cells, cell products, genetic modifications, compounds or formulations that are similar to our product candidates but that are not covered by the claims of any patents, should they issue,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might not have been the first to make the inventions covered by the issued patents or pending patent applications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might not have been the first to file patent applications covering certain of our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that our pending patent applications will not lead to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issued patents that we own or license may not provide us with any competitive advantages, or may be held invalid or unenforceable as a result of legal challenges;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drugs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develop additional proprietary technologies that are patentable;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Business Operations, Employee Matters and Managing Growth</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ability to compete in the pharmaceuticals industry depends upon our ability to attract and retain highly qualified managerial, scientific, medical and other personnel. We are highly dependent on the services of our co-founders, William Ho, our President and Chief Executive Officer, and Dr. Lawrence Lamb, our Chief Scientific Officer, and the loss of these members of our management team or other key employees could impede, delay or prevent the successful development of our product pipeline, the completion of our current and planned clinical trials, and the commercialization of our products or in-licensing or acquisition of new assets, and could negatively impact our ability to successfully implement our business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on our co-founders, President and CEO, William Ho, and our Chief Scientific Officer, Dr. Lawrence Lamb. Each of them may currently terminate their employment with us at any time. The loss of the services of either of these persons could impede the achievement of our research, development and commercialization objectives.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Recruiting and retaining other senior executives,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lead,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or advisory contracts with other entities that may limit their availability to us. If we are unable to continue to attract and retain high-quality personnel, our ability to pursue our growth strategy will be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regulatory approvals, sales of our product candidates and our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workforce reduction undertaken to optimize our cost structure may not achieve our intended outcome.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2024, we announced a plan to optimize our resource allocation through a pipeline prioritization and a workforce reduction of approximately 49% across all functions. These reductions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In addition, while positions have been eliminated, certain functions necessary to our operations remain, and we may be unsuccessful in distributing the duties and obligations of departed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If we are unable to realize the anticipated benefits from the reductions in force, or if we experience significant adverse consequences from the reductions in force, our business, financial condition, and results of operations may be materially adversely affected. We may undertake further similar cost-saving initiatives, which may include additional restructuring or workforce reductions. These types of cost-reduction activities can be complex and result in unintended consequences and costs, including further attrition beyond the intended number of employees due to decreased employee morale, loss of institutional knowledge and expertise and adversely impact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plan to expand our organization in the future, and we may experience difficulties in managing this growth, which could disrupt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2025, we had 18 full-time employees. As the clinical development of our product candidates progresses, we expect to require additional employees and expand the scope of our operations, particularly in the areas of research, drug development, manufacturing, clinical operations, regulatory affairs, business and development, finance and accounting and, if any of our product candidates receives marketing approval, sales, marketing and distribution. To manage any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potential growth, we may not be able to effectively manage the expansion of our operations or recruit and train additional qualified personnel. Any expansion of our operations may lead to significant expenses, additional dilution and may divert our management and business development resources. Any inability to manage growth could delay the execution of our business plans or disrupt our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explore strategic collaborations that may not have the intended benefits or never materialize, or we may be required to relinquish important rights to and control over the development and commercialization of our product candidates to any future collaborators.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enter into strategic partnerships, create joint ventures or collaborations or enter into licensing arrangements with third parties with respect to our product candidates that we believe will complement or augment our business. For example, our business strategy includes broadening our DeltEx platform by exploring strategic partnerships that maximize the potential of our gamma-delta T cell programs. Additionally, we are exploring partnership opportunities for the INB-400 Phase 2 clinical program. As a result, we intend to periodically explore a variety of possible strategic partnerships in an effort to gain access to additional product candidates or resources. These strategic partnerships may include partnerships with large strategic partners. At the current time, however, we cannot predict what form such a strategic collaboration might take. We are likely to face significant competition in seeking appropriate strategic collaborators, and strategic collaborations can be complicated and time consuming to negotiate and document. We may not be able to negotiate strategic collaborations on acceptable terms, if any at all. If and when we collaborate with a third party for development and commercialization of a product candidate, we can expect to relinquish some or all of the control over the future success of that product candidate to the third party. We are unable to predict when, if ever, we will enter into any strategic partnerships because of the numerous risks and uncertainties associated with establishing them,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expenditure of substantial operational, financial and management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dilutive issuances of our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actual or contingent liabilities;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termination or expiration of the arrangement, which would delay the development and may increase the cost of developing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we may not be successful in our efforts to establish a strategic partnership or other alternative arrangements for INB-300, INB-400, INB-600 or any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data and/or potential to demonstrate safety and efficacy. Strategic partners may also delay clinical trials, experience financial difficulties, provide insufficient funding, terminate a clinical trial or abandon a product candidate, which could negatively impact our development efforts. We cannot be certain that we would achieve the revenues or specific net income that justifies such strategic partnerships. Additionally, strategic partners may not properly maintain, enforce or defend our intellectual property rights or may use our proprietary information in a manner that could jeopardize or invalidate our proprietary information or expose us to potential litigation, any of which could adversely affect our business, financial position and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If our information technology systems, or those of the third parties with whom we work, or our data, are or were compromised, we could experience adverse consequences resulting from such compromise, including but not limited to, a significant disruption of our product development programs and our ability to operate our business effectively, regulatory investigations or actions, litigation, fines and penalties, reputational harm, loss of revenue or profits, and other adverse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increasingly dependent upon information technology systems, infrastructure and data to operate our business. In the ordinary course of business, we and the third parties with whom we work process sensitive information, and as a result, we and the third parties with whom we work face a variety of evolving threats that could cause security incidents. We also have outsourced elements of our operations to third parties, and as a result we manage a number of third-party vendors and other contractors and consultants who have access to our sensitive information.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internal computer systems, cloud-based computing services and those of any third parties with whom we work are vulnerable to damage or interruption from a variety of sources, including cyberattacks, malicious internet-based activity, and online and offline fraud. These threats include, but are not limited to, social-engineering attacks (including through deep fakes, which may be increasingly more difficult to identify as fake, and phishing attacks), malicious code (such as viruses and worms), malware (including as a result of advanced persistent threat intrusions), data corruption, intentional or accidental actions or inactions by our employees or others with access to our network, supply chain attacks, ransomware attacks, denial-of-service attacks (such as credential stuffing), credential harvesting, software bugs, server malfunctions, software or hardware failures, loss of data or other information technology assets, adware, attacks enhanced or facilitated by A.I., natural disasters, terrorism, war and telecommunication and electrical failures, and other similar threats that affect service reliability and threaten the confidentiality, integrity, and availability of information. Attacks upon information technology systems are increasing in their frequency, levels of persistence, sophistication and intensity, and are being conducted by sophisticated and organized groups and individuals with a wide range of motives and expertise, including traditional computer "hackers,"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cyber-attacks, that could materially disrupt our systems and operations, supply chain, and ability to produce, sell and distribute our goods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We also face increased cybersecurity risks due to the number of our employees who are working remotely, which creates additional opportunities for cybercriminals to exploit vulnerabilities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incidents that may remain undetected for an extended period. If any of the previously identified or similar threats were to occur and cause interruptions in our operations, it could result in a disruption of our development programs and our business operations, whether due to a loss of our sensitive information or other similar disruptions. For example, we have been the target of unsuccessful phishing attempts in the past and we expect such attempts will continue in the future. In addition, the loss of clinical trial data from completed or future clinical trials could result in delays in our regulatory approval efforts and significantly increase our costs to recover or reproduce the data. Furthermore, our software systems include cloud-based applications that are hosted by third-party service providers with security and information technology systems subject to similar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(or a third party with whom we work) experience a security incident or are perceived to have experienced a security incident, we could incur liability, our competitive position could be harmed and the further development and commercialization of our product candidates could be delayed. Security incidents could lead to material adverse consequences, including but not limited to: government enforcement actions (for example, investigations, fines, penalties, audits, and inspections); additional reporting requirements and/or oversight; restrictions on processing sensitive information (including personal data and clinical trial data); litigation (including class claims); indemnification obligations; negative publicity; reputational harm; monetary fund diversions; diversion of management attention; interruptions in our operations (including availability of clinical trial data); financial loss; and other similar harms. Additionally, 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may not, however, be able to detect and remediate all such vulnerabilities including on a timely basis. Further, we may experience delays in deploying remedial measures designed to address any such identified vulnerabilities.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Additionally, sensitive information of the Company could be leaked, disclosed, or revealed as a result of or in connection with our employees’, personnel’s, or vendors’ use of generative AI technologies.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ability to use our net operating losses to offset future taxable income may be subject to certain limitations.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substantial losses since inception and do not expect to become profitable in the near future, if ever. In general, under Section 382 of the United States Internal Revenue Code of 1986, as amended ("Code") a corporation that undergoes an "ownership change" is subject to limitations on its ability to utilize its pre-change net operating losses ("NOLs") to offset future taxable income. We may have experienced ownership changes in the past and may experience ownership changes in the future as a result of subsequent changes in our stock ownership (some of which are outside our control). As a result, if and to the extent that we earn net taxable income, our ability to use our pre-change NOLs to offset such taxable income may be subject to limitations.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current U.S. federal tax law, NOLs arising in tax years beginning after December 31, 2017 can be carried forward indefinitely, but the deductibility of these carryforwards is limited.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uncertain if and to what extent various states will conform to the federal law. In addition, at the state level, there may be periods during which the use of NOLs is suspended or otherwise limited, which could accelerate or permanently increase the state taxes owed.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order to realize the future tax benefits of our NOL carryforwards, we must generate taxable income, of which there is no assurance. Accordingly, we have provided a full valuation allowance for deferred tax assets as of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There are risks inherent in our business that may subject us to potential product liability suits and other claims, which may require us to engage in expensive and time-consuming litigation or pay substantial damages and may harm our reputation and reduce the demand for our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exposes us to product liability risks, which are inherent in the testing, manufacturing, marketing and sale of biopharmaceutical products. For example, we may be sued if any product we develop allegedly causes or is perceived to cause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and/or trademarks.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aspects of how gamma-delta T cells are processed and administered may increase our exposure to liability. Medical personnel administer gamma-delta T cells to patients in an outpatient procedure. This procedure poses risks to the patient similar to those occurring with infusions of other cell products, such as T cells and stem cells, including blood clots, infection and mild to severe allergic reactions. Additionally, gamma-delta T cells or components of our gamma-delta T cell therapy may cause unforeseen harmful side effects. For example, a patient receiving gamma-delta T cells could have a severe allergic reaction, severe graft versus host disease, cytokine release syndrome, or could develop an autoimmune condition to materials infused with gamma-delta T cells.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have not conducted studies on the long-term effects associated with the media and/or expansion process that we use to grow our gamma-delta T cells. Similarly, we expect to use media in freezing our gamma-delta T cells for storage and shipment. These media and other reagents used in the manufacturing process could contain substances that have proved harmful if used in certain quantities. As we continue to develop our gamma-delta T cell therapy, we may encounter harmful side effects that we did not observe in our prior studies and clinical trials. Additionally, the discovery of unforeseen side effects of gamma-delta T cells could also lead to lawsuits against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Regardless of merit or eventual outcome, product liability or other claims may, among other things,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decreased demand for any approved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 of clinical trial participants or cancellation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monetary awards to clinical trial participants 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investigations, product recalls, withdrawals or labeling, marketing or promotional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exhaustion of any available insurance and our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potential decrease in our stock price;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commercialize any products we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obtain and maintain sufficient product liability insurance at an acceptable cost and scope of coverage to protect against potential product liability claims could prevent or inhibit the commercialization of our products. We obtained product liability insurance covering our clinical trials with policy limits that we believe are customary for similarly situated companies and adequate to provide us with coverage for foreseeable risks. Although we maintain such insurance, any claim that may be brought against us could result in a court judgment or settlement in an amount that is not covered, in whole or in part, by our insurance or that is in excess of the limits of our insurance coverage. Moreover, in the future, we may not be able to maintain insurance coverage at a reasonable cost or in sufficient amounts to protect us against losses. If we determine that it is prudent to increase our product liability coverage due to the commercial launch of any approved product, we may be unable to obtain such increased coverage on acceptable terms, or at all.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Commercialization and Regulatory Compliance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Even if we obtain regulatory approvals for our product candidates, they will remain subject to ongoing regulatory oversight.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obtain regulatory approvals for our product candidates, such approvals will be subject to ongoing regulatory requirements for manufacturing, labeling, packaging, storage, advertising, promotion, sampling, record keeping and submission of safety and other post-market information. Any regulatory approvals that we receive for our product candidates may also be subject to a REMS, to limitations on the approved indicated uses for which the product candidate may be marketed or to the conditions of approval, or may contain requirements for potentially costly post-marketing testing, including Phase 4 trials, and for surveillance to monitor the quality, safety and efficacy of the product candidate. Such regulatory requirements may differ from country to country depending on where we have received regulatory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product candidate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candidate, such as adverse events of unanticipated severity or frequency, or problems with the facility where the product candidate is manufactured or if a regulatory authority disagrees with the promotion, marketing or labeling of that product candidate, a regulatory authority may impose restrictions relative to that product candidate, the manufacturing facility or us, including requesting a recall or requiring withdrawal of the product candidate from the market or suspension of manufacturing.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comply with applicable regulatory requirements following approval of our product candidates, a regulatory authority may, among other things, issue warning letters or untitled letters, mandate modifications to promotional materials or require us to provide corrective information to healthcare practitioners, or require other restrictions on the labeling or marketing of such products, require us to enter into a consent decree, which can include imposition of various fines, reimbursements for inspection costs, required due dates for specific actions and penalties for noncompliance, seek an injunction or impose administrative, civil or criminal penalties or monetary fines, suspend or modify any ongoing clinical trials, or suspend, modify withdraw regulatory approval or restrict the marketing or manufacturing of the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the FDA and other regulatory authorities strictly regulate the promotional claims that may be made about biologic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FDA’s and other regulatory authorities’ policies may change and additional government regulations may be enacted that could prevent, limit or delay regulatory approval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or executive action, either in the United States or abroad.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Even if any product candidate receives marketing approval, it may fail to achieve market acceptance by physicians, patients, third-party payors or others in the medical community necessary for commercial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any product candidate receives marketing approval, it may fail to gain market acceptance by physicians, patients, third-party payors and others in the medical community. If any such product candidate does not achieve an adequate level of acceptance, we may not generate significant product revenue and may not become profitable. The degree of market acceptance of any product candidate, if approved for commercial sale, will depend on a number of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efficacy, safety profile, convenience, ease of administration and other potential advantages compared to alternative treatments and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strength of our relationships with patient communities;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third-party coverage and adequate reimbursement;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and severity of any side effects;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restrictions on the use of the product candidate together with other medications.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educate physicians, patients, third-party payors and others in the medical community on the benefits of our product candidates may require significant resources and may never be successful. Such efforts may require more resources than are typically required due to the complexity and uniqueness of our product candidates. Because we expect sales of our product candidates, if approved, to generate substantially all of our revenues for the foreseeable future, the failure of our product candidates to find market acceptance would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the attention to different types of prospective treatments and proposed cures for cancers has historically varied. In recent years, various forms of oncological immunotherapy have been prominent areas for academic and clinical advancement. While gamma-delta T cell therapy has not yet received prominent negative attention from the mainstream media or the scientific press, it is possible that it could, and it is possible that if immunotherapy generally falls out of favor with these key constituencies, whether due to the failure of one or more competitive products or technologies or otherwise, our business, including our ability to conduct our planned clinical trials and to raise capital, may in turn suffer.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establish sales and marketing capabilities or enter into agreements with third parties to market and sell our product candidates, we may not be successful in commercializing them, if and when they are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successfully commercialize any product candidate that may result from our development programs, we will need to build out our sales and marketing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seek to enter into collaborations with other entities to utilize their established marketing and distribution capabilities, but we may be unable to enter into such agreements on favorable terms, if at all. If any current or future collaborators do not commit sufficient resources to commercialize our product candidates, or we are unable to develop the necessary capabilities on our own, we may be unable to generate sufficient revenue to sustain our business. We compete with many companies that currently have extensive, experienced and well-funded marketing and sales operations to recruit, hire, train and retain marketing and sales personnel. We will likely also face competition if we seek third parties to assist us with the sales and marketing efforts of our product candidates. Without an internal team or the support of a third party to perform marketing and sales functions, we may be unable to compete successfully against these more established companies.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Even if we obtain and maintain approval for our product candidates from the FDA, we may never obtain approval outside the United States, which would limit our market opportunities.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the United States will be subject to foreign regulatory requirements governing clinical trials and marketing approval. Even if the FDA grants marketing approval for a product candidate, comparable foreign regulatory authorities also must approve the manufacturing and marketing of the product candidate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any product candidates, if approved, is also subject to approval. Obtaining approval for our product candidates in the European Union from the European Commission following the opinion of the European Medicines Agency ("EMA") if we choose to submit a marketing authorization application there, would be a lengthy and expensive process. Even if a product candidate is approved, the EMA may limit the indications for which the product may be marketed, require extensive warnings on the labeling or require expensive and time-consuming additional clinical trials or reporting as conditions of approval. Obtaining foreign regulatory approvals and compliance with foreign regulatory requirements could result in significant delays, difficulties and costs for us and could delay or prevent the introduction of our product candidates in certain countries.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commercialize our product candidates outside the United States, a variety of risks associated with international operations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have not taken any steps to obtain approval of our product candidates outside of the United States, and do not plan to seek approval in the near term, we may do so in the future. If we market approved products outside the United States, we expect that we will be subject to additional risks in commercialization,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regulatory requirements for approval of therapies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protection for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unexpected changes in tariffs, trade barriers and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economic weakness, including inflation, or political instability in particular economies and markets;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revenues, and other obligations incident to doing business in another country;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reimbursement, pricing and insurance regimes;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workforce uncertainty due to labor unrest;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interruptions resulting from geopolitical actions, including war and terrorism such as the Israel-Hamas war and the Russia-Ukraine war, natural disasters including earthquakes, typhoons, floods and fires, and public health emergencies.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 prior experience in these areas. In addition, there are complex regulatory, immigration, tax, labor and other legal requirements imposed by many of the individual countries in which we may operate, including the United States and, with which we will need to comply. Many biopharmaceutical companies have found the process of marketing their products in foreign countries to be challenging.</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relationships with customers, physicians, and third-party payors are subject, directly or indirectly, to federal and state healthcare fraud and abuse laws, including anti-kickback and false claims laws, transparency laws, and other healthcare laws and regulations. If we are unable to comply, or have not fully complied, with such laws, we could face substantial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health information privacy laws, transparency laws, and other healthcare laws, including, without limitation, the federal Anti-Kickback Statute, the federal civil and criminal false claims laws and the law commonly referred to as the Physician Payments Sunshine Act and the regulations promulgated thereunder. For additional information on the healthcare laws and regulations that we may be subject to, see the section captioned "Business—Government Regulation" in our Annual Report on Form10-K.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Ensuring that our business arrangements with third parties comply with applicable healthcare laws and regulations will likely be costly. It is possible that governmental authorities will conclude that our business practices, including our relationships with physicians, some of whom are compensated with a stipend or stock options for services performed for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If the physicians or other providers or entities with whom we expect to do business are found not to be in compliance with applicable laws, they may be subject to significant criminal, civil or administrative sanctions, including exclusions from government-funded healthcare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Coverage and adequate reimbursement may not be available for our product candidates, which could make it difficult for us to sell profitably,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 acceptance and sales of any product candidates that we commercialize, if approved, will depend in part on the extent to which reimbursement for these products and related treatments will be available from third-party payors, including government health administration authorities, managed care organizations and other private health insurers. Third-party payors decide which therapies they will pay for and establish reimbursement levels. 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product does not assure that other payors will also provide coverage, and adequate reimbursement, for the product. Additionally, a third-party payor’s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decision to provide coverage for a therapy does not imply that an adequate reimbursement rate will be approved. Each payor determines whether or not it will provide coverage for a therapy, what amount it will pay the manufacturer for the therapy, and on what tier of its formulary it will be placed. The position on a payor’s list of covered products,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Third-party payors have attempted to control costs by limiting coverage and the amount of reimbursement for particular medications. Currently, in the allogeneic transplant setting, reimbursement is often made based on a capitated payment system, and obtaining reimbursement for our products may be particularly difficult because of the higher prices often associated with drugs administered under the supervision of a physician. Therefore, our product candidates may not be reimbursed separately but their cost may instead be bundled as part of a capitated payment received by the provider for the procedure only. We cannot be sure that the clinical results of our trials will be sufficient or meaningful to educate hospitals and/or clinicians on the benefits of our product or to get third-party payors to change reimbursement to separate outside of the current bundle. A decision by a third-party payor not to cover or separately reimburse for our product candidates or procedures using our product candidates, could reduce physician utilization of our products once approved.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marketing approval. If coverage and adequate reimbursement are not available, or are available only at limited levels, we may not be able to successfully commercialize any product candidates that we develop.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Healthcare legislative reform measures may have a negative impact on our business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and some foreign jurisdictions, there have been, and continue to be,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example, in March 2010, the Patient Protection and Affordable Care Act of 2010, as amended by the Health Care and Education Reconciliation Act of 2010 (collectively, the "ACA"), was passed, which substantially changed the way healthcare is financed by both governmental and private payors in the United States. Since its enactment, however, there have been executive, judicial and Congressional challenges and amendments to the ACA. It is unclear how any such challenges, and the healthcare reform measures of the Trump administration will impact the ACA and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legislative changes have been proposed and adopted since the ACA was enacted. For example, on July 4, 2025, the annual reconciliation bill, the "One Big Beautiful Bill Act"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in 2025, which, among other provisions in the law, are anticipated to reduce the number of Americans with health insurance. These changes also include aggregate reductions to Medicare payments to providers of 2% per fiscal year pursuant to the Budget Control Act of 2011, which began in 2013, and due to subsequent legislative amendments to the statute, which will remain in effect until 2032, unless additional Congressional action is taken. Additionally, on March 11, 2021, the American Rescue Plan Act of 2021 was signed into law, which eliminates the statutory Medicaid drug rebate cap, previously set at 100% of a drug’s average manufacturer price, for single source and innovator multiple source drugs, effective January 1, 2024. More recently, on August 16, 2022, the Inflation Reduction Act of 2022 ("IRA") was signed into law, which included a number of significant drug pricing reforms, including extending enhanced subsidies for individuals purchasing health insurance coverage in ACA marketplaces through plan year 2025 and a redesign of the Part D benefit, as part of which manufacturers are required to provide discounts on Part D drugs and Part D beneficiaries’ annual out-of-pocket spending will be capped at $2,000 beginning in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changes that may affect our business include the expansion of new programs such as Medicare payment for performance initiatives for physicians under the Medicare Access and CHIP Reauthorization Act of 2015. At this time, the full impact to overall physician reimbursement as a result of the introduction of the Medicare quality payment program remains unclear.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 in the United States there has been heightened governmental scrutiny over the manner in which manufacturers set prices for their marketed products, which has resulted in several Congressional inquiries, Presidential executive orders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the IRA, among other things, (1) directs the U.S. Department of Health and Human Services (“HHS”) to negotiate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price of certain high-expenditure, single-source biologics covered under Medicare that have been on the market for at least 11 years (the “Medicare Drug Price Negotiation Program”) and (2) imposes rebates under Medicare Part B and Medicare Part D to penalize price increases that outpace inflation. These provisions began to take effect progressively in fiscal year 2023. On August 15, 2024, HHS announced the agreed-upon reimbursement prices of the first 10 drugs that were subject to price negotiations, although the Medicare Drug Price Negotiation Program is currently subject to legal challenges. On January 17, 2024, HHS selected fifteen additional products covered under Part D for price negotiation in 2025. Each year thereafter more Part B and Part D products will become subject to the Medicare Drug Price Negotiation Program.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Further, we expect that additional U.S. federal healthcare reform measures will be adopted in the future, any of which could limit the amounts that the U.S. federal government will pay for healthcare products and services, which could result in reduced demand for our current or any future product candidates or additional pricing pressures. We cannot predict the likelihood, nature or extent of government regulation that may arise from future legislation or administrative action in the United States or any other jurisdiction, particularly in light of the outcomes of the recent U.S. Presidential and Congressional elections. If we or any third parties we may engage are slow or unable to adapt to changes in existing or new requirements or policies, or if we or such third parties are not able to maintain regulatory compliance, our current or any future product candidates we may develop may lose any regulatory approval that may have been obtained and we may not achieve or sustain profitability.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health reform measures may continue and affect our business in unknown ways, particularly given the recent change in administration. 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and proposals include, for example: (1) reducing agency workforce; (2) directing program cuts; (3)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 (4) directing HHS and other agencies to lower prescription drug costs for Medicare through a variety of initiatives, including by improving upon the Medicare Drug Price Negotiation Program and establishing Most-Favored-Nation pricing for pharmaceutical products; (5) imposing tariffs of imported pharmaceutical products; and (6) directing certain federal agencies to enforce existing law regarding hospital and plan price transparency and by standardizing prices across hospitals and health plans.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that these and other healthcare reform measures that may be adopted in the future may result in more rigorous coverage criteria and in additional downward pressure on the price that we receive for any approved drug, which could have an adverse effect on demand for our product candidates.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For additional information on healthcare reform, see the section captioned "Business—Government Regulation" in our Annual Report on Form 10-K.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FDA’s ability to review and approve new products may be hindered by a variety of factors, including budget and funding levels, ability to hire and retain key personnel, statutory, regulatory and policy changes and global health concerns.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 In addition, the current administration has proposed substantial reductions in force at various government agencies including the FDA, which could significantly reduce the FDA’s capacity to perform its functions in a manner consistent with its past practices and could delay reviews and negatively impact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(or the third parties with whom we work) actual or perceived failures to comply with applicable data privacy and security obligations, including laws, regulations, contractual obligations, industry standards and other obligations could lead to regulatory investigations or actions, litigation (including class claims), fines and penalties, disruptions of our business operations, reputational harm, loss of revenue or profits, and other adverse business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(collectively, processing) personal data and other sensitive information, including proprietary and confidential business data, trade secrets, intellectual property, data we collect about participants in connection with clinical trials, and sensitive third-party data (collectively, sensitive information). Our data processing activities subject us to numerous data privacy and security obligations, such as various state, federal and foreign laws, regulations, guidance, industry standards, external and internal privacy and security policies, contracts and other obligations governing the processing of personal data and other sensitive information, such as information that we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process sensitive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or the third parties with whom we work to comply with federal, state or foreign laws or regulation, our internal policies and procedures or our contracts governing our processing of sensitive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our operations and business grow, we become subject to or affected by new or additional data protection laws and regulations and face increased scrutiny or attention from regulatory authorities. In the United States, numerous federal and state laws and regulations, including state data breach notification laws, state health information privacy laws, and federal and state consumer protection laws and regulations (i.e., Section 5 of the FTC Act), that govern the collection, use, disclosure, and protection of health-related and other personal data. In addition, we obtain health information from third parties (including research institutions from which we obtain clinical trial data) that are subject to data privacy and security requirements under the Federal Health Insurance Portability and Accountability Act of 1996, as amended by the Health Information Technology for Economic and Clinical Health Act of 2009, and regulations promulgated thereunder (collectively, "HIPAA"). Depending on the facts and circumstances, we could be subject to significant penalties if we violate HIPAA.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states have also adopted comparable data privacy and security laws and regulations, some of which may be more stringent than HIPAA. For example, the California Consumer Privacy Act of 2018, as amended by the California Privacy Rights Act of 2020 (collectively, the "CCPA"), imposes obligations on covered businesses regarding the personal data of consumers, business representatives, and employees who are California residents, and requires business to provide specific disclosures in privacy notices and honor requests of California residents to exercise certain privacy rights related to their personal data. The CCPA allows for statutory fines for noncompliance and a private right of action for certain data breaches. Although the CCPA exempts some data processed in the context of clinical trials, the CCPA may increase compliance costs and potential liability with respect to other personal data we may maintain about California residents. Other states have enacted data privacy laws as well. Similar laws have been enacted or are being considered in several other states, as well as at the federal and local levels, and we expect more states to pass similar laws in the future, which could further complicate compliance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all 50 U.S. states and the District of Columbia have enacted breach notification laws that may require us to notify affected individuals or regulators in the event of unauthorized access to or disclosure of personal data experienced by us or our service providers. These laws are not consistent, and compliance in the event of a widespread data breach is difficult and can be costly. In addition to government regulation, privacy advocates and industry groups have and may in the future propose self-regulatory standards from time to time. We are, and may in the future become, subject to certain industry standards, or we may elect to comply with such standards.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apply to data privacy and security. For example, the EU GDPR and the UK GDPR impose strict requirements for processing personal data. For example, under the EU GDPR, government regulators may impose temporary or definitive bans on data processing, as well as fines of up to 20 million euros or 4% of annual global revenue, whichever is greater. Further, individuals may initiate litigation related to processing of their personal data. In Canada, the PIPEDA and various related provincial laws, may apply to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Certain jurisdictions have enacted data localization laws and cross-border personal data transfer laws, which could make it more difficult to transfer information across jurisdictions (such as transferring or receiving personal data that originates in the EU or in other foreign jurisdictions). Existing mechanisms that facilitate cross-border personal data transfers may change or be invalidated. For example, absent appropriate safeguards or other circumstances, the EU GDPR generally restricts the transfer of personal data to countries outside of the EEA, that the European Commission does not consider to provide an adequate level of data privacy and security, such as the United States. Although there are currently various mechanisms that may be used to transfer personal data from the EEA and UK to the United States in compliance with law, such as the EU’s standard contractual clauses, the UK’s International Data Transfer Agreement / Addendum, and the EU-U.S. Data Privacy Framework and the UK extension thereto (which allows for transfers to relevant U.S.-based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organizations who self-certify compliance and participate in the Framework), these mechanisms are subject to legal challenges, and there is no assurance that we can satisfy or rely on these measures to lawfully transfer personal data to the United States or other countries. 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certain countries outside Europe have also passed or are considering laws requiring local data residency or otherwise impeding the transfer of personal data across borders, which increases the cost and complexity of doing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data privacy and security laws, we are bound by other contractual obligations related to data privacy and security, and our efforts to comply with such obligations may not be successful. We also publish privacy policies, marketing materials, whitepapers,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work to comply with applicable data privacy and security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Preparing for and complying with these obligations requires significant resources and may necessitate changes to our information technologies, systems, and practices and to those of any third parties with whom we work.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negatively impact our business operations and compliance posture. Any failure or perceived failure by us or our employees, representatives, contractors, consultants, CROs, collaborators, or other third parties with who we work to comply with such requirements or adequately address data privacy and security concerns, even if unfounded, could result in additional cost and liability to us, damage our reputation, or adversely affect our business and results of operations. For example, we may experience adverse consequences such as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 government enforcement actions (i.e., investigations, fines, penalties, audits, inspections, and similar); litigation (including class-related claims) and mass arbitration demands; additional reporting requirements and/or oversight; bans on processing personal data; orders to destroy or not use personal data; and imprisonment of company officials.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the Ownership of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An active trading market for our common stock may not continue to be developed or sustained, and you may not be able to sell your shares quickly or at the market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our common stock is traded on the Nasdaq Stock Market LLC, ("Nasdaq") the liquidity in our common stock on that stock market remains thin. If an active trading market for our common stock does not continue to be developed or sustained, you may not be able to sell your shares quickly or at all at the market price. An inactive market may also impair our ability to raise capital to continue to fund operations by selling shares of our common stock and may impair our ability to acquire other companies or technologies by using our common stock as consideration.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completed a reverse stock split of our shares of common stock, which may reduce and may limit the market trading liquidity of the shares due to the reduced number of shares outstanding and may potentially have an anti-takeover effect.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completed the reverse stock split of our common stock by a ratio of 1-for-30, effective June 5, 2025. The liquidity of our common stock may be adversely affected by the reverse stock split as a result of the reduced number of shares outstanding following the reverse stock split. In addition, the reverse stock split may increase the number of stockholders who own odd lots of our common stock, creating the potential for such stockholders to experience an increase in the cost of selling their shares and greater difficulty affecting such sales. Reducing the number of outstanding shares of our common stock through the reverse stock split is intended, absent other factors, to increase the per share market price of our common stock. However, other factors, such as our financial results, 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conditions and the market perception of our business may adversely affect the market price of our common stock. As a result, there can be no assurance that the reverse stock split will result in the intended benefits, that the market price of our common stock will remain higher following the reverse stock split or that the market price of our common stock will not decrease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market price of our common stock is volatile and may fluctuate substantially, and you could lose all or part of your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price of our common stock is volatile. The stock market in general, and the market for biopharmaceutical and pharmaceutical companies in particular, has experienced extreme volatility that has often been unrelated to the operating performance of particular companies. In addition to the factors discussed in this "Risk Factors" section, the market price for our common stock may be influenced by, among other factors: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commencement, enrollment or results of our planned or future clinical trials of our product candidates or those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and failures of competitive products or therapies or announcements, including patient deaths and clinical holds, by potential competitors of their product development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coordinated buying or selling activity in our common stock, including market manipulation;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unusual trading in our common stock or securities derivative thereof, including pursuant to naked, or uncovered, short positions or "short squeezes;"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commentary by investors on the prospects for our business or our common stock on the internet, including blogs, articles and message board, and/or social media and resulting in trading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price and volume fluctuations attributable to inconsistent trading volume levels and a wide bid-ask in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 or expectation of additional financing efforts or sales by our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political, and market conditions and overall fluctuations in the financial markets in the United States and abroad, including as a result of inflation expectations, bank closures, public health crises or geographical tensions and wars, such as the Israel-Hamas war and Russia-Ukraine war;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investors’ general perception of us and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Concentration of ownership of our common stock among our existing executive officers, directors and principal stockholders may prevent new investors from influencing significant corporate decisions.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upon shares of our common stock outstanding as of May 1, 2025, our executive officers, directors and stockholders who own more than 5% of our outstanding common stock will, in the aggregate, beneficially own shares representing 14% of our outstanding common stock as of the date of this Quarterly Report. If our executive officers, directors and stockholders who own more than 5% of our outstanding common stock acted together, they may be able to significantly influence all matters requiring stockholder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including the election and removal of directors and approval of any merger, consolidation or sale of all or substantially all of our assets. The concentration of voting power and transfer restrictions could delay or prevent an acquisition of our company on terms that other stockholders may desire or result in the management of our company in ways with which other stockholders disagree.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Provisions in our corporate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classified board of directors such that not all members of the board are elected at one 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allow the authorized number of our directors to be changed only by resolution of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that our directors may be removed for cause only upon the vote of at least 66 2/3% of our outstanding shares of voting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advance notice requirements for stockholder proposals that can be acted on at stockholder meetings and nominations to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that stockholder actions must be effected at a duly called stockholder meeting and prohibit actions by our stockholders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 who may call stockholder meetings;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authorize our board of directors to issue, without further action by the stockholders, shares of undesignated preferred stock with terms, rights and preferences determined by our board of directors that may be senior to our common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the approval of the holders of at least 66 2∕3% of the votes that all our stockholders would be entitled to cast to amend or repeal certain provisions of our charter or bylaws.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Delaware General Corporation Law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We have not elected to opt out of DGCL Section 203.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provides that, with respect to any state actions or proceedings under Delaware statutory or common law, the Court of Chancery of the State of Delaware is the exclusive forum for: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asserting a breach of fiduciary duty;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asserting a claim against us or any of our directors, officers, employees or agents arising under the DGCL, our amended and restated certificate of incorporation or our second amended and restated bylaws;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to interpret, apply, enforce or determine the validity of our amended and restated certificate of incorporation or our second amended and restated bylaws;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asserting a claim against us or any of our directors, officers, employees or agents that is governed by the internal-affairs doctrine.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an exclusive-forum provision in our amended and restated certificate of incorporation to be inapplicable or unenforceable in an action, we may incur additional costs associated with resolving the dispute in other jurisdictions, which could harm our business.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Unstable market and economic conditions, including as a result of inflation expectations, tariffs, MFN drug pricing, bank closures, public health crises or geopolitical tensions such as the Russia-Ukraine and/or the Israel-Hamas wars, may have serious adverse consequences on our business, financial condition and share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macroeconomic uncertainty and volatile business environment have resulted in ongoing inflation, elevated interest rates, volatility in the capital markets, significantly reduced liquidity and credit availability, decreases in consumer demand and confidence, declines in economic growth, increases in unemployment rates and uncertainty about economic stability. Similarly, tensions between China and Taiwan and the Russia-Ukraine and the Israel-Hamas wars have created extreme volatility in the global capital markets and is expected to have further global economic consequences, including potential disruptions of the global supply chain, manufacturing and energy markets.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Trade disputes, tariffs, drug pricing, restrictions and other political tensions between the U.S. and other countries may also exacerbate unfavorable macroeconomic conditions, including inflationary pressures, foreign exchange volatility, financial market instability, and economic recessions or downturns, which may also limit our access to capital, or otherwise negatively impact our business and operations. Additionally, 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With the new U.S. administration, additional and higher tariffs and sanctions may be imposed on goods imported from other countries which could increase the cost of goods needed to continue development of our product candidates. Further, such actions by the U.S. could result in retaliatory action by those countries which could impact our ability to profitably commercialize our products in those jurisdictions. As a result, our business, operations and financial condition could be materially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 on Form 10-Q.</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such volatility and disruptions may have adverse consequences on us or the third parties on whom we rely. If the equity and credit markets deteriorate, including as a result of inflation expectations, recent bank closures, the changing interest rate environment,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Any significant increases in inflation and related increase in interest rates could have a material adverse effect on our business, results of operations and financial condition.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maintain cash deposits in excess of federally insured limits. Adverse developments affecting the financial services industry, such as actual events or concerns involving liquidity, defaults or non-performance by financial institutions could adversely affect our liquidity, current financial condition and projected business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domestic cash deposits in Federal Deposit Insurance Corporation ("FDIC") insured banks that exceed the FDIC insurance limits. Bank failures, events involving limited liquidity, defaults, non-performance, or other adverse developments that affect financial institutions, or concerns or rumors about such events, may lead to liquidity constraints. For example, during 2023, the FDIC took over Silicon Valley Bank, Signature Bank, Silvergate Capital Corp., and First Republic Bank, into receivership. Although the FDIC announced that all deposits with these banks would be fully insured, there continues to be uncertainty in the markets regarding the stability of regional banks and the safety of deposits in excess of the FDIC insured deposit limits. If other banks and financial institutions enter receivership or become insolvent in the future in response to financial conditions affecting the banking system and financial markets, our ability to access our existing cash may be threatened. The FDIC only insures accounts in amounts up to $250,000 per depositor per insured bank. If any of the banking institutions in which we have deposited funds ultimately fails, we may lose our deposits over $250,000. The loss of our deposits would have a material adverse effect on our business and financial condition. There can be no assurance that our deposits in excess of the FDIC or other comparable insurance limits will be backstopped by the FDIC or U.S. government, or that any bank or financial institution with which we do business will be able to obtain needed liquidity from other banks, government institutions, or by acquisition in the event of a failure or liquidity crisis. The ultimate outcome of these events cannot be predicted, but these events could have a material adverse effect on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research analysts do not publish research or reports, or publish unfavorable research or reports, about us, our business or our market, our stock price and trading volume could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industry or financial analysts publish about us or our business. We currently have research coverage by a few industry or financial analysts and may never obtain additional coverage. Equity research analysts may elect not to provide research coverage of our common stock or may drop coverage and such lack of research coverage may adversely affect the market price of our common stock. In the event we do have additional equity research analyst coverage, we will not have any control over the analysts or the content and opinions included in their reports. The price of our shares could decline if one or more equity research analysts downgrade our shares, reduce their price-targets, or issue other unfavorable commentary or research about us. If one or more equity research analysts cease coverage of us or fail to publish reports on us regularly, demand for our shares could decrease, which in turn could cause the trading price or trading volume of our common stock to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will continue to incur increased costs as a result of operating as a public company, and our management will continue to be required to devote substantial time to new compliance initiatives.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public company, and particularly after we are no longer an emerging growth company ("EGC") as defined under the Jobs Act, or smaller reporting company, we will continue to incur significant legal, accounting and other expenses that we did not incur as a private company. In addition, the Sarbanes-Oxley Act of 2002 ("Sarbanes-Oxley Act") and rules subsequently implemented by the SEC and The Nasdaq Stock Market LLC impose various requirements on public companies, including establishment and maintenance of effective disclosure and financial controls and corporate governance practices. Our management and other personnel will need to devote a substantial amount of time to comply with these requirements. Moreover, these rules and regulations will increase our legal and financial compliance costs and will make some activities more time-consuming and costly.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Section 404 of the Sarbanes-Oxley Act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EGC or a smaller reporting company with less than $100 million in annual revenue, we will not be required to include an attestation report on internal control over financial reporting issued by our independent registered public accounting firm. We could be an EGC until the end of the fiscal year following the fifth anniversary of our initial public offering.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over financial reporting. Despite our efforts, there is a risk that neither we nor our independent registered public accounting firm will be able to conclude within the prescribed timeframe that our internal control over financial reporting is effective as required by Section 404.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our assessment of internal controls and procedures may not detect material weaknesses in our internal control over financial reporting. Undetected material weaknesses in our internal control over financial reporting could lead to financial statement restatements and require us to incur the expense of remediation, which could have a negative effect on the trading price of our stock. These events could result in an adverse reaction in the financial markets due to a loss of confidence in the reliability of our financial statements.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 Recent Sales of Unregistered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 Use of Proceeds from Initial Public Offering of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 Issuer Purchases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8" w:name="item_5_or_information"/>
      <w:bookmarkEnd w:id="18"/>
      <w:r>
        <w:rPr>
          <w:rFonts w:ascii="Times New Roman" w:hAnsi="Times New Roman"/>
          <w:b/>
          <w:color w:val="000000"/>
          <w:sz w:val="20"/>
        </w:rPr>
        <w:t>Item 5. Other Information.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 of our directors or executive officers adopted, modified or terminated a “Rule 10b5-1 trading arrangement” or “non-Rule-10b5-1 trading arrangement,” as each term is defined in Item 408(a) of Regulation S-K, during the fiscal quarter ended June 30, 2025.</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9" w:name="item_6_exhibits_financial_statement_sche"/>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9293"/>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3" w:type="dxa"/>
            <w:tcBorders/>
            <w:vAlign w:val="center"/>
          </w:tcPr>
          <w:p>
            <w:pPr>
              <w:pStyle w:val="TableContents"/>
              <w:bidi w:val="0"/>
              <w:spacing w:before="0" w:after="283"/>
              <w:jc w:val="left"/>
              <w:rPr>
                <w:sz w:val="4"/>
                <w:szCs w:val="4"/>
              </w:rPr>
            </w:pPr>
            <w:r>
              <w:rPr>
                <w:sz w:val="4"/>
                <w:szCs w:val="4"/>
              </w:rPr>
            </w:r>
          </w:p>
        </w:tc>
      </w:tr>
      <w:tr>
        <w:trPr/>
        <w:tc>
          <w:tcPr>
            <w:tcW w:w="76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Amended and Restated Certificate of Incorporation of the Company (incorporated herein by reference to Exhibit 3.1 to the Company’s Current Report on Form 8-K (File No. 001-39692), filed with the SEC on August 3, 2021)</w:t>
              </w:r>
            </w:hyperlink>
            <w:r>
              <w:rPr>
                <w:rFonts w:ascii="Times New Roman" w:hAnsi="Times New Roman"/>
                <w:color w:val="000000"/>
                <w:sz w:val="20"/>
              </w:rPr>
              <w:t>.</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of the Amended and Restated Certificate of Incorporation of the Company (incorporated herein by reference to Exhibit 3.1 to the Company’s Current Report on Form 8-K (File No. 001-39692), filed with the SEC on June 4, 2025).</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20"/>
                  <w:u w:val="single"/>
                </w:rPr>
                <w:t>Second Amended and Restated Bylaws of the Company (incorporated herein by reference to Exhibit 3.1 to the Company’s Current Report on Form 8-K (File No. 001-39692), filed with the SEC on December 7, 2023).</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2025 Pre-Funded Warrant (incorporated herein by reference to Exhibit 4.1 to the Company’s Current Report on Form 8-K (File No. 001-39692), filed with the SEC on April 28, 2025).</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Amendment to Series A Warrant issued to Participating Holders (incorporated herein by reference to Exhibit 4.2 to the Company’s Current Report on Form 8-K (File No. 001-39692), filed with the SEC on April 28, 2025).</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Amendment to Series A Warrant issued to Participating Holders (incorporated herein by reference to Exhibit 4.3 to the Company’s Current Report on Form 8-K (File No. 001-39692), filed with the SEC on April 28, 2025).</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Amendment to Series B Warrant (incorporated herein by reference to Exhibit 4.4 to the Company’s Current Report on Form 8-K (File No. 001-39692), filed with the SEC on April 28, 2025).</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Amendment No. 1 to Stock Purchase Agreement, dated April 27, 2025 (incorporated herein by reference to Exhibit 10.1 to the Company’s Current Report on Form 8-K (File No. 001-39692), filed with the SEC on April 28, 2025).</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Inducement Letter (incorporated herein by reference to Exhibit 10.2 to the Company’s Current Report on Form 8-K (File No. 001-39692), filed with the SEC on April 28, 2025).</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Exchange Letter (incorporated herein by reference to Exhibit 10.3 to the Company’s Current Report on Form 8-K (File No. 001-39692), filed with the SEC on April 28, 2025).</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nab-ex31_1.htm">
              <w:r>
                <w:rPr>
                  <w:rStyle w:val="InternetLink"/>
                  <w:rFonts w:ascii="Times New Roman" w:hAnsi="Times New Roman"/>
                  <w:color w:val="0000FF"/>
                  <w:sz w:val="20"/>
                  <w:u w:val="single"/>
                </w:rPr>
                <w:t>Certification of Principal Executive Officer pursuant to Rule 13a-14(a) and Rule 15d-14(a) of the Securities Exchange Act of 1934, as adopted pursuant to Section 302 of the Sarbanes-Oxley Act of 2002, as amended</w:t>
              </w:r>
            </w:hyperlink>
            <w:r>
              <w:rPr>
                <w:rFonts w:ascii="Times New Roman" w:hAnsi="Times New Roman"/>
                <w:color w:val="000000"/>
                <w:sz w:val="20"/>
              </w:rPr>
              <w:t>.</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nab-ex31_2.htm">
              <w:r>
                <w:rPr>
                  <w:rStyle w:val="InternetLink"/>
                  <w:rFonts w:ascii="Times New Roman" w:hAnsi="Times New Roman"/>
                  <w:color w:val="0000FF"/>
                  <w:sz w:val="20"/>
                  <w:u w:val="single"/>
                </w:rPr>
                <w:t>Certification of Principal Financial Officer pursuant to Rule 13a-14(a) and Rule 15d-14(a) of the Securities Exchange Act of 1934, as adopted pursuant to Section 302 of the Sarbanes-Oxley Act of 2002, as amended</w:t>
              </w:r>
            </w:hyperlink>
            <w:r>
              <w:rPr>
                <w:rFonts w:ascii="Times New Roman" w:hAnsi="Times New Roman"/>
                <w:color w:val="000000"/>
                <w:sz w:val="20"/>
              </w:rPr>
              <w:t>.</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nab-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r>
              <w:rPr>
                <w:rFonts w:ascii="Times New Roman" w:hAnsi="Times New Roman"/>
                <w:color w:val="000000"/>
                <w:sz w:val="20"/>
              </w:rPr>
              <w:t>.</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bidi w:val="0"/>
        <w:jc w:val="both"/>
        <w:rPr/>
      </w:pPr>
      <w:r>
        <w:rPr/>
        <w:t> </w:t>
      </w:r>
    </w:p>
    <w:p>
      <w:pPr>
        <w:pStyle w:val="TextBody"/>
        <w:pBdr>
          <w:bottom w:val="single" w:sz="4" w:space="1" w:color="000000"/>
        </w:pBdr>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This certification is being furnished solely to accompany this quarterly report on Form 10-Q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both"/>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both"/>
        <w:rPr/>
      </w:pPr>
      <w:r>
        <w:rPr/>
        <w:t> </w:t>
      </w:r>
    </w:p>
    <w:tbl>
      <w:tblPr>
        <w:tblW w:w="6184" w:type="dxa"/>
        <w:jc w:val="left"/>
        <w:tblInd w:w="0" w:type="dxa"/>
        <w:tblLayout w:type="fixed"/>
        <w:tblCellMar>
          <w:top w:w="28" w:type="dxa"/>
          <w:left w:w="28" w:type="dxa"/>
          <w:bottom w:w="28" w:type="dxa"/>
          <w:right w:w="28" w:type="dxa"/>
        </w:tblCellMar>
      </w:tblPr>
      <w:tblGrid>
        <w:gridCol w:w="556"/>
        <w:gridCol w:w="1351"/>
        <w:gridCol w:w="406"/>
        <w:gridCol w:w="387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IN8bio,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Ho</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William Ho</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 and Secretary</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bookmarkStart w:id="21" w:name="inab-ex31_1.htm"/>
      <w:bookmarkStart w:id="22" w:name="ksinab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Arial" w:hAnsi="Arial"/>
          <w:b/>
          <w:color w:val="000000"/>
          <w:sz w:val="18"/>
        </w:rPr>
      </w:pPr>
      <w:r>
        <w:rPr>
          <w:rFonts w:ascii="Arial" w:hAnsi="Arial"/>
          <w:b/>
          <w:color w:val="000000"/>
          <w:sz w:val="18"/>
        </w:rPr>
        <w:t>CERTIFICATIONS</w:t>
      </w:r>
    </w:p>
    <w:p>
      <w:pPr>
        <w:pStyle w:val="TextBody"/>
        <w:bidi w:val="0"/>
        <w:spacing w:before="180" w:after="283"/>
        <w:jc w:val="left"/>
        <w:rPr>
          <w:rFonts w:ascii="Arial" w:hAnsi="Arial"/>
          <w:color w:val="000000"/>
          <w:sz w:val="18"/>
        </w:rPr>
      </w:pPr>
      <w:r>
        <w:rPr>
          <w:rFonts w:ascii="Arial" w:hAnsi="Arial"/>
          <w:color w:val="000000"/>
          <w:sz w:val="18"/>
        </w:rPr>
        <w:t>I, William Ho, certify that:</w:t>
      </w:r>
    </w:p>
    <w:p>
      <w:pPr>
        <w:pStyle w:val="TextBody"/>
        <w:bidi w:val="0"/>
        <w:spacing w:before="180" w:after="283"/>
        <w:jc w:val="left"/>
        <w:rPr>
          <w:rFonts w:ascii="Arial" w:hAnsi="Arial"/>
          <w:color w:val="000000"/>
          <w:sz w:val="18"/>
        </w:rPr>
      </w:pPr>
      <w:r>
        <w:rPr>
          <w:rFonts w:ascii="Arial" w:hAnsi="Arial"/>
          <w:color w:val="000000"/>
          <w:sz w:val="18"/>
        </w:rPr>
        <w:t>1. I have reviewed this Quarterly Report on Form 10-Q of IN8bio, Inc.;</w:t>
      </w:r>
    </w:p>
    <w:p>
      <w:pPr>
        <w:pStyle w:val="TextBody"/>
        <w:bidi w:val="0"/>
        <w:spacing w:before="180" w:after="283"/>
        <w:jc w:val="left"/>
        <w:rPr>
          <w:rFonts w:ascii="Arial" w:hAnsi="Arial"/>
          <w:color w:val="000000"/>
          <w:sz w:val="18"/>
        </w:rPr>
      </w:pPr>
      <w:r>
        <w:rPr>
          <w:rFonts w:ascii="Arial" w:hAnsi="Arial"/>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left"/>
        <w:rPr>
          <w:rFonts w:ascii="Arial" w:hAnsi="Arial"/>
          <w:color w:val="000000"/>
          <w:sz w:val="18"/>
        </w:rPr>
      </w:pPr>
      <w:r>
        <w:rPr>
          <w:rFonts w:ascii="Arial" w:hAnsi="Arial"/>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left"/>
        <w:rPr>
          <w:rFonts w:ascii="Arial" w:hAnsi="Arial"/>
          <w:color w:val="000000"/>
          <w:sz w:val="18"/>
        </w:rPr>
      </w:pPr>
      <w:r>
        <w:rPr>
          <w:rFonts w:ascii="Arial" w:hAnsi="Arial"/>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283"/>
        <w:jc w:val="left"/>
        <w:rPr>
          <w:rFonts w:ascii="Arial" w:hAnsi="Arial"/>
          <w:color w:val="000000"/>
          <w:sz w:val="18"/>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Arial" w:hAnsi="Arial"/>
          <w:color w:val="000000"/>
          <w:sz w:val="18"/>
        </w:rPr>
      </w:pPr>
      <w:r>
        <w:rPr>
          <w:rFonts w:ascii="Arial" w:hAnsi="Arial"/>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left"/>
        <w:rPr>
          <w:rFonts w:ascii="Arial" w:hAnsi="Arial"/>
          <w:color w:val="000000"/>
          <w:sz w:val="18"/>
        </w:rPr>
      </w:pPr>
      <w:r>
        <w:rPr>
          <w:rFonts w:ascii="Arial" w:hAnsi="Arial"/>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Arial" w:hAnsi="Arial"/>
          <w:color w:val="000000"/>
          <w:sz w:val="18"/>
        </w:rPr>
      </w:pPr>
      <w:r>
        <w:rPr>
          <w:rFonts w:ascii="Arial" w:hAnsi="Arial"/>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Arial" w:hAnsi="Arial"/>
          <w:color w:val="000000"/>
          <w:sz w:val="18"/>
        </w:rPr>
      </w:pPr>
      <w:r>
        <w:rPr>
          <w:rFonts w:ascii="Arial" w:hAnsi="Arial"/>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left"/>
        <w:rPr>
          <w:rFonts w:ascii="Arial" w:hAnsi="Arial"/>
          <w:color w:val="000000"/>
          <w:sz w:val="18"/>
        </w:rPr>
      </w:pPr>
      <w:r>
        <w:rPr>
          <w:rFonts w:ascii="Arial" w:hAnsi="Arial"/>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Arial" w:hAnsi="Arial"/>
          <w:color w:val="000000"/>
          <w:sz w:val="18"/>
        </w:rPr>
      </w:pPr>
      <w:r>
        <w:rPr>
          <w:rFonts w:ascii="Arial" w:hAnsi="Arial"/>
          <w:color w:val="000000"/>
          <w:sz w:val="18"/>
        </w:rPr>
        <w:t>(b) Any fraud, whether or not material, that involves management or other employees who have a significant role in the registrant’s internal control over financial reporting.</w:t>
      </w:r>
    </w:p>
    <w:p>
      <w:pPr>
        <w:pStyle w:val="TextBody"/>
        <w:bidi w:val="0"/>
        <w:spacing w:before="240" w:after="283"/>
        <w:jc w:val="left"/>
        <w:rPr/>
      </w:pPr>
      <w:r>
        <w:rPr/>
        <w:t> </w:t>
      </w:r>
    </w:p>
    <w:tbl>
      <w:tblPr>
        <w:tblW w:w="4819" w:type="dxa"/>
        <w:jc w:val="left"/>
        <w:tblInd w:w="0" w:type="dxa"/>
        <w:tblLayout w:type="fixed"/>
        <w:tblCellMar>
          <w:top w:w="28" w:type="dxa"/>
          <w:left w:w="28" w:type="dxa"/>
          <w:bottom w:w="28" w:type="dxa"/>
          <w:right w:w="28" w:type="dxa"/>
        </w:tblCellMar>
      </w:tblPr>
      <w:tblGrid>
        <w:gridCol w:w="556"/>
        <w:gridCol w:w="1351"/>
        <w:gridCol w:w="406"/>
        <w:gridCol w:w="250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IN8bio,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Ho</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William Ho</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Executive Officer</w:t>
              <w:br/>
            </w:r>
            <w:r>
              <w:rPr>
                <w:rFonts w:ascii="Times New Roman" w:hAnsi="Times New Roman"/>
                <w:i/>
                <w:color w:val="000000"/>
                <w:sz w:val="20"/>
              </w:rPr>
              <w:t>(Principal Executive Officer)</w:t>
            </w:r>
            <w:r>
              <w:rPr>
                <w:rFonts w:ascii="Times New Roman" w:hAnsi="Times New Roman"/>
                <w:b/>
                <w:color w:val="000000"/>
                <w:sz w:val="20"/>
              </w:rPr>
              <w:br/>
              <w:br/>
            </w:r>
            <w:r>
              <w:rPr>
                <w:rFonts w:ascii="Times New Roman" w:hAnsi="Times New Roman"/>
                <w:color w:val="000000"/>
                <w:sz w:val="20"/>
              </w:rPr>
              <w:t> </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inab-ex31_2.htm"/>
      <w:bookmarkStart w:id="24" w:name="ksinab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Arial" w:hAnsi="Arial"/>
          <w:b/>
          <w:color w:val="000000"/>
          <w:sz w:val="18"/>
        </w:rPr>
      </w:pPr>
      <w:r>
        <w:rPr>
          <w:rFonts w:ascii="Arial" w:hAnsi="Arial"/>
          <w:b/>
          <w:color w:val="000000"/>
          <w:sz w:val="18"/>
        </w:rPr>
        <w:t>CERTIFICATIONS</w:t>
      </w:r>
    </w:p>
    <w:p>
      <w:pPr>
        <w:pStyle w:val="TextBody"/>
        <w:bidi w:val="0"/>
        <w:spacing w:before="180" w:after="283"/>
        <w:jc w:val="left"/>
        <w:rPr>
          <w:rFonts w:ascii="Arial" w:hAnsi="Arial"/>
          <w:color w:val="000000"/>
          <w:sz w:val="18"/>
        </w:rPr>
      </w:pPr>
      <w:r>
        <w:rPr>
          <w:rFonts w:ascii="Arial" w:hAnsi="Arial"/>
          <w:color w:val="000000"/>
          <w:sz w:val="18"/>
        </w:rPr>
        <w:t>I, Patrick McCall, certify that:</w:t>
      </w:r>
    </w:p>
    <w:p>
      <w:pPr>
        <w:pStyle w:val="TextBody"/>
        <w:bidi w:val="0"/>
        <w:spacing w:before="180" w:after="283"/>
        <w:jc w:val="left"/>
        <w:rPr>
          <w:rFonts w:ascii="Arial" w:hAnsi="Arial"/>
          <w:color w:val="000000"/>
          <w:sz w:val="18"/>
        </w:rPr>
      </w:pPr>
      <w:r>
        <w:rPr>
          <w:rFonts w:ascii="Arial" w:hAnsi="Arial"/>
          <w:color w:val="000000"/>
          <w:sz w:val="18"/>
        </w:rPr>
        <w:t>1. I have reviewed this Quarterly Report on Form 10-Q of IN8bio, Inc.;</w:t>
      </w:r>
    </w:p>
    <w:p>
      <w:pPr>
        <w:pStyle w:val="TextBody"/>
        <w:bidi w:val="0"/>
        <w:spacing w:before="180" w:after="283"/>
        <w:jc w:val="left"/>
        <w:rPr>
          <w:rFonts w:ascii="Arial" w:hAnsi="Arial"/>
          <w:color w:val="000000"/>
          <w:sz w:val="18"/>
        </w:rPr>
      </w:pPr>
      <w:r>
        <w:rPr>
          <w:rFonts w:ascii="Arial" w:hAnsi="Arial"/>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left"/>
        <w:rPr>
          <w:rFonts w:ascii="Arial" w:hAnsi="Arial"/>
          <w:color w:val="000000"/>
          <w:sz w:val="18"/>
        </w:rPr>
      </w:pPr>
      <w:r>
        <w:rPr>
          <w:rFonts w:ascii="Arial" w:hAnsi="Arial"/>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left"/>
        <w:rPr>
          <w:rFonts w:ascii="Arial" w:hAnsi="Arial"/>
          <w:color w:val="000000"/>
          <w:sz w:val="18"/>
        </w:rPr>
      </w:pPr>
      <w:r>
        <w:rPr>
          <w:rFonts w:ascii="Arial" w:hAnsi="Arial"/>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283"/>
        <w:jc w:val="left"/>
        <w:rPr>
          <w:rFonts w:ascii="Arial" w:hAnsi="Arial"/>
          <w:color w:val="000000"/>
          <w:sz w:val="18"/>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Arial" w:hAnsi="Arial"/>
          <w:color w:val="000000"/>
          <w:sz w:val="18"/>
        </w:rPr>
      </w:pPr>
      <w:r>
        <w:rPr>
          <w:rFonts w:ascii="Arial" w:hAnsi="Arial"/>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left"/>
        <w:rPr>
          <w:rFonts w:ascii="Arial" w:hAnsi="Arial"/>
          <w:color w:val="000000"/>
          <w:sz w:val="18"/>
        </w:rPr>
      </w:pPr>
      <w:r>
        <w:rPr>
          <w:rFonts w:ascii="Arial" w:hAnsi="Arial"/>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Arial" w:hAnsi="Arial"/>
          <w:color w:val="000000"/>
          <w:sz w:val="18"/>
        </w:rPr>
      </w:pPr>
      <w:r>
        <w:rPr>
          <w:rFonts w:ascii="Arial" w:hAnsi="Arial"/>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Arial" w:hAnsi="Arial"/>
          <w:color w:val="000000"/>
          <w:sz w:val="18"/>
        </w:rPr>
      </w:pPr>
      <w:r>
        <w:rPr>
          <w:rFonts w:ascii="Arial" w:hAnsi="Arial"/>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left"/>
        <w:rPr>
          <w:rFonts w:ascii="Arial" w:hAnsi="Arial"/>
          <w:color w:val="000000"/>
          <w:sz w:val="18"/>
        </w:rPr>
      </w:pPr>
      <w:r>
        <w:rPr>
          <w:rFonts w:ascii="Arial" w:hAnsi="Arial"/>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Arial" w:hAnsi="Arial"/>
          <w:color w:val="000000"/>
          <w:sz w:val="18"/>
        </w:rPr>
      </w:pPr>
      <w:r>
        <w:rPr>
          <w:rFonts w:ascii="Arial" w:hAnsi="Arial"/>
          <w:color w:val="000000"/>
          <w:sz w:val="18"/>
        </w:rPr>
        <w:t>(b) Any fraud, whether or not material, that involves management or other employees who have a significant role in the registrant’s internal control over financial reporting.</w:t>
      </w:r>
    </w:p>
    <w:p>
      <w:pPr>
        <w:pStyle w:val="TextBody"/>
        <w:bidi w:val="0"/>
        <w:spacing w:before="240" w:after="283"/>
        <w:jc w:val="left"/>
        <w:rPr/>
      </w:pPr>
      <w:r>
        <w:rPr/>
        <w:t> </w:t>
      </w:r>
    </w:p>
    <w:tbl>
      <w:tblPr>
        <w:tblW w:w="6184" w:type="dxa"/>
        <w:jc w:val="left"/>
        <w:tblInd w:w="0" w:type="dxa"/>
        <w:tblLayout w:type="fixed"/>
        <w:tblCellMar>
          <w:top w:w="28" w:type="dxa"/>
          <w:left w:w="28" w:type="dxa"/>
          <w:bottom w:w="28" w:type="dxa"/>
          <w:right w:w="28" w:type="dxa"/>
        </w:tblCellMar>
      </w:tblPr>
      <w:tblGrid>
        <w:gridCol w:w="556"/>
        <w:gridCol w:w="1351"/>
        <w:gridCol w:w="406"/>
        <w:gridCol w:w="387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IN8bio,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Financial Officer and Secretary</w:t>
            </w:r>
            <w:r>
              <w:rPr>
                <w:rFonts w:ascii="Times New Roman" w:hAnsi="Times New Roman"/>
                <w:i/>
                <w:color w:val="000000"/>
                <w:sz w:val="20"/>
              </w:rPr>
              <w:br/>
              <w:t>(Principal Financial and Accounting Officer)</w:t>
              <w:br/>
              <w:br/>
            </w:r>
            <w:r>
              <w:rPr>
                <w:rFonts w:ascii="Times New Roman" w:hAnsi="Times New Roman"/>
                <w:color w:val="000000"/>
                <w:sz w:val="20"/>
              </w:rPr>
              <w:t> </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inab-ex32_1.htm"/>
      <w:bookmarkStart w:id="26" w:name="ksinab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In connection with the Quarterly Report on Form 10-Q of IN8bio, Inc. (the “Company”) for the period ended June 30, 2025 as filed with the Securities and Exchange Commission on the date hereof (the “Report”), I certify, pursuant to 18 U.S.C. §1350, as adopted pursuant to §906 of the Sarbanes-Oxley Act of 2002, that, to the best of my knowledge:</w:t>
      </w:r>
    </w:p>
    <w:p>
      <w:pPr>
        <w:pStyle w:val="TextBody"/>
        <w:bidi w:val="0"/>
        <w:spacing w:before="24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jc w:val="left"/>
        <w:rPr>
          <w:rFonts w:ascii="Arial" w:hAnsi="Arial"/>
          <w:color w:val="000000"/>
          <w:sz w:val="20"/>
        </w:rPr>
      </w:pPr>
      <w:r>
        <w:rPr>
          <w:rFonts w:ascii="Arial" w:hAnsi="Arial"/>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(2)</w:t>
      </w:r>
    </w:p>
    <w:p>
      <w:pPr>
        <w:pStyle w:val="TextBody"/>
        <w:bidi w:val="0"/>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184" w:type="dxa"/>
        <w:jc w:val="left"/>
        <w:tblInd w:w="0" w:type="dxa"/>
        <w:tblLayout w:type="fixed"/>
        <w:tblCellMar>
          <w:top w:w="28" w:type="dxa"/>
          <w:left w:w="28" w:type="dxa"/>
          <w:bottom w:w="28" w:type="dxa"/>
          <w:right w:w="28" w:type="dxa"/>
        </w:tblCellMar>
      </w:tblPr>
      <w:tblGrid>
        <w:gridCol w:w="556"/>
        <w:gridCol w:w="1351"/>
        <w:gridCol w:w="406"/>
        <w:gridCol w:w="387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IN8bio,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Ho</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William Ho</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Executive Officer</w:t>
              <w:br/>
            </w:r>
            <w:r>
              <w:rPr>
                <w:rFonts w:ascii="Times New Roman" w:hAnsi="Times New Roman"/>
                <w:i/>
                <w:color w:val="000000"/>
                <w:sz w:val="20"/>
              </w:rPr>
              <w:t>(Principal Executive Officer)</w:t>
            </w:r>
            <w:r>
              <w:rPr>
                <w:rFonts w:ascii="Times New Roman" w:hAnsi="Times New Roman"/>
                <w:b/>
                <w:color w:val="000000"/>
                <w:sz w:val="20"/>
              </w:rPr>
              <w:br/>
            </w:r>
            <w:r>
              <w:rPr>
                <w:rFonts w:ascii="Times New Roman" w:hAnsi="Times New Roman"/>
                <w:color w:val="000000"/>
                <w:sz w:val="20"/>
              </w:rPr>
              <w:t> </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Financial Officer and Secretary</w:t>
              <w:br/>
            </w:r>
            <w:r>
              <w:rPr>
                <w:rFonts w:ascii="Times New Roman" w:hAnsi="Times New Roman"/>
                <w:i/>
                <w:color w:val="000000"/>
                <w:sz w:val="20"/>
              </w:rPr>
              <w:t>(Principal Financial and Accounting Officer)</w:t>
              <w:br/>
            </w:r>
            <w:r>
              <w:rPr>
                <w:rFonts w:ascii="Times New Roman" w:hAnsi="Times New Roman"/>
                <w:color w:val="000000"/>
                <w:sz w:val="20"/>
              </w:rPr>
              <w:t> </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40279/000110465921099436/tm2030088d31_ex3-1.htm" TargetMode="External"/><Relationship Id="rId4" Type="http://schemas.openxmlformats.org/officeDocument/2006/relationships/hyperlink" Target="https://www.sec.gov/Archives/edgar/data/1740279/000119312525134487/d927529dex31.htm" TargetMode="External"/><Relationship Id="rId5" Type="http://schemas.openxmlformats.org/officeDocument/2006/relationships/hyperlink" Target="https://www.sec.gov/Archives/edgar/data/1740279/000119312523290707/d634027dex31.htm" TargetMode="External"/><Relationship Id="rId6" Type="http://schemas.openxmlformats.org/officeDocument/2006/relationships/hyperlink" Target="https://www.sec.gov/Archives/edgar/data/1740279/000119312525098597/d597671dex41.htm" TargetMode="External"/><Relationship Id="rId7" Type="http://schemas.openxmlformats.org/officeDocument/2006/relationships/hyperlink" Target="https://www.sec.gov/Archives/edgar/data/1740279/000119312525098597/d597671dex42.htm" TargetMode="External"/><Relationship Id="rId8" Type="http://schemas.openxmlformats.org/officeDocument/2006/relationships/hyperlink" Target="https://www.sec.gov/Archives/edgar/data/1740279/000119312525098597/d597671dex43.htm" TargetMode="External"/><Relationship Id="rId9" Type="http://schemas.openxmlformats.org/officeDocument/2006/relationships/hyperlink" Target="https://www.sec.gov/Archives/edgar/data/1740279/000119312525098597/d597671dex44.htm" TargetMode="External"/><Relationship Id="rId10" Type="http://schemas.openxmlformats.org/officeDocument/2006/relationships/hyperlink" Target="https://www.sec.gov/Archives/edgar/data/1740279/000119312525098597/d597671dex101.htm" TargetMode="External"/><Relationship Id="rId11" Type="http://schemas.openxmlformats.org/officeDocument/2006/relationships/hyperlink" Target="https://www.sec.gov/Archives/edgar/data/1740279/000119312525098597/d597671dex102.htm" TargetMode="External"/><Relationship Id="rId12" Type="http://schemas.openxmlformats.org/officeDocument/2006/relationships/hyperlink" Target="https://www.sec.gov/Archives/edgar/data/1740279/000119312525098597/d597671dex103.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61128</Words>
  <Characters>341891</Characters>
  <CharactersWithSpaces>402842</CharactersWithSpaces>
  <Paragraphs>4286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