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7,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333-259458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333-264893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333-274092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333-276614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333-285798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(File Nos. 333-259458 and 333-264893)</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AND</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POST-EFFECTIVE AMENDMENT NO. 1</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(File Nos. 333-274092, 333-276614 and 333-285798)</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80" w:type="dxa"/>
            <w:vAlign w:val="bottom"/>
          </w:tcPr>
          <w:p>
            <w:pPr>
              <w:jc w:val="center"/>
              <w:ind w:right="35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6080" w:type="dxa"/>
            <w:vAlign w:val="bottom"/>
          </w:tcPr>
          <w:p>
            <w:pPr>
              <w:jc w:val="center"/>
              <w:ind w:right="35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1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80" w:type="dxa"/>
            <w:vAlign w:val="bottom"/>
          </w:tcPr>
          <w:p>
            <w:pPr>
              <w:jc w:val="center"/>
              <w:ind w:right="3537"/>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1280" w:type="dxa"/>
            <w:vAlign w:val="bottom"/>
          </w:tcPr>
          <w:p>
            <w:pPr>
              <w:spacing w:after="0"/>
              <w:rPr>
                <w:sz w:val="24"/>
                <w:szCs w:val="24"/>
                <w:color w:val="auto"/>
              </w:rPr>
            </w:pPr>
          </w:p>
        </w:tc>
      </w:tr>
      <w:tr>
        <w:trPr>
          <w:trHeight w:val="227"/>
        </w:trPr>
        <w:tc>
          <w:tcPr>
            <w:tcW w:w="6080" w:type="dxa"/>
            <w:vAlign w:val="bottom"/>
          </w:tcPr>
          <w:p>
            <w:pPr>
              <w:jc w:val="center"/>
              <w:ind w:right="3537"/>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6080" w:type="dxa"/>
            <w:vAlign w:val="bottom"/>
          </w:tcPr>
          <w:p>
            <w:pPr>
              <w:jc w:val="center"/>
              <w:ind w:right="35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2018 Equity Incentive Plan, as Amended</w:t>
            </w:r>
          </w:p>
        </w:tc>
        <w:tc>
          <w:tcPr>
            <w:tcW w:w="1280" w:type="dxa"/>
            <w:vAlign w:val="bottom"/>
          </w:tcPr>
          <w:p>
            <w:pPr>
              <w:spacing w:after="0"/>
              <w:rPr>
                <w:sz w:val="24"/>
                <w:szCs w:val="24"/>
                <w:color w:val="auto"/>
              </w:rPr>
            </w:pPr>
          </w:p>
        </w:tc>
      </w:tr>
      <w:tr>
        <w:trPr>
          <w:trHeight w:val="216"/>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tc>
        <w:tc>
          <w:tcPr>
            <w:tcW w:w="1280" w:type="dxa"/>
            <w:vAlign w:val="bottom"/>
          </w:tcPr>
          <w:p>
            <w:pPr>
              <w:spacing w:after="0"/>
              <w:rPr>
                <w:sz w:val="18"/>
                <w:szCs w:val="18"/>
                <w:color w:val="auto"/>
              </w:rPr>
            </w:pPr>
          </w:p>
        </w:tc>
      </w:tr>
      <w:tr>
        <w:trPr>
          <w:trHeight w:val="216"/>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Amended and Restated 2023 Equity Incentive Plan</w:t>
            </w:r>
          </w:p>
        </w:tc>
        <w:tc>
          <w:tcPr>
            <w:tcW w:w="1280" w:type="dxa"/>
            <w:vAlign w:val="bottom"/>
          </w:tcPr>
          <w:p>
            <w:pPr>
              <w:spacing w:after="0"/>
              <w:rPr>
                <w:sz w:val="18"/>
                <w:szCs w:val="18"/>
                <w:color w:val="auto"/>
              </w:rPr>
            </w:pPr>
          </w:p>
        </w:tc>
      </w:tr>
      <w:tr>
        <w:trPr>
          <w:trHeight w:val="214"/>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Amended and Restated 2026 Equity Incentive Plan</w:t>
            </w:r>
          </w:p>
        </w:tc>
        <w:tc>
          <w:tcPr>
            <w:tcW w:w="1280" w:type="dxa"/>
            <w:vAlign w:val="bottom"/>
          </w:tcPr>
          <w:p>
            <w:pPr>
              <w:spacing w:after="0"/>
              <w:rPr>
                <w:sz w:val="18"/>
                <w:szCs w:val="18"/>
                <w:color w:val="auto"/>
              </w:rPr>
            </w:pPr>
          </w:p>
        </w:tc>
      </w:tr>
      <w:tr>
        <w:trPr>
          <w:trHeight w:val="190"/>
        </w:trPr>
        <w:tc>
          <w:tcPr>
            <w:tcW w:w="6080" w:type="dxa"/>
            <w:vAlign w:val="bottom"/>
          </w:tcPr>
          <w:p>
            <w:pPr>
              <w:jc w:val="center"/>
              <w:ind w:left="1777"/>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28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William Ho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5th Avenue, Suite 5330, New York, New York 10118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Jaime L. Chase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1299 Pennsylvania Avenue, NW, 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842-7800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5" w:right="439" w:bottom="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60" w:space="340"/>
            <w:col w:w="5760" w:space="720"/>
            <w:col w:w="1600" w:space="720"/>
            <w:col w:w="220"/>
          </w:cols>
          <w:pgMar w:left="440" w:top="225" w:right="439" w:bottom="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5"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4" w:right="499" w:bottom="1440" w:gutter="0" w:footer="0" w:header="0"/>
        </w:sectPr>
      </w:pPr>
    </w:p>
    <w:bookmarkStart w:id="2" w:name="page3"/>
    <w:bookmarkEnd w:id="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left="4" w:right="240"/>
        <w:spacing w:after="0" w:line="272" w:lineRule="auto"/>
        <w:rPr>
          <w:sz w:val="20"/>
          <w:szCs w:val="20"/>
          <w:color w:val="auto"/>
        </w:rPr>
      </w:pPr>
      <w:r>
        <w:rPr>
          <w:rFonts w:ascii="Times New Roman" w:cs="Times New Roman" w:eastAsia="Times New Roman" w:hAnsi="Times New Roman"/>
          <w:sz w:val="17"/>
          <w:szCs w:val="17"/>
          <w:color w:val="auto"/>
        </w:rPr>
        <w:t>IN8bio, Inc. (the “Registrant”) is filing (i) this Post-Effective Amendment No. 2 to each of the Registrant’s registration statements on Form S-8 (File Nos. 333-259458 and 333-264893), as filed with the Securities and Exchange Commission (the “SEC”) on September 10, 2021 and May 12, 2022, respectively, and each as amended by the Post-Effective Amendment No. 1 to each registration statement filed with the SEC on August 18, 2023, and</w:t>
      </w:r>
    </w:p>
    <w:p>
      <w:pPr>
        <w:spacing w:after="0" w:line="2" w:lineRule="exact"/>
        <w:rPr>
          <w:sz w:val="20"/>
          <w:szCs w:val="20"/>
          <w:color w:val="auto"/>
        </w:rPr>
      </w:pPr>
    </w:p>
    <w:p>
      <w:pPr>
        <w:ind w:left="264" w:hanging="264"/>
        <w:spacing w:after="0"/>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Post-Effective Amendment No. 1 to each of the Registrant’s registration statements on Form S-8 (File Nos. 333-274092, 333-276614 and</w:t>
      </w:r>
    </w:p>
    <w:p>
      <w:pPr>
        <w:spacing w:after="0" w:line="9" w:lineRule="exact"/>
        <w:rPr>
          <w:rFonts w:ascii="Times New Roman" w:cs="Times New Roman" w:eastAsia="Times New Roman" w:hAnsi="Times New Roman"/>
          <w:sz w:val="18"/>
          <w:szCs w:val="18"/>
          <w:color w:val="auto"/>
        </w:rPr>
      </w:pPr>
    </w:p>
    <w:p>
      <w:pPr>
        <w:ind w:left="4" w:right="8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333-285798), as filed with the SEC on August 18, 2023, January 19, 2024 and March 13, 2025, respectively (collectively, the “Prior Registration Statements”). Pursuant to the Prior Registration Statements, shares of common stock, par value $0.0001 per share, of the Registrant (“Common Stock”) were registered for issuance under the Registrant’s 2018 Equity Incentive Plan, as amended (the “2018 Plan”), 2020 Equity Incentive Plan (the “2020 Plan”), and Amended and Restated 2023 Equity Incentive Plan (the “2023 Plan” and, together with the 2018 Plan and 2020 Plan, the “Prior Plans”).</w:t>
      </w:r>
    </w:p>
    <w:p>
      <w:pPr>
        <w:spacing w:after="0" w:line="17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Registrant’s Board of Directors (the “Board”) resolved not to make any further awards under the 2018 Plan following the completion of the Registrant’s initial public offering, but the terms of such plan continue to govern all outstanding awards granted thereunder. On November 2, 2020, the Board adopted the 2020 Plan, subject to approval by the Company’s stockholders, which became effective with such stockholder approval on November 5, 2020. The 2020 Plan replaced and was the successor to the 2018 Plan. On April 29, 2023, the Board adopted the 2023 Plan, subject to approval by the Company’s stockholders, which became effective with such stockholder approval on June 15, 2023. The 2023 Plan replaced and was the successor to the 2020 Plan.</w:t>
      </w:r>
    </w:p>
    <w:p>
      <w:pPr>
        <w:spacing w:after="0" w:line="187"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On March 26, 2026, the Board approved the Registrant’s Amended and Restated 2026 Equity Incentive Plan (the “2026 Plan”), subject to stockholder approval of the 2026 Plan. On May 7, 2026, the Registrant’s stockholders approved the 2026 Plan and the 2026 Plan became effective. The 2026 Plan replaces and is the successor to the 2023 Plan. Upon effectiveness of the 2026 Plan on May 7, 2026 (the “Effective Time”), no new grants could be made under the 2023 Plan but the terms of such plan continue to govern all outstanding awards granted thereunder.</w:t>
      </w:r>
    </w:p>
    <w:p>
      <w:pPr>
        <w:spacing w:after="0" w:line="180"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As provided in the 2026 Plan, from and after the Effective Time, all shares of Common Stock that become Prior Plan Returning Shares (as defined below) will be available for grants of new awards under the 2026 Plan. The term “Prior Plan Returning Shares” means shares of Common Stock subject to outstanding stock awards granted under the Prior Plans and that following the Effective Time: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Registrant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89"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pursuant to SEC Corporation Finance Interpretation 126.43 to amend the Prior Registration Statements to register the offer of the Prior Plan Returning Shares under the 2026 Plan (as such shares would no longer be issuable under the 2023 Plan as described above). As of the date of the filing of these Post-Effective Amendments, the maximum number of shares of Common Stock initially registered for offer pursuant to the Prior Plans that may become Prior Plan Returning Shares and available for offer under the 2026 Plan is 646,630 shares. No additional securities are being registered by these Post-Effective Amendments.</w:t>
      </w:r>
    </w:p>
    <w:p>
      <w:pPr>
        <w:spacing w:after="0" w:line="39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required to be filed with this Post-Effective Amendment.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required to be filed with this Post-Effective Amendment.</w:t>
      </w:r>
    </w:p>
    <w:p>
      <w:pPr>
        <w:sectPr>
          <w:pgSz w:w="11900" w:h="16838" w:orient="portrait"/>
          <w:cols w:equalWidth="0" w:num="1">
            <w:col w:w="11004"/>
          </w:cols>
          <w:pgMar w:left="436"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by it with the Commission:</w:t>
      </w:r>
    </w:p>
    <w:p>
      <w:pPr>
        <w:spacing w:after="0" w:line="131" w:lineRule="exact"/>
        <w:rPr>
          <w:sz w:val="20"/>
          <w:szCs w:val="20"/>
          <w:color w:val="auto"/>
        </w:rPr>
      </w:pPr>
    </w:p>
    <w:p>
      <w:pPr>
        <w:jc w:val="both"/>
        <w:ind w:left="960" w:right="28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the Registrant’s Registration Statements on Form S-8, previously filed with the Commission on </w:t>
      </w:r>
      <w:hyperlink r:id="rId19">
        <w:r>
          <w:rPr>
            <w:rFonts w:ascii="Times New Roman" w:cs="Times New Roman" w:eastAsia="Times New Roman" w:hAnsi="Times New Roman"/>
            <w:sz w:val="18"/>
            <w:szCs w:val="18"/>
            <w:u w:val="single" w:color="auto"/>
            <w:color w:val="0000EE"/>
          </w:rPr>
          <w:t>September 10, 2021</w:t>
        </w:r>
      </w:hyperlink>
      <w:r>
        <w:rPr>
          <w:rFonts w:ascii="Times New Roman" w:cs="Times New Roman" w:eastAsia="Times New Roman" w:hAnsi="Times New Roman"/>
          <w:sz w:val="18"/>
          <w:szCs w:val="18"/>
          <w:color w:val="auto"/>
        </w:rPr>
        <w:t xml:space="preserve">, as amended on </w:t>
      </w:r>
      <w:hyperlink r:id="rId20">
        <w:r>
          <w:rPr>
            <w:rFonts w:ascii="Times New Roman" w:cs="Times New Roman" w:eastAsia="Times New Roman" w:hAnsi="Times New Roman"/>
            <w:sz w:val="18"/>
            <w:szCs w:val="18"/>
            <w:u w:val="single" w:color="auto"/>
            <w:color w:val="0000EE"/>
          </w:rPr>
          <w:t>August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333-259458), </w:t>
      </w:r>
      <w:hyperlink r:id="rId21">
        <w:r>
          <w:rPr>
            <w:rFonts w:ascii="Times New Roman" w:cs="Times New Roman" w:eastAsia="Times New Roman" w:hAnsi="Times New Roman"/>
            <w:sz w:val="18"/>
            <w:szCs w:val="18"/>
            <w:u w:val="single" w:color="auto"/>
            <w:color w:val="0000EE"/>
          </w:rPr>
          <w:t>May 12,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(333-264893), as amended on </w:t>
      </w:r>
      <w:hyperlink r:id="rId22">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(File No. 333-274092), </w:t>
      </w:r>
      <w:hyperlink r:id="rId24">
        <w:r>
          <w:rPr>
            <w:rFonts w:ascii="Times New Roman" w:cs="Times New Roman" w:eastAsia="Times New Roman" w:hAnsi="Times New Roman"/>
            <w:sz w:val="18"/>
            <w:szCs w:val="18"/>
            <w:u w:val="single" w:color="auto"/>
            <w:color w:val="0000EE"/>
          </w:rPr>
          <w:t>January 19,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(333-276614) and </w:t>
      </w:r>
      <w:hyperlink r:id="rId25">
        <w:r>
          <w:rPr>
            <w:rFonts w:ascii="Times New Roman" w:cs="Times New Roman" w:eastAsia="Times New Roman" w:hAnsi="Times New Roman"/>
            <w:sz w:val="18"/>
            <w:szCs w:val="18"/>
            <w:u w:val="single" w:color="auto"/>
            <w:color w:val="0000EE"/>
          </w:rPr>
          <w:t>March 13,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333-285798);</w:t>
      </w:r>
    </w:p>
    <w:p>
      <w:pPr>
        <w:spacing w:after="0" w:line="81" w:lineRule="exact"/>
        <w:rPr>
          <w:rFonts w:ascii="Times New Roman" w:cs="Times New Roman" w:eastAsia="Times New Roman" w:hAnsi="Times New Roman"/>
          <w:sz w:val="18"/>
          <w:szCs w:val="18"/>
          <w:color w:val="auto"/>
        </w:rPr>
      </w:pPr>
    </w:p>
    <w:p>
      <w:pPr>
        <w:ind w:left="960" w:right="8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for the fiscal year ended December 31, 2025, filed with the Commission on March 12, 2026;</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Registrant’s Annual Report on Form 10-K for the fiscal year ended December 31, 2025 from the Registrant’s </w:t>
      </w:r>
      <w:hyperlink r:id="rId27">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March 26, 2026;</w:t>
      </w:r>
    </w:p>
    <w:p>
      <w:pPr>
        <w:spacing w:after="0" w:line="67" w:lineRule="exact"/>
        <w:rPr>
          <w:rFonts w:ascii="Times New Roman" w:cs="Times New Roman" w:eastAsia="Times New Roman" w:hAnsi="Times New Roman"/>
          <w:sz w:val="18"/>
          <w:szCs w:val="18"/>
          <w:color w:val="auto"/>
        </w:rPr>
      </w:pPr>
    </w:p>
    <w:p>
      <w:pPr>
        <w:ind w:left="960" w:right="7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8">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for the three months ended March 31, 2026, filed with the Commission on May 7, 2026;</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 No. 001-39692), filed with the Commission on </w:t>
      </w:r>
      <w:hyperlink r:id="rId29">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EE"/>
          </w:rPr>
          <w:t>May 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extent the information in and exhibits to such reports are filed and not furnished;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32">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2025 (File No. 001-39692), filed with the Commission on March 12, 2026,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Securities Exchange Act of 1934, as amended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herein modifies or supersedes such statement. Any such statement so modified or superseded shall not constitute a part of this Registration Statement, except as so modified or superseded.</w:t>
      </w:r>
    </w:p>
    <w:p>
      <w:pPr>
        <w:spacing w:after="0" w:line="29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the date hereof, GC&amp;H Investments and GC&amp;H Investments, LLC, each an entity that is comprised of partners and associates of Cooley LLP, beneficially own an aggregate of 5,797 shares of the Registrant’s common stock.</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provides for indemnification of the Registrant’s directors to the maximum extent permitted by the Delaware General Corporation Law, and the Registrant’s amended and restated bylaws provide for indemnification of the Registrant’s directors, officers, employees and other agents to the maximum extent permitted by law.</w:t>
      </w:r>
    </w:p>
    <w:p>
      <w:pPr>
        <w:sectPr>
          <w:pgSz w:w="11900" w:h="16838" w:orient="portrait"/>
          <w:cols w:equalWidth="0" w:num="1">
            <w:col w:w="11000"/>
          </w:cols>
          <w:pgMar w:left="440" w:top="266" w:right="459" w:bottom="1440" w:gutter="0" w:footer="0" w:header="0"/>
        </w:sectPr>
      </w:pPr>
    </w:p>
    <w:bookmarkStart w:id="4" w:name="page5"/>
    <w:bookmarkEnd w:id="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has entered into indemnification agreements with the Registrant’s directors and officers, whereby the Registrant has agreed to indemnify the Registrant’s directors and officers to the fullest extent permitted by law, including advancement of expenses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Registrant maintains insurance policies that indemnify the Registrant’s directors and officers against various liabilities arising under the Securities Act and the Exchange Act that might be incurred by any director or officer in his capacity as such.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34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43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940" w:type="dxa"/>
            <w:vAlign w:val="bottom"/>
            <w:gridSpan w:val="14"/>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Current Report on Form 8-K (File No. 001-39692), filed with the SEC on August 3, 2021).</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Certificate of Amendment of the Amended and Restated Certificate of Incorporation of the Company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Exhibit 3.1 to the Company’s Current Report on Form 8-K (File No. 001-39692), filed with the SEC on June 4, 2025).</w:t>
              </w:r>
            </w:hyperlink>
          </w:p>
        </w:tc>
        <w:tc>
          <w:tcPr>
            <w:tcW w:w="1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9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Second Amended and Restated Bylaws of the Company (incorporated herein by reference to Exhibit 3.1 to the Company’s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on Form 8-K (File No. 001-39692), filed with the SEC on December 7, 2023).</w:t>
              </w:r>
            </w:hyperlink>
          </w:p>
        </w:tc>
        <w:tc>
          <w:tcPr>
            <w:tcW w:w="4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1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82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40" w:type="dxa"/>
            <w:vAlign w:val="bottom"/>
            <w:gridSpan w:val="14"/>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Amended and Restated 2026 Equity Incentive Plan (incorporated herein by reference to Exhibit 10.1 to the Company’s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8-K (File No. 001-39692), filed with the SEC on May 7, 2026).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80"/>
          </w:cols>
          <w:pgMar w:left="440" w:top="270" w:right="47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7,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William Ho and Patrick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McCall,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Ho</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Ho</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Patrick McCall</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Patrick McCall</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Jeremy R. Graff</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Chairman of the Board of Directors</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Jeremy R. Graff</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Brandt</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Peter Brandt</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Corinne Epperly</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Corinne Epperly</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Emily T. Fairbairn</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Emily T. Fairbairn</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Luba Greenwood</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Luba Greenwood</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ectPr>
          <w:pgSz w:w="11900" w:h="16838" w:orient="portrait"/>
          <w:cols w:equalWidth="0" w:num="1">
            <w:col w:w="10940"/>
          </w:cols>
          <w:pgMar w:left="440" w:top="266" w:right="5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7411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Jaime L. Chase</w:t>
      </w:r>
    </w:p>
    <w:p>
      <w:pPr>
        <w:spacing w:after="0" w:line="27" w:lineRule="exact"/>
        <w:rPr>
          <w:sz w:val="20"/>
          <w:szCs w:val="20"/>
          <w:color w:val="auto"/>
        </w:rPr>
      </w:pPr>
    </w:p>
    <w:p>
      <w:pPr>
        <w:jc w:val="both"/>
        <w:ind w:left="4" w:right="9580" w:hanging="4"/>
        <w:spacing w:after="0" w:line="290" w:lineRule="auto"/>
        <w:tabs>
          <w:tab w:leader="none" w:pos="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+1 202 728 7096 jchase@cooley.com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7,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350 5th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5330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acted as counsel to IN8bio,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with the Securities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(i) a Post-Effective Amendment No. 2 to each of the Company’s registration statements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 S-8 (File Nos. 333-259458 and 333-264893), as filed with the Commission on September 10, 2021 and May 12, 2022, respectively, and each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amended by the Post-Effective Amendment No. 1 to each registration statement filed with the Commission on August 18, 2023, and (ii) a Post-Effective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Amendment No. 1 to each of the Company’s registration statements on Form S-8 (File Nos. 333-274092, 333-276614 and 333-285798), as filed with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Commission on August 18, 2023, January 19, 2024 and March 13, 2025, respectively (such registration statements, collectively, the “</w:t>
      </w:r>
      <w:r>
        <w:rPr>
          <w:rFonts w:ascii="Times New Roman" w:cs="Times New Roman" w:eastAsia="Times New Roman" w:hAnsi="Times New Roman"/>
          <w:sz w:val="18"/>
          <w:szCs w:val="18"/>
          <w:b w:val="1"/>
          <w:bCs w:val="1"/>
          <w:i w:val="1"/>
          <w:iCs w:val="1"/>
          <w:color w:val="auto"/>
        </w:rPr>
        <w:t>Prior Registration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Statements</w:t>
      </w:r>
      <w:r>
        <w:rPr>
          <w:rFonts w:ascii="Times New Roman" w:cs="Times New Roman" w:eastAsia="Times New Roman" w:hAnsi="Times New Roman"/>
          <w:sz w:val="18"/>
          <w:szCs w:val="18"/>
          <w:color w:val="auto"/>
        </w:rPr>
        <w:t>,” and the post-effective amendment to each of the Prior Registration Statements, collectively,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300"/>
        <w:spacing w:after="0" w:line="257" w:lineRule="auto"/>
        <w:rPr>
          <w:sz w:val="20"/>
          <w:szCs w:val="20"/>
          <w:color w:val="auto"/>
        </w:rPr>
      </w:pPr>
      <w:r>
        <w:rPr>
          <w:rFonts w:ascii="Times New Roman" w:cs="Times New Roman" w:eastAsia="Times New Roman" w:hAnsi="Times New Roman"/>
          <w:sz w:val="18"/>
          <w:szCs w:val="18"/>
          <w:color w:val="auto"/>
        </w:rPr>
        <w:t>The Prior Registration Statements covered the offering of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previously available for issuance under the Company’s 2018 Equity Incentive Plan, as amended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2020 Equity Incentive Plan (the “</w:t>
      </w:r>
      <w:r>
        <w:rPr>
          <w:rFonts w:ascii="Times New Roman" w:cs="Times New Roman" w:eastAsia="Times New Roman" w:hAnsi="Times New Roman"/>
          <w:sz w:val="18"/>
          <w:szCs w:val="18"/>
          <w:b w:val="1"/>
          <w:bCs w:val="1"/>
          <w:i w:val="1"/>
          <w:iCs w:val="1"/>
          <w:color w:val="auto"/>
        </w:rPr>
        <w:t>2020 Plan</w:t>
      </w:r>
      <w:r>
        <w:rPr>
          <w:rFonts w:ascii="Times New Roman" w:cs="Times New Roman" w:eastAsia="Times New Roman" w:hAnsi="Times New Roman"/>
          <w:sz w:val="18"/>
          <w:szCs w:val="18"/>
          <w:color w:val="auto"/>
        </w:rPr>
        <w:t>”), and Amended and Restated 2023 Equity Incentive Plan (the “</w:t>
      </w:r>
      <w:r>
        <w:rPr>
          <w:rFonts w:ascii="Times New Roman" w:cs="Times New Roman" w:eastAsia="Times New Roman" w:hAnsi="Times New Roman"/>
          <w:sz w:val="18"/>
          <w:szCs w:val="18"/>
          <w:b w:val="1"/>
          <w:bCs w:val="1"/>
          <w:i w:val="1"/>
          <w:iCs w:val="1"/>
          <w:color w:val="auto"/>
        </w:rPr>
        <w:t>2023 Plan</w:t>
      </w:r>
      <w:r>
        <w:rPr>
          <w:rFonts w:ascii="Times New Roman" w:cs="Times New Roman" w:eastAsia="Times New Roman" w:hAnsi="Times New Roman"/>
          <w:sz w:val="18"/>
          <w:szCs w:val="18"/>
          <w:color w:val="auto"/>
        </w:rPr>
        <w:t>” and, together with the 2018 Plan and 2020 Plan, the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For purposes of this opinion,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up to 646,630 shares of Common Stock, which is the number of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outstanding stock awards granted under the Prior Plans that, from and after May 7, 2026, may become available for grant under the Company’s Amended and Restated 2026 Equity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as described in the Post-Effective Amendments.</w:t>
      </w:r>
    </w:p>
    <w:p>
      <w:pPr>
        <w:spacing w:after="0" w:line="186" w:lineRule="exact"/>
        <w:rPr>
          <w:sz w:val="20"/>
          <w:szCs w:val="20"/>
          <w:color w:val="auto"/>
        </w:rPr>
      </w:pPr>
    </w:p>
    <w:p>
      <w:pPr>
        <w:ind w:left="4" w:right="20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Prior Registration Statements, the Post-Effective Amendments and related prospectuses, (b) the Company’s certificate of incorporation and bylaws, each as currently in effect, (c) the Prior Plans, (d) the 2026 Plan, and (e) such records, documents,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24"/>
          </w:cols>
          <w:pgMar w:left="436"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assumptions, exceptions, limitations and qualifications set forth herein, we are of the opinion that the Shares, when sold and issued in accordance with the 2026 Plan, the Post-Effective Amendments and related prospectuses, will be validly issued, fully paid, and nonassessable (except as to shares issued pursuant to deferred payment arrangements, which will be fully paid and nonassessable when such deferred payments are made in full).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Post-Effective Amendments.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Jaime L. 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Post-effective Amendment No. 1 to the Registration Statements on Form S-8 (333-285798, 333-276614, and 333-274092) and Post-effective Amendment No. 2 to the Registration Statements on Form S-8 (333-264893 and 333-259458) of our report dated March 12, 2026, with respect to the financial statements of IN8bio, Inc. as of December 31, 2025 and 2024, and for the years then ended, which report is included in the Annual Report on Form 10-K of IN8bio, Inc. for the year ended December 31, 2025 filed with the Securities and Exchange Commission. Our audit report includes an explanatory paragraph relating to IN8bio, Inc.’s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jpeg"/><Relationship Id="rId41" Type="http://schemas.openxmlformats.org/officeDocument/2006/relationships/image" Target="media/image16.png"/><Relationship Id="rId42" Type="http://schemas.openxmlformats.org/officeDocument/2006/relationships/image" Target="media/image17.png"/><Relationship Id="rId19" Type="http://schemas.openxmlformats.org/officeDocument/2006/relationships/hyperlink" Target="http://www.sec.gov/Archives/edgar/data/1740279/000119312521270077/d216810ds8.htm" TargetMode="External"/><Relationship Id="rId20" Type="http://schemas.openxmlformats.org/officeDocument/2006/relationships/hyperlink" Target="http://www.sec.gov/Archives/edgar/data/1740279/000119312523216045/d387080ds8pos.htm" TargetMode="External"/><Relationship Id="rId21" Type="http://schemas.openxmlformats.org/officeDocument/2006/relationships/hyperlink" Target="http://www.sec.gov/Archives/edgar/data/1740279/000119312522148782/d313321ds8.htm" TargetMode="External"/><Relationship Id="rId22" Type="http://schemas.openxmlformats.org/officeDocument/2006/relationships/hyperlink" Target="http://www.sec.gov/Archives/edgar/data/1740279/000119312523216041/d387080ds8pos.htm" TargetMode="External"/><Relationship Id="rId23" Type="http://schemas.openxmlformats.org/officeDocument/2006/relationships/hyperlink" Target="http://www.sec.gov/Archives/edgar/data/1740279/000119312523216033/d512282ds8.htm" TargetMode="External"/><Relationship Id="rId24" Type="http://schemas.openxmlformats.org/officeDocument/2006/relationships/hyperlink" Target="http://www.sec.gov/Archives/edgar/data/1740279/000119312524011235/d691824ds8.htm" TargetMode="External"/><Relationship Id="rId25" Type="http://schemas.openxmlformats.org/officeDocument/2006/relationships/hyperlink" Target="http://www.sec.gov/Archives/edgar/data/1740279/000119312525054019/d936078ds8.htm" TargetMode="External"/><Relationship Id="rId26" Type="http://schemas.openxmlformats.org/officeDocument/2006/relationships/hyperlink" Target="http://www.sec.gov/ix?doc=/Archives/edgar/data/0001740279/000119312526104181/inab-20251231.htm" TargetMode="External"/><Relationship Id="rId27" Type="http://schemas.openxmlformats.org/officeDocument/2006/relationships/hyperlink" Target="http://www.sec.gov/ix?doc=/Archives/edgar/data/0001740279/000119312526126208/d26327ddef14a.htm" TargetMode="External"/><Relationship Id="rId28" Type="http://schemas.openxmlformats.org/officeDocument/2006/relationships/hyperlink" Target="http://www.sec.gov/ix?doc=/Archives/edgar/data/1740279/000119312526212135/inab-20260331.htm" TargetMode="External"/><Relationship Id="rId29" Type="http://schemas.openxmlformats.org/officeDocument/2006/relationships/hyperlink" Target="http://www.sec.gov/ix?doc=/Archives/edgar/data/0001740279/000119312526041975/d50284d8k.htm" TargetMode="External"/><Relationship Id="rId30" Type="http://schemas.openxmlformats.org/officeDocument/2006/relationships/hyperlink" Target="http://www.sec.gov/ix?doc=/Archives/edgar/data/0001740279/000119312526082539/d915471d8k.htm" TargetMode="External"/><Relationship Id="rId31" Type="http://schemas.openxmlformats.org/officeDocument/2006/relationships/hyperlink" Target="http://www.sec.gov/ix?doc=/Archives/edgar/data/1740279/000119312526212128/inab-20260507.htm" TargetMode="External"/><Relationship Id="rId32" Type="http://schemas.openxmlformats.org/officeDocument/2006/relationships/hyperlink" Target="http://www.sec.gov/Archives/edgar/data/1740279/000119312526104181/inab-ex4_2.htm" TargetMode="External"/><Relationship Id="rId34" Type="http://schemas.openxmlformats.org/officeDocument/2006/relationships/hyperlink" Target="http://www.sec.gov/Archives/edgar/data/1740279/000110465921099436/tm2030088d31_ex3-1.htm" TargetMode="External"/><Relationship Id="rId35" Type="http://schemas.openxmlformats.org/officeDocument/2006/relationships/hyperlink" Target="http://www.sec.gov/Archives/edgar/data/1740279/000119312525134487/d927529dex31.htm" TargetMode="External"/><Relationship Id="rId36" Type="http://schemas.openxmlformats.org/officeDocument/2006/relationships/hyperlink" Target="http://www.sec.gov/Archives/edgar/data/1740279/000119312523290707/d634027dex31.htm" TargetMode="External"/><Relationship Id="rId37" Type="http://schemas.openxmlformats.org/officeDocument/2006/relationships/hyperlink" Target="http://www.sec.gov/Archives/edgar/data/1740279/000119312526212128/ina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2026-05-07T16:25:02Z</dcterms:created>
  <dcterms:modified xsi:type="dcterms:W3CDTF">2026-05-07T16:25:02Z</dcterms:modified>
</cp:coreProperties>
</file>