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217170</wp:posOffset>
            </wp:positionV>
            <wp:extent cx="1234440" cy="488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350 5th Avenue, Suite 5330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New York, New York 10118</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8, 2025 at 9:00 a.m. Eastern Time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behalf of our board of directors, we are pleased to invite you to attend the 2025 Annual Meeting of Stockholders of IN8bio, Inc., a Delaware corporation. The Annual Meeting will be held virtually on May 8, 2025 at 9:00 a.m. Eastern Time. Stockholders attending the virtual meeting will be afforded the same rights and opportunities to participate as they would at an in-person meeting. You will be able to attend the Annual Meeting, vote your shares and ask questions during the meeting by visiting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You will not be able to attend the meeting in person as the meeting is being held virtually.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proxy statement accompanying this Notice:</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Class I directors named in the attached proxy statement, each to serve until our 2028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CohnReznick LLP as our independent registered public accounting firm for the fiscal year ending December 31, 2025.</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 or postponement thereof.</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participate in the Annual Meeting, you will need to register using the control number located on the Notice of Internet Availability of Proxy Materials for the 2025 Annual Meeting of Stockholders, your proxy card or voting instruction form. Additional details regarding access to the Annual Meeting and the business to be conducted at the Annual Meeting are described in the accompanying proxy statement. We recommend that you log in a few minutes early to ensure you are logged in when the Annual Meeting starts.</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the close of business on March 12, 2025. Only stockholders of record at the close of business on that date may vote at the Annual Meeting or any adjournment thereof. A complete list of our stockholders of record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4325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You will not be able to attend the Annual Meeting in person.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 Please note, however, that if your shares are held of record by a 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1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4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6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DIRECTOR NOMINEES AND CONTINUING DIRECTORS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9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AND CORPORATE GOVERNANCE</w:t>
            </w:r>
          </w:p>
        </w:tc>
        <w:tc>
          <w:tcPr>
            <w:tcW w:w="32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9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THE SELECTION OF THE INDEPENDENT REGISTERED PUBLIC ACCOUNTING FIRM</w:t>
            </w:r>
          </w:p>
        </w:tc>
        <w:tc>
          <w:tcPr>
            <w:tcW w:w="5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 3: APPROVAL OF THE REVERSE STOCK SPLIT PROPOSAL</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3800" w:type="dxa"/>
            <w:vAlign w:val="bottom"/>
            <w:tcBorders>
              <w:top w:val="single" w:sz="8" w:color="0000EE"/>
            </w:tcBorders>
            <w:gridSpan w:val="6"/>
          </w:tcPr>
          <w:p>
            <w:pPr>
              <w:spacing w:after="0"/>
              <w:rPr>
                <w:sz w:val="17"/>
                <w:szCs w:val="17"/>
                <w:color w:val="auto"/>
              </w:rPr>
            </w:pPr>
          </w:p>
        </w:tc>
        <w:tc>
          <w:tcPr>
            <w:tcW w:w="442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4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2820" w:type="dxa"/>
            <w:vAlign w:val="bottom"/>
            <w:tcBorders>
              <w:top w:val="single" w:sz="8" w:color="0000EE"/>
            </w:tcBorders>
            <w:gridSpan w:val="6"/>
          </w:tcPr>
          <w:p>
            <w:pPr>
              <w:spacing w:after="0"/>
              <w:rPr>
                <w:sz w:val="17"/>
                <w:szCs w:val="17"/>
                <w:color w:val="auto"/>
              </w:rPr>
            </w:pPr>
          </w:p>
        </w:tc>
        <w:tc>
          <w:tcPr>
            <w:tcW w:w="34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5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448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38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Website References</w:t>
      </w:r>
    </w:p>
    <w:p>
      <w:pPr>
        <w:spacing w:after="0" w:line="227"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additional information about IN8bio, Inc. at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invesors.in8bio.com</w:t>
      </w:r>
      <w:r>
        <w:rPr>
          <w:rFonts w:ascii="Times New Roman" w:cs="Times New Roman" w:eastAsia="Times New Roman" w:hAnsi="Times New Roman"/>
          <w:sz w:val="18"/>
          <w:szCs w:val="18"/>
          <w:color w:val="auto"/>
        </w:rPr>
        <w:t>. References to our websites throughout this proxy statement are provided for convenience only and the content on our website does not constitute a part of this proxy statement.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217170</wp:posOffset>
            </wp:positionV>
            <wp:extent cx="123444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350 5th Avenue, Suite 5330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New York, New York 10118</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May 8, 2025 at 9:00 a.m. Eastern Time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b w:val="1"/>
          <w:bCs w:val="1"/>
          <w:color w:val="auto"/>
        </w:rPr>
        <w:t>”) on the internet instead of a full set of Proxy Materials?</w:t>
      </w:r>
    </w:p>
    <w:p>
      <w:pPr>
        <w:spacing w:after="0" w:line="22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have sent you a Notice because the Board of Directors of IN8bio, Inc.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soliciting your proxy to vote at the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intend to mail the Notice of Internet Availability on or about March 17, 2025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in accordance with the instructions set forth in the Notice. We may elect, in our discretion, to send you a proxy card and a second Notice, on or after 10 calendar days have passed since our first mailing of the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March 12,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will be hosting the Annual Meeting via live webcast only. You may attend, vote and ask questions at the Annual Meeting by following the instructions provided on the Notice or proxy card to log in to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If you are a stockholder of record, you will be asked to provide the control number from your Notice or proxy card. If you are a beneficial owner of shares registered in the name of your broker, bank or other agent, follow the instructions from your broker or bank.</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xml:space="preserve"> and enter the control number found on your Notice or proxy card. If you are a beneficial stockholder, you should contact the bank, broker or other institution where you hold your account well in advance of the meeting if you have questions about obtaining your control number/proxy to vote.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recommend that you log in a few minutes before the start of the Annual Meeting to ensure that you are logged in when the meeting starts.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how to vote online during the Annual Meeting is discussed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stockholder of record, please contact us at ir@in8bio.com and we will be able to provide your control number to you.</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Stockholders may submit questions relevant to the proposals to be voted on at the Annual Meeting in advance of the Annual Meeting through </w:t>
      </w:r>
      <w:r>
        <w:rPr>
          <w:rFonts w:ascii="Times New Roman" w:cs="Times New Roman" w:eastAsia="Times New Roman" w:hAnsi="Times New Roman"/>
          <w:sz w:val="18"/>
          <w:szCs w:val="18"/>
          <w:i w:val="1"/>
          <w:iCs w:val="1"/>
          <w:color w:val="auto"/>
        </w:rPr>
        <w:t xml:space="preserve">www.proxydocs.com/INAB. </w:t>
      </w:r>
      <w:r>
        <w:rPr>
          <w:rFonts w:ascii="Times New Roman" w:cs="Times New Roman" w:eastAsia="Times New Roman" w:hAnsi="Times New Roman"/>
          <w:sz w:val="18"/>
          <w:szCs w:val="18"/>
          <w:color w:val="auto"/>
        </w:rPr>
        <w:t>We plan to answer questions related to the proposals after all of the proposals have been presented at the Annual Meeting.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t>
      </w:r>
      <w:r>
        <w:rPr>
          <w:rFonts w:ascii="Times New Roman" w:cs="Times New Roman" w:eastAsia="Times New Roman" w:hAnsi="Times New Roman"/>
          <w:sz w:val="18"/>
          <w:szCs w:val="18"/>
          <w:i w:val="1"/>
          <w:iCs w:val="1"/>
          <w:color w:val="auto"/>
        </w:rPr>
        <w:t>www.proxydocs.com/INAB.</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delivered to shareholders via e-mail prior to the meeting’s start time. Technical support will be available starting at 8:00 a.m. Eastern Time, on May 8,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stockholders as of the Record Date be available?</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 complete list of our stockholders as of the Record Date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online during the Annual Meeting. On the Record Date, there were a total of 81,258,763 shares of common stock outstanding and entitled to vote.</w:t>
      </w:r>
    </w:p>
    <w:p>
      <w:pPr>
        <w:spacing w:after="0" w:line="63" w:lineRule="exact"/>
        <w:rPr>
          <w:sz w:val="20"/>
          <w:szCs w:val="20"/>
          <w:color w:val="auto"/>
        </w:rPr>
      </w:pPr>
    </w:p>
    <w:p>
      <w:pPr>
        <w:ind w:left="108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 registered directly in your name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transfer agent, Computershare Trust Company, N.A., then you are a stockholder of record. As a stockholder of record, you may vote online during the meeting, vote by proxy over the telephone or through the internet, or vote by proxy using a proxy card that you may request or that we may elect to deliver at a later time. Whether or not you plan to attend the Annual Meeting, we urge you to vote by proxy to ensure your vote is counted.</w:t>
      </w:r>
    </w:p>
    <w:p>
      <w:pPr>
        <w:spacing w:after="0" w:line="84"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shares in your account. You are also invited to attend the Annual Meeting. However, since you are not the stockholder of record, you may not vote your shares online during the Annual Meeting unless you request and obtain a valid proxy from your broker or other agent, as required. Check with your brokerage firm, bank, dealer or other similar organization, and further follow the instructions you receive during the registration process prior to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each matter to be voted upon, each holder of shares of our common stock will have one vote per share of common stock held as of the Record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Election of three Class I directors to hold office until the 2028 Annual Meeting of Stockholders.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Ratification of the selection of CohnReznick LLP as our independent registered public accounting firm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December 31, 2025.</w:t>
      </w:r>
    </w:p>
    <w:p>
      <w:pPr>
        <w:spacing w:after="0" w:line="6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Approval of a series of alternate amendments to our amended and restated certificate of incorporation to effect, at the option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a reverse stock split of our common stock at a ratio in the range of 1-for-15 to 1-for-30, inclusive, with such ratio to be determined by our Board in its sole discretion (the “</w:t>
      </w:r>
      <w:r>
        <w:rPr>
          <w:rFonts w:ascii="Times New Roman" w:cs="Times New Roman" w:eastAsia="Times New Roman" w:hAnsi="Times New Roman"/>
          <w:sz w:val="18"/>
          <w:szCs w:val="18"/>
          <w:b w:val="1"/>
          <w:bCs w:val="1"/>
          <w:i w:val="1"/>
          <w:iCs w:val="1"/>
          <w:color w:val="auto"/>
        </w:rPr>
        <w:t>Reverse Stock Split Proposal</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2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election of the three Class I director nominees;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ratification of the selection of CohnReznick LLP as our independent registered public accounting firm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December 31, 2025.</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of the Reverse Stock Split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w:t>
      </w:r>
    </w:p>
    <w:p>
      <w:pPr>
        <w:spacing w:after="0" w:line="127" w:lineRule="exact"/>
        <w:rPr>
          <w:sz w:val="20"/>
          <w:szCs w:val="20"/>
          <w:color w:val="auto"/>
        </w:rPr>
      </w:pPr>
    </w:p>
    <w:p>
      <w:pPr>
        <w:ind w:left="1080" w:right="300" w:hanging="424"/>
        <w:spacing w:after="0" w:line="317"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By Internet</w:t>
      </w:r>
      <w:r>
        <w:rPr>
          <w:rFonts w:ascii="Times New Roman" w:cs="Times New Roman" w:eastAsia="Times New Roman" w:hAnsi="Times New Roman"/>
          <w:sz w:val="17"/>
          <w:szCs w:val="17"/>
          <w:color w:val="auto"/>
        </w:rPr>
        <w:t>. To vote through the internet, go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www.proxypush.com/INAB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complete an electronic proxy card. You will be asked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the control number from the Notice. Your internet vote must be received prior to the start of the Annual Meeting to be counted.</w:t>
      </w:r>
    </w:p>
    <w:p>
      <w:pPr>
        <w:spacing w:after="0" w:line="37"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Call 1-866-601-1589 toll-free from the United States, U.S. territories and Canada, and follow the instructions on the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asked to provide your control number from the Notice. Your telephone vote must be received prior to the start of the Annual Meeting to be counted.</w:t>
      </w:r>
    </w:p>
    <w:p>
      <w:pPr>
        <w:spacing w:after="0" w:line="76"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Proxy Card</w:t>
      </w:r>
      <w:r>
        <w:rPr>
          <w:rFonts w:ascii="Times New Roman" w:cs="Times New Roman" w:eastAsia="Times New Roman" w:hAnsi="Times New Roman"/>
          <w:sz w:val="18"/>
          <w:szCs w:val="18"/>
          <w:color w:val="auto"/>
        </w:rPr>
        <w:t>. Complete and mail the proxy card that may be requested and return it promptly in the envelope provided. If you return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signed proxy card to us before the Annual Meeting, we will vote your shares as you direct.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56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During the Annual Meeting</w:t>
      </w:r>
      <w:r>
        <w:rPr>
          <w:rFonts w:ascii="Times New Roman" w:cs="Times New Roman" w:eastAsia="Times New Roman" w:hAnsi="Times New Roman"/>
          <w:sz w:val="18"/>
          <w:szCs w:val="18"/>
          <w:color w:val="auto"/>
        </w:rPr>
        <w:t>. Access the Annual Meeting by visiting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providing your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from your Notice.</w:t>
      </w:r>
    </w:p>
    <w:p>
      <w:pPr>
        <w:spacing w:after="0" w:line="15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9:00 a.m. Eastern Time on May 8, 2025. If you are a stockholder of record and do not vote by completing your proxy card, by telephone, through the internet or online at the Annual Meeting, your shares will not be voted.</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(i.e., held for your account by a broker, bank or other nominee), you should have received a notice containing voting instructions from that organization rather than from us. You should follow the instructions in the notice to ensure your vote is counted. To vote online during the Annual Meeting, you may be required to obtain a valid proxy card from your broker or other nominee. Follow the instructions from your broker, bank or other nominee or contact your broker, bank or other nominee to request a proxy card, and access the Annual Meeting by following the instructions you receive after your successful registration at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xml:space="preserve"> using the control number provided by your bank, broker or other nominee.</w:t>
      </w:r>
    </w:p>
    <w:p>
      <w:pPr>
        <w:spacing w:after="0" w:line="224" w:lineRule="exact"/>
        <w:rPr>
          <w:sz w:val="20"/>
          <w:szCs w:val="20"/>
          <w:color w:val="auto"/>
        </w:rPr>
      </w:pPr>
    </w:p>
    <w:p>
      <w:pPr>
        <w:ind w:left="280" w:right="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-434340</wp:posOffset>
            </wp:positionV>
            <wp:extent cx="7003415"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48831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 xml:space="preserve">No. The Notice identifies the items to be voted on at the Annual Meeting, but you cannot vote by marking the Notice and returning it. The Notice provides instructions on how to vote by proxy in advance of the Annual Meeting through the internet, by telephone or by using a printed proxy card. You may also vote online during the Annual Meeting by visiting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in accordance with the recommendations of the Board:</w:t>
      </w:r>
    </w:p>
    <w:p>
      <w:pPr>
        <w:spacing w:after="0" w:line="63"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three nominees for director;</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CohnReznick LLP as our independent registered public accounting firm for the fiscal year ending December 31, 2025;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Reverse Stock Split Proposal.</w:t>
      </w:r>
    </w:p>
    <w:p>
      <w:pPr>
        <w:spacing w:after="0" w:line="22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proxyholder (one of the individuals named on your proxy card) will vote your shares as recommended by the Board or, if no recommendation is given, will vote your shares using his or her best judgment.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 supported. Accordingly, your broker or nominee may vote your shares on Proposals 2 and</w:t>
      </w:r>
    </w:p>
    <w:p>
      <w:pPr>
        <w:spacing w:after="0" w:line="5" w:lineRule="exact"/>
        <w:rPr>
          <w:sz w:val="20"/>
          <w:szCs w:val="20"/>
          <w:color w:val="auto"/>
        </w:rPr>
      </w:pPr>
    </w:p>
    <w:p>
      <w:pPr>
        <w:ind w:left="120" w:right="480" w:hanging="4"/>
        <w:spacing w:after="0" w:line="255"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broker or nominee, however, may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vote your shares on Proposal 1 without your instructions. Such an event would result in a “broker non-vote” and these shares will not be counted as having been voted on the applicable proposal. Please instruct your bank, broker or other agent to ensure that your vote will be counted.</w:t>
      </w:r>
    </w:p>
    <w:p>
      <w:pPr>
        <w:spacing w:after="0" w:line="18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then yes, you can revoke your proxy at any time before the final vote at the Annual Meeting.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a subsequent vote over the internet or by telephone prior to the start of the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and attend the Annual Meeting and vote online during the Annual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timely written notice that you are revoking your proxy via email at ir@in8bio.com.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your shares are held in “street name” by your broker, bank or other agent, you should follow the instructions provided by your broker, bank or other agent.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3"/>
                <w:szCs w:val="13"/>
                <w:color w:val="auto"/>
              </w:rPr>
            </w:pPr>
          </w:p>
        </w:tc>
        <w:tc>
          <w:tcPr>
            <w:tcW w:w="44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9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spacing w:after="0"/>
              <w:rPr>
                <w:sz w:val="16"/>
                <w:szCs w:val="16"/>
                <w:color w:val="auto"/>
              </w:rPr>
            </w:pPr>
          </w:p>
        </w:tc>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16"/>
                <w:szCs w:val="16"/>
                <w:color w:val="auto"/>
              </w:rPr>
            </w:pPr>
          </w:p>
        </w:tc>
        <w:tc>
          <w:tcPr>
            <w:tcW w:w="41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Nominees receiving the most “For” votes; withheld votes</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Not</w:t>
            </w:r>
          </w:p>
        </w:tc>
        <w:tc>
          <w:tcPr>
            <w:tcW w:w="220" w:type="dxa"/>
            <w:vAlign w:val="bottom"/>
          </w:tcPr>
          <w:p>
            <w:pPr>
              <w:spacing w:after="0"/>
              <w:rPr>
                <w:sz w:val="16"/>
                <w:szCs w:val="16"/>
                <w:color w:val="auto"/>
              </w:rPr>
            </w:pPr>
          </w:p>
        </w:tc>
        <w:tc>
          <w:tcPr>
            <w:tcW w:w="1540" w:type="dxa"/>
            <w:vAlign w:val="bottom"/>
            <w:tcBorders>
              <w:top w:val="single" w:sz="8" w:color="auto"/>
            </w:tcBorders>
          </w:tcPr>
          <w:p>
            <w:pPr>
              <w:ind w:left="860"/>
              <w:spacing w:after="0" w:line="185" w:lineRule="exact"/>
              <w:rPr>
                <w:sz w:val="20"/>
                <w:szCs w:val="20"/>
                <w:color w:val="auto"/>
              </w:rPr>
            </w:pPr>
            <w:r>
              <w:rPr>
                <w:rFonts w:ascii="Times New Roman" w:cs="Times New Roman" w:eastAsia="Times New Roman" w:hAnsi="Times New Roman"/>
                <w:sz w:val="18"/>
                <w:szCs w:val="18"/>
                <w:color w:val="auto"/>
                <w:w w:val="97"/>
              </w:rPr>
              <w:t>No effect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will have no effect.</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applicable</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0" w:type="dxa"/>
            <w:vAlign w:val="bottom"/>
            <w:gridSpan w:val="2"/>
          </w:tcPr>
          <w:p>
            <w:pPr>
              <w:jc w:val="right"/>
              <w:ind w:right="2539"/>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9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16"/>
                <w:szCs w:val="16"/>
                <w:color w:val="auto"/>
              </w:rPr>
            </w:pPr>
          </w:p>
        </w:tc>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Ratification of the selection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CohnReznick LLP as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Company’s independent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634365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gridSpan w:val="2"/>
            <w:vMerge w:val="continue"/>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6"/>
                <w:szCs w:val="16"/>
                <w:color w:val="auto"/>
              </w:rPr>
            </w:pPr>
          </w:p>
        </w:tc>
        <w:tc>
          <w:tcPr>
            <w:tcW w:w="154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6"/>
                <w:szCs w:val="16"/>
                <w:color w:val="auto"/>
              </w:rPr>
              <w:t>Not applicable</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power of the shares present by remote communication or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represented by proxy at the meeting and voting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affirmatively or negatively (excluding abstentions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 on such matter.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 effect</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Not applicable</w:t>
            </w:r>
            <w:r>
              <w:rPr>
                <w:rFonts w:ascii="Times New Roman" w:cs="Times New Roman" w:eastAsia="Times New Roman" w:hAnsi="Times New Roman"/>
                <w:sz w:val="26"/>
                <w:szCs w:val="26"/>
                <w:color w:val="auto"/>
                <w:w w:val="97"/>
                <w:vertAlign w:val="superscript"/>
              </w:rPr>
              <w:t>(1)</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power of the shares present by remote communication or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represented by proxy at the meeting and voting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affirmatively or negatively (excluding abstentions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 on such matter.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3880" w:space="220"/>
            <w:col w:w="7040"/>
          </w:cols>
          <w:pgMar w:left="320" w:top="455" w:right="439" w:bottom="1440" w:gutter="0" w:footer="0" w:header="0"/>
          <w:type w:val="continuous"/>
        </w:sectPr>
      </w:pPr>
    </w:p>
    <w:p>
      <w:pPr>
        <w:ind w:left="540" w:right="340" w:hanging="424"/>
        <w:spacing w:after="0" w:line="298" w:lineRule="auto"/>
        <w:tabs>
          <w:tab w:leader="none" w:pos="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81,258,763 shares outstanding and entitled to vote. Thus, the holders of 40,629,382 shares must be present or represented by proxy at the Annual Meeting to have a quorum. The inspector(s) of election appointed for the Annual Meeting will determine whether or not a quorum is present.</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if any, will be counted towards the quorum requirement. If there is no quorum, the holders of a majority of shares present at the meeting or represented by proxy may adjourn the meeting to another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 In addition, we have hired Morrow Sodali LLC to solicit proxies. We expect to pay Morrow Sodali LLC a fee of $20,000 plus reasonable expenses for these services.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consisting of three classes of directors, with only one class of directors being elected in each year and each class, Class I, Class II and Class III, serving a three-year term. Vacancies on our Board may be filled by the affirmative vote of a majority of directors then in office. A director elected by our Board to fill a vacancy in a class, including vacancies created by an increase in the number of directors, shall serve for the remainder of the full term of that class and until the director’s successor is duly elected and qualified.</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Board is currently composed of eight directors. Travis Whitfill, a Class II director, will be departing the Board following the Annual Meeting and the Board expects to reduce the size of the Board to seven directors. Each Class I director has a term that expires in 2025. Upon the recommendation of the Nominating and Corporate Governance Committee, our Board has considered and nominated the three incumbent directors listed below for election as directors at the Annual Meeting:</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Emily Fairbairn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Jeremy Graff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Luba Greenwood</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All of the nominees for election at the Annual Meeting have previously been elected by our stockholders, other than Dr. Graff, who was appointed by our Board on May 1, 2023. Dr. Graff was identified as a potential director nominee by a third-party search firm and a member of management.</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that nominee should continue to serve on the Board. If you elect the nominees listed above, they will each hold office until the 2028 Annual Meeting of Stockholders and until each of their successors has been duly elected and qualified, or, if sooner, until the director’s death, resignation or removal. All nominees have consented to being named in this proxy statement and to serve if elected. The Board has no reason to believe that any of the nominees would prove unable to serve if elected. There are no family relationships among any of our executive officers or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by remote communication, if applicable, or represented by proxy and entitled to vote on the election of directors. Accordingly, the three nominees receiving the highest number of “FOR” votes will be elected as directors. You may not vote your shares cumulatively for the election of directors. Shares represented by executed proxies will be voted, if authority to do so is not withheld, for the election of the three nominees named above. If any nominee becomes unavailable for election as a result of an unexpected occurrence, your shares may be voted for the election of a substitute nominee proposed by our Board. Your proxy cannot be voted for a greater number of persons than the number of director nominees named in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17" w:lineRule="exact"/>
        <w:rPr>
          <w:sz w:val="20"/>
          <w:szCs w:val="20"/>
          <w:color w:val="auto"/>
        </w:rPr>
      </w:pPr>
    </w:p>
    <w:p>
      <w:pPr>
        <w:jc w:val="center"/>
        <w:ind w:left="480" w:right="232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EACH OF THE DIRECTOR NOMINEES FOR CLASS I DIRECTOR (PROPOSAL 1 ON YOUR NOTICE OF INTERNET AVAILABILITY)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CONTINUING DIRECTORS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for the Class I nominees and our other directors, their ages and position or office held with us as of March 14,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for Election at the 2025 Annual Meeting of Stockholders</w:t>
            </w:r>
          </w:p>
        </w:tc>
        <w:tc>
          <w:tcPr>
            <w:tcW w:w="3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63</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27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55</w:t>
            </w:r>
          </w:p>
        </w:tc>
        <w:tc>
          <w:tcPr>
            <w:tcW w:w="34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46</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2021</w:t>
            </w:r>
          </w:p>
        </w:tc>
      </w:tr>
      <w:tr>
        <w:trPr>
          <w:trHeight w:val="90"/>
        </w:trPr>
        <w:tc>
          <w:tcPr>
            <w:tcW w:w="9300" w:type="dxa"/>
            <w:vAlign w:val="bottom"/>
            <w:gridSpan w:val="3"/>
          </w:tcPr>
          <w:p>
            <w:pPr>
              <w:spacing w:after="0"/>
              <w:rPr>
                <w:sz w:val="7"/>
                <w:szCs w:val="7"/>
                <w:color w:val="auto"/>
              </w:rPr>
            </w:pPr>
          </w:p>
        </w:tc>
        <w:tc>
          <w:tcPr>
            <w:tcW w:w="13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the 2026 Annual Meeting of Stockholders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67</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Epperly</w:t>
            </w:r>
          </w:p>
        </w:tc>
        <w:tc>
          <w:tcPr>
            <w:tcW w:w="27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47</w:t>
            </w:r>
          </w:p>
        </w:tc>
        <w:tc>
          <w:tcPr>
            <w:tcW w:w="34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2023</w:t>
            </w:r>
          </w:p>
        </w:tc>
      </w:tr>
      <w:tr>
        <w:trPr>
          <w:trHeight w:val="324"/>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2027 Annual Meeting of Stockholders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William Ho</w:t>
            </w:r>
          </w:p>
        </w:tc>
        <w:tc>
          <w:tcPr>
            <w:tcW w:w="2760" w:type="dxa"/>
            <w:vAlign w:val="bottom"/>
            <w:shd w:val="clear" w:color="auto" w:fill="CCEEFF"/>
          </w:tcPr>
          <w:p>
            <w:pPr>
              <w:jc w:val="right"/>
              <w:ind w:right="752"/>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3460" w:type="dxa"/>
            <w:vAlign w:val="bottom"/>
            <w:shd w:val="clear" w:color="auto" w:fill="CCEEFF"/>
          </w:tcPr>
          <w:p>
            <w:pPr>
              <w:jc w:val="center"/>
              <w:ind w:right="52"/>
              <w:spacing w:after="0" w:line="198" w:lineRule="exact"/>
              <w:rPr>
                <w:sz w:val="20"/>
                <w:szCs w:val="20"/>
                <w:color w:val="auto"/>
              </w:rPr>
            </w:pPr>
            <w:r>
              <w:rPr>
                <w:rFonts w:ascii="Times New Roman" w:cs="Times New Roman" w:eastAsia="Times New Roman" w:hAnsi="Times New Roman"/>
                <w:sz w:val="18"/>
                <w:szCs w:val="18"/>
                <w:color w:val="auto"/>
              </w:rPr>
              <w:t>President &amp; Chief Executive Officer</w:t>
            </w: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48"/>
        </w:trPr>
        <w:tc>
          <w:tcPr>
            <w:tcW w:w="308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34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and Director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2015</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55</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2020</w:t>
            </w:r>
          </w:p>
        </w:tc>
      </w:tr>
      <w:tr>
        <w:trPr>
          <w:trHeight w:val="90"/>
        </w:trPr>
        <w:tc>
          <w:tcPr>
            <w:tcW w:w="30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Resigning Director</w:t>
            </w:r>
          </w:p>
        </w:tc>
        <w:tc>
          <w:tcPr>
            <w:tcW w:w="2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35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Travis Whitfill</w:t>
            </w:r>
            <w:r>
              <w:rPr>
                <w:rFonts w:ascii="Times New Roman" w:cs="Times New Roman" w:eastAsia="Times New Roman" w:hAnsi="Times New Roman"/>
                <w:sz w:val="26"/>
                <w:szCs w:val="26"/>
                <w:color w:val="auto"/>
                <w:vertAlign w:val="superscript"/>
              </w:rPr>
              <w:t>(1)</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35</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provided notice as of March 4, 2025 that he intends to resign as a member of the Board, with such resignation to be effective May 9, 2025.</w:t>
      </w:r>
    </w:p>
    <w:p>
      <w:pPr>
        <w:spacing w:after="0" w:line="23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at the 2025 Annual Meeting of Stockholders</w:t>
      </w:r>
    </w:p>
    <w:p>
      <w:pPr>
        <w:spacing w:after="0" w:line="117" w:lineRule="exact"/>
        <w:rPr>
          <w:sz w:val="20"/>
          <w:szCs w:val="20"/>
          <w:color w:val="auto"/>
        </w:rPr>
      </w:pPr>
    </w:p>
    <w:p>
      <w:pPr>
        <w:jc w:val="both"/>
        <w:ind w:left="120"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Emily Fairbairn </w:t>
      </w:r>
      <w:r>
        <w:rPr>
          <w:rFonts w:ascii="Times New Roman" w:cs="Times New Roman" w:eastAsia="Times New Roman" w:hAnsi="Times New Roman"/>
          <w:sz w:val="17"/>
          <w:szCs w:val="17"/>
          <w:color w:val="auto"/>
        </w:rPr>
        <w:t>has served as a member of our Board since July 2021. From 2018, she has also served as the chair of the board of directors at Movano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 Ms. Fairbairn has spent the majority of her career in executive leadership and management positions and as a seasoned investor and mentor to early-stage companies. In 1999, Ms. Fairbairn was co-founder and chief executive officer of Ascend Capital, a multi-billion-dollar hedge fund, which she ran until 2018. The firm focused on managing assets for institutional clients such as pensions, endowments, and public companies. Prior to Ascend Capital, she spent a decade building a successful practice of equity portfolio construction and financial planning for high net-worth clients for Merrill Lynch.</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Today, Ms. Fairbairn is an active investor, and since 2017 serving on the funding board of the MIT Sandbox Fund to mentor aspiring entrepreneurs. She is also a dedicated advocate of funding research for a realizable diagnostic and cure for Lyme+, which affects around 500,000 people annually in the United States. Emily holds a B.S. in Chemical Engineering from California State Polytechnic University. We believe that Ms. Fairbairn’s expertise in investment and finance matters and her extensive executive leadership and management experience qualify her to serve on our Board.</w:t>
      </w:r>
    </w:p>
    <w:p>
      <w:pPr>
        <w:spacing w:after="0" w:line="185" w:lineRule="exact"/>
        <w:rPr>
          <w:sz w:val="20"/>
          <w:szCs w:val="20"/>
          <w:color w:val="auto"/>
        </w:rPr>
      </w:pPr>
    </w:p>
    <w:p>
      <w:pPr>
        <w:ind w:left="120"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Jeremy Graff </w:t>
      </w:r>
      <w:r>
        <w:rPr>
          <w:rFonts w:ascii="Times New Roman" w:cs="Times New Roman" w:eastAsia="Times New Roman" w:hAnsi="Times New Roman"/>
          <w:sz w:val="17"/>
          <w:szCs w:val="17"/>
          <w:color w:val="auto"/>
        </w:rPr>
        <w:t>has served as a member of our Board since May 2023. Since October 2024, Dr. Graff has served as president and chief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for Allarity Therapeutics, Inc., a public precision medicine company. He previously served as an executive advisor for numerous companies, including Allarity Therapeutics, Inc., from August 2023 until September 2024. He served as chief scientific officer for IMV, Inc., an immune-oncology company, from June 2021 to January 2024, pursuing novel cancer vaccine technologies. Before that, he served as chief development officer and senior vice president, research at HiberCell, a biotechnology company developing novel therapeutics for cancer relapse and metastasis, from June 2020 to March 2021. Prior to that, he was employed at Biothera Pharmaceuticals, Inc., serving as president from November 2018 to June 2020 and as chief</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scientific officer from November 2014 to November 2018, where he led the sale of Bother Pharmaceuticals to Hibercell in June 2020. Dr. Graff received a B.A. and A.A. in Biology and Chemistry from Thomas More College (now University), a Ph.D. from the University of Kentucky’s Markey Cancer Center and completed a post-doctoral fellowship at the Johns Hopkins University School of Medicine, Oncology Center. We believe that Dr. Graff is qualified to serve as a member of our Board because of his extensive industry experience.</w:t>
      </w:r>
    </w:p>
    <w:p>
      <w:pPr>
        <w:spacing w:after="0" w:line="176"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Luba Greenwood </w:t>
      </w:r>
      <w:r>
        <w:rPr>
          <w:rFonts w:ascii="Times New Roman" w:cs="Times New Roman" w:eastAsia="Times New Roman" w:hAnsi="Times New Roman"/>
          <w:sz w:val="17"/>
          <w:szCs w:val="17"/>
          <w:color w:val="auto"/>
        </w:rPr>
        <w:t>has served as a member of our Board since July 2021. Since July 2024, Ms. Greenwood has served as chief executive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Gallop Oncology. She is also an entrepreneur-in-residence at PureTech Health, a biotherapeutics company, where she plays a key role in PureTech’s oncology program and works with the senior leadership team and board of directors on PureTech’s corporate strategy. From December 2020 through October 2024, Ms. Greenwood served as managing partner of Binney Street Capital, LLC, a venture capital fund she established for the Dana-Farber Cancer Institute. From September 2021 to November 2023, Ms. Greenwood served as chief executive officer and chair of the board of directors of Kojin Therapeutics, Inc., a private biopharmaceutical company. From April 2019 until December 2021, Ms. Greenwood served as chief executive officer and member of the board of directors of LUCA Biologics, Inc., a women’s health initiative and microbiome company, and from April 2019 to December 2020, Ms. Greenwood served as senior advisor to the chief executive officer of the Dana-Farber Cancer Institute. From February 2018 to July 2019, Ms. Greenwood was the head of strategic business development and corporate ventures for Verily Life Sciences LLC, a research subsidiary of Alphabet Inc. focused on life sciences and healthcare. From 2015 to February 2018, Ms. Greenwood was the vice president of global business development and mergers and acquisitions at F. Hoffmann-La Roche Ltd., a multinational healthcare company, as well as the head of the Roche Diagnostics Innovation Center, East Coast. Beginning in 2021, Ms. Greenwood has also served on the board of directors of OS Acquisition Corp., a blank check company.</w:t>
      </w:r>
    </w:p>
    <w:p>
      <w:pPr>
        <w:spacing w:after="0" w:line="5" w:lineRule="exact"/>
        <w:rPr>
          <w:sz w:val="20"/>
          <w:szCs w:val="20"/>
          <w:color w:val="auto"/>
        </w:rPr>
      </w:pPr>
    </w:p>
    <w:p>
      <w:pPr>
        <w:ind w:left="120" w:right="840"/>
        <w:spacing w:after="0" w:line="290" w:lineRule="auto"/>
        <w:rPr>
          <w:sz w:val="20"/>
          <w:szCs w:val="20"/>
          <w:color w:val="auto"/>
        </w:rPr>
      </w:pPr>
      <w:r>
        <w:rPr>
          <w:rFonts w:ascii="Times New Roman" w:cs="Times New Roman" w:eastAsia="Times New Roman" w:hAnsi="Times New Roman"/>
          <w:sz w:val="17"/>
          <w:szCs w:val="17"/>
          <w:color w:val="auto"/>
        </w:rPr>
        <w:t>Ms. Greenwood received a B.A. in Biology from Brandeis University and a J.D. from Northeastern University Law School. We believe that Ms. Greenwood’s extensive experience in the pharmaceutical, biotechnology and digital health industries qualifies her to serve on our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Brandt </w:t>
      </w:r>
      <w:r>
        <w:rPr>
          <w:rFonts w:ascii="Times New Roman" w:cs="Times New Roman" w:eastAsia="Times New Roman" w:hAnsi="Times New Roman"/>
          <w:sz w:val="18"/>
          <w:szCs w:val="18"/>
          <w:color w:val="auto"/>
        </w:rPr>
        <w:t>has served as a member of our Board since July 2019. From September 2010 to November 2020, Mr. Brandt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from June 2015 until November 2020 as chair of the board of directors, of Rexahn Pharmaceuticals, Inc., a public biotechnology company (until its merger with Ocuphire Pharma, Inc.). From 2011 to 2013, Mr. Brandt served on the board of directors, and as chair from December 2012, of ePocrates, Inc., a point of care medical applications company (until its acquisition by athenahealth, Inc.). From 2011 to 2012, Mr. Brandt also served as interim chief executive officer and president of ePocrates, Inc. Prior to that, from 2008 to 2009, Mr. Brandt served as president, chief executive officer, and as a member of the board of directors of Noven Pharmaceuticals, Inc., a specialty pharmaceutical company (until its acquisition by Hisamitsu Pharmaceutical Co., Inc.). Prior to leading Noven, Mr. Brandt spent 28 years at Pfizer Inc. where he served various roles, including as Pfizer’s president —U.S. pharmaceuticals operations, where he helped deliver revenue and earnings growth while engineering major change within Pfizer’s U.S. pharmaceuticals organization. Prior to running U.S. operations, he led Pfizer’s Latin American pharmaceuticals operations, as well as the following Pfizer Worldwide Pharmaceuticals functions: finance, information technology, planning and business development. He also oversaw the operations of Pfizer’s care management subsidiary, Pfizer Healthcare Solutions. Mr. Brandt also served as a director of Auxilium Pharmaceuticals, Inc. from December 2010 to January 2015 (until its acquisition by Endo International PLC). Mr. Brandt received a B.A. from the University of Connecticut and an MBA from the Columbia School of Business. We believe that Mr. Brandt’s broad operational management experience in the life sciences industry and experience serving on numerous boards of directors of life sciences companies qualifies him to serve on our Board.</w:t>
      </w:r>
    </w:p>
    <w:p>
      <w:pPr>
        <w:spacing w:after="0" w:line="18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Corrine Epperly </w:t>
      </w:r>
      <w:r>
        <w:rPr>
          <w:rFonts w:ascii="Times New Roman" w:cs="Times New Roman" w:eastAsia="Times New Roman" w:hAnsi="Times New Roman"/>
          <w:sz w:val="18"/>
          <w:szCs w:val="18"/>
          <w:color w:val="auto"/>
        </w:rPr>
        <w:t>has served as a member of our Board since December 2023. Dr. Epperly served as the chief operating officer of Cargo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(previously Syncopation Life Sciences, Inc.), a public clinical-stage biotechnology company focused on advancing curative cell therapies for cancer patients, from May 2021 to June 2023. Prior to that role, from January 2019 to March 2021, Dr. Epperly was a senior vice president of strategy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operations at Iovance Biotherapeutics, Inc., a public clinical-stage immuno-oncology company. From June 2017 to December 2018, she served as the chief operating officer at Vascular Biogenics Ltd., a public biopharmaceutical focused on cancer treatments. Prior to these roles, Dr. Epperly held the various positions at Bristol Myers Squibb and, prior to joining Bristol Myers Squibb, Dr. Epperly was an equity analyst in Global Pharmaceutical and Biotechnology Investment Research at Goldman Sachs International. Dr. Epperly served on the board of directors of Aveo Oncology, a formerly public commercial stage, oncology-focused biopharmaceutical company, from January 2020 to January 2023. Dr. Epperly received a B.Sc. in Biochemistry and Biology from the University of Virginia, an M.D. from the University of North Carolina Chapel Hill and an M.P.H. from the University of North Carolina Chapel Hill. We believe that Dr. Epperly’s extensive experience as a senior financial executive in the life sciences industry and experience serving on several boards of directors of life sciences companies qualifies her to serve on our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Ho </w:t>
      </w:r>
      <w:r>
        <w:rPr>
          <w:rFonts w:ascii="Times New Roman" w:cs="Times New Roman" w:eastAsia="Times New Roman" w:hAnsi="Times New Roman"/>
          <w:sz w:val="18"/>
          <w:szCs w:val="18"/>
          <w:color w:val="auto"/>
        </w:rPr>
        <w:t>is our co-founder, and has served as our president, chief executive officer and director since our inception in November 2015 and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chief financial officer from October 2020 to February 2021. Prior to this, from April 2014 to November 2017, Mr. Ho was the founder and managing partner at AlephPoint Capital, a private healthcare fund. Prior to AlephPoint, Mr. Ho launched the public investments and cross-over portfolio at New Leaf Venture Partners, a leading healthcare venture capital firm, and served as its Public Investment Director from 2010 to 2014. Previously, Mr. Ho also served as a Senior Equity Research Analyst at Bank of America from 2006 to 2009 and an Equity Research Analyst at Piper Jaffray &amp; Co. from 2003 to 2006, covering the biotechnology and life-science tools sectors. Earlier in his career, Mr. Ho was responsible for FP&amp;A and operational analysis at CuraGen Corporation and worked as an associate on the Healthcare Investment Banking team at Cowen. Mr. Ho was an inductee into the McMaster University Alumni Gallery in 2020 and previously served as a member of their Dean’s Advisory Board for the Faculty of Science. Mr. Ho received an MBA from the University of Notre Dame and a B.S. in Biochemistry from McMaster University. We believe that Mr. Ho’s extensive knowledge of our company as founder, president and chief executive officer and his experience in the healthcare industry qualifies him to serve on our Board.</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S. Roemer </w:t>
      </w:r>
      <w:r>
        <w:rPr>
          <w:rFonts w:ascii="Times New Roman" w:cs="Times New Roman" w:eastAsia="Times New Roman" w:hAnsi="Times New Roman"/>
          <w:sz w:val="18"/>
          <w:szCs w:val="18"/>
          <w:color w:val="auto"/>
        </w:rPr>
        <w:t>has served as chair and a member of our Board since September 2020. Mr. Roemer currently serves as chair and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of UTILITY therapeutics Ltd., a private biotechnology company; and member of the board of trustees and treasurer of the Helene Fuld College of Nursing. Mr. Roemer previously served as a member of the board of directors and chair of the audit, finance and compensation committees of Bit.Bio Ltd., a private synthetic biology company, from August 2021 to November 2024; as a director and chair of the audit committee of NexImmune, Inc., a public biotechnology company, from February 2017 to August 2024; as a member of the board of directors of SomPharmaceuticals SA, a private biopharmaceutical company, until its acquisition by Amryt Pharma plc; and a member of the board of directors of Envisagenics, Inc., a private RNA therapeutics company, from September 2021 to February 2023. Mr. Roemer was a founding leadership team member and senior vice president of Roivant Sciences, Inc., a public biopharmaceutical company, from the company’s inception in May 2014 to August 2019, where he held various senior management roles responsible for finance, operations and corporate development. In 2015, he also served as principal financial and accounting officer of Axovant Sciences Ltd., a public biopharmaceutical company, and a founding leadership team member and chief financial officer of its wholly owned subsidiary, Axovant Sciences, Inc. Prior to launching Roivant and Axovant, Mr. Roemer served in various executive roles, including managing director of the Trout Group LLC and Trout Capital LLC, chief financial officer and treasurer of Zelos Therapeutics, Inc., and vice president of Pharmasset, Inc., which was subsequently acquired by Gilead Sciences, Inc. Mr. Roemer received a B.S. in Business Administration from Georgetown University and his MBA and MPH degrees from Emory University’s Goizueta Business School and Rollins School of Public Health. We believe that Mr. Roemer’s significant executive and board leadership experience in the biopharmaceutical industry qualifies him to serve on our Board.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Resigning from the Board</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Travis Whitfill </w:t>
      </w:r>
      <w:r>
        <w:rPr>
          <w:rFonts w:ascii="Times New Roman" w:cs="Times New Roman" w:eastAsia="Times New Roman" w:hAnsi="Times New Roman"/>
          <w:sz w:val="18"/>
          <w:szCs w:val="18"/>
          <w:color w:val="auto"/>
        </w:rPr>
        <w:t>has served as a member of our Board since May 2018. Mr. Whitfill is the founder and has served in various roles at Azitra Inc.,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since July 2023, Executive Director of Advanced Technology from September 2019 to October 2022 and Chief Scientific Officer from January 2014 to September 2019, as well as on the board of directors since its founding in 2014. He has also been a Senior Analyst at Bios Research from September 2014 to June 2023 and served as a partner at Bios Equity Partners, LP, a biotechnology-focused venture capital firm, from October 2015 to June 2023. Mr. Whitfill has also served as an assistant professor adjunct at Yale University since March 2022 and previously served as an associate research scientist with appointments in the Departments of Pediatrics and Emergency Medicine at Yale University from July 2016 to March 2022. Mr. Whitfill has led numerous grant-funded projects, holds several patents and has co-authored over 50 publications. Mr. Whitfill received a B.S. from Dallas Baptist University, a MPhil from UCL in the United Kingdom, and an MPH from Yale University.</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Mr. Whitfill will resign from the Board effective May 9, 2025. The Board wishes to thank Mr. Whitfill for his years of dedicated service and work on behalf of the Company and its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17"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color w:val="auto"/>
        </w:rPr>
        <w:t>As required under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a majority of the members of a listed company’s Board must qualify as “independent,” as affirmatively determined by the Board. The Board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The Board has reviewed the independence of each director. Based on information provided by each director concerning her or his background, employment and affiliations, the Board has determined that none of our directors, other than Mr. Ho, has any relationships that would interfere with the exercise of independent judgment in carrying out the responsibilities of a director and that each of the directors is “independent” as that term is defined under the Nasdaq listing standards. In making these determinations, our Board considered the current and prior relationships that each non-employee director has with us and all other facts and circumstances our Board deemed relevant in determining their independence, including the beneficial ownership of our securities by each non-employee director and the transactions described in the section titled “Transactions with Related Persons.”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 of the Board in the manner that it determines to be in the best interests of our stockholders and in accordance with any stockholder agreements. The Board does not believe there should be a fixed rule regarding the positions of Chief Executive Officer and Chair being held by different individuals, or whether the Chair should be an employee of the Company or should be elected from among the non-employee directors. The needs of the Company and the individuals available to assume these roles may require different outcomes at different times, and the Board believes that retaining flexibility in these decisions is in the best interests of the Company.</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periodically reviews this matter and make recommendations to the Board. The Nominating Committee has recommended, and the Board has determined, that the roles of Chief Executive Officer and Chair of the Board should be separate. The role of chairperson is currently held by Alan S. Roemer, an independent, non-employee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 of the Board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with management and the auditors, as appropriate, the Company’s guidelines and policies with respect to financial risk management and financial risk assessment, including the Company’s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the Company has taken to monitor and control such exposures as well as overseeing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w:t>
      </w:r>
    </w:p>
    <w:p>
      <w:pPr>
        <w:spacing w:after="0" w:line="189"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Executive Sessions; Annual Meeting Attendance</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Our Board met 11 times during the fiscal year ended December 31, 2024. During the fiscal year ended December 31, 2024, each director attended at least 75% of the aggregate number of meetings of our Board and of the committees on which they served (held during the period for which he or she was a director).</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during the fiscal year ended December 31, 2024, our non-management directors met seven times in regularly scheduled executive sessions at which only non-management directors were present.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It is our policy to encourage directors and nominees for director to attend the Annual Meeting. Seven of our current directors who served at the time of our 2024 Annual Meeting of Stockholders attended that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 an Audit Committee, a Compensation Committee and a Nominating and Corporate Governance Committee. Our Board may establish other committees to facilitate the management of our business. Our Board has adopted a written charter for each of our standing committees, which are available to stockholders on our investor relations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the fiscal year ended December 31, 2024 for each of the committees of our Board. Each Board member attended 75% or more of the aggregate number of meetings of the standing committee on which she or he served, held during the portion of the last fiscal year for which she or he was a committee member.</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8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4260" w:type="dxa"/>
            <w:vAlign w:val="bottom"/>
            <w:vMerge w:val="restart"/>
          </w:tcPr>
          <w:p>
            <w:pPr>
              <w:jc w:val="center"/>
              <w:ind w:left="2428"/>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6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2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4260" w:type="dxa"/>
            <w:vAlign w:val="bottom"/>
          </w:tcPr>
          <w:p>
            <w:pPr>
              <w:jc w:val="center"/>
              <w:ind w:left="2428"/>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Alan S. Roemer</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Peter Brandt </w:t>
      </w:r>
      <w:r>
        <w:rPr>
          <w:sz w:val="1"/>
          <w:szCs w:val="1"/>
          <w:color w:val="auto"/>
        </w:rPr>
        <w:drawing>
          <wp:inline distT="0" distB="0" distL="0" distR="0">
            <wp:extent cx="85725" cy="939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Corrine Epperly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Jeremy Graff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Luba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3"/>
        </w:trPr>
        <w:tc>
          <w:tcPr>
            <w:tcW w:w="42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Travis Whitfill</w:t>
            </w:r>
            <w:r>
              <w:rPr>
                <w:rFonts w:ascii="Times New Roman" w:cs="Times New Roman" w:eastAsia="Times New Roman" w:hAnsi="Times New Roman"/>
                <w:sz w:val="23"/>
                <w:szCs w:val="23"/>
                <w:color w:val="auto"/>
                <w:vertAlign w:val="superscript"/>
              </w:rPr>
              <w:t>(1)</w:t>
            </w:r>
          </w:p>
        </w:tc>
        <w:tc>
          <w:tcPr>
            <w:tcW w:w="3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2024</w:t>
            </w:r>
          </w:p>
        </w:tc>
        <w:tc>
          <w:tcPr>
            <w:tcW w:w="35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85725"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9398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858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540" w:right="60" w:hanging="424"/>
        <w:spacing w:after="0" w:line="288"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stepped down from the Compensation Committee in February 2024. Mr. Whitfill has resigned from the Board and all committees thereof effective as of May 9, 2025. Dr. Graff will serve as Chair of the Nominating and Corporate Governance Committee upon the effectiveness of Mr. Whitfill’s resignation.</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 committee of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currently consists of Alan S. Roemer, Peter Brandt and Luba Greenwood, with Mr. Brandt serving as Chair. The Board has determined each member satisfies the independence requirements under Nasdaq listing standards and Rule 10A-3(b)(1) of the Exchange Act. The Board has determined that Mr. Brandt is an “audit committee financial expert” within the meaning of SEC regulations. Each member of the audit committee can read and understand fundamental financial statements in accordance with applicable requirements. In arriving at these determinations, the Board has examined each audit committee member’s scope of experience and the nature of their employment.</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management and the independent registered public accounting firm concerning the scope, design, adequacy, and effectiveness of internal control over financial reporting and our disclosure controls and procedures;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investment philosophy and policies;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of our risk management, risk assessment and major risk exposures, including privacy, cybersecurity and information technology risks;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119"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Brandt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Luba Greenwood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Alan S. Roemer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Alan S. Roemer, Corinne Epperly and Luba Greenwood, with Mr. Roemer serving as Chair. Travis Whitfill stepped down from the Compensation Committee in February 2024. The Board has determined that each member of the Compensation Committee is independent under the Nasdaq listing standards and a “non-employee director” as defined in Rule 16b-3 promulgated under the Exchange Act.</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1" w:lineRule="exact"/>
        <w:rPr>
          <w:sz w:val="20"/>
          <w:szCs w:val="20"/>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individual and corporate performance goals and objectives, and other terms of employment of our chief executive officer, other executive officers and other senior management;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for approval of) the type and amount of compensation to be paid or awarded to Board members, including perquisites;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regulatory compliance with respect to compensation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its oversight of our policies and strategies relating to human capital management.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Compensation Committee generally meets quarterly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Compensation Committee may also form and delegate authority to subcommittees for any purpose that the Committee deems appropriate, including</w:t>
      </w:r>
    </w:p>
    <w:p>
      <w:pPr>
        <w:spacing w:after="0" w:line="27" w:lineRule="exact"/>
        <w:rPr>
          <w:sz w:val="20"/>
          <w:szCs w:val="20"/>
          <w:color w:val="auto"/>
        </w:rPr>
      </w:pPr>
    </w:p>
    <w:p>
      <w:pPr>
        <w:jc w:val="both"/>
        <w:ind w:left="120" w:right="80" w:hanging="4"/>
        <w:spacing w:after="0" w:line="255"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subcommittee consisting of a single member, and (b) a subcommittee consisting of at least two members, each of whom qualify as “non-employee directors” for purposes of Rule 16b-3 under the Exchange Act. In 2024, the Compensation Committee delegated authority to Chief Executive Officer to grant equity awards to non-executive employees, with such awards not to exceed a specified share cap.</w:t>
      </w:r>
    </w:p>
    <w:p>
      <w:pPr>
        <w:spacing w:after="0" w:line="18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the Compensation Committee engaged Aon’s Human Capital Solutions (“</w:t>
      </w:r>
      <w:r>
        <w:rPr>
          <w:rFonts w:ascii="Times New Roman" w:cs="Times New Roman" w:eastAsia="Times New Roman" w:hAnsi="Times New Roman"/>
          <w:sz w:val="18"/>
          <w:szCs w:val="18"/>
          <w:b w:val="1"/>
          <w:bCs w:val="1"/>
          <w:i w:val="1"/>
          <w:iCs w:val="1"/>
          <w:color w:val="auto"/>
        </w:rPr>
        <w:t>Aon</w:t>
      </w:r>
      <w:r>
        <w:rPr>
          <w:rFonts w:ascii="Times New Roman" w:cs="Times New Roman" w:eastAsia="Times New Roman" w:hAnsi="Times New Roman"/>
          <w:sz w:val="18"/>
          <w:szCs w:val="18"/>
          <w:color w:val="auto"/>
        </w:rPr>
        <w:t>”), an independent compensation consultant, to provide it with information, recommendations and other advice relating to executive compensation on an ongoing basis. The Compensation Committee has assessed Aon’s independence and determined that Aon had no conflicts of interest in connection with its provisions of services to the Compensation Committee. In 2024, the Compensation Committee engaged Aon to provide market data, peer group analysis and conduct an executive compensation assessment analyzing the cash and equity compensation of our executive officers and directors against compensation for similarly situated executives and directors at our peer group. Our Compensation Committee utilizes the data and analysis from Aon to evaluate and determine appropriate levels of overall compensation for our executive officers, as well as each separate element of compensation, to be consistent and competitive with our peer group.</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at one or more meetings held during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first quarter of the year. However,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executive and director stock ownership information, Company stock performance data, analyses of historical executive compensation levels and current Company-wide compensation levels, including analyses of executive and director compensation paid at a peer group of other companies approved by our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Peter Brandt, Emily Fairbairn, Jeremy Graff and Travis Whitfill, with Mr. Whitfill serving as Chair. Upon Mr. Whitfill’s resignation from the Board effective as of May 9, 2025, Dr. Graff will serve as Chair of the Nominating and Corporate Governance Committee. The Board has determined that each member of the Nominating and Corporate Governance Committee is independent under the Nasdaq listing standards.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governance functions, including reviewing the adequacy of the Company’s certificate of incorporation and bylaws;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 including developments in corporate governance;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structure, composition and chairmanship of the committees of our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and orientation of new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stockholder proposals submitted for inclusion in our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succession plans for our executive officers.</w:t>
      </w:r>
    </w:p>
    <w:p>
      <w:pPr>
        <w:spacing w:after="0" w:line="225"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Our Board determines the appropriate characteristics, skills and experience for the Board as a whole and for its individual members. The Board considers recommendation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ability to understand our industry and being older than 21.</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considering candidates recommended by the Nominating and Corporate Governance Committee, the Board intends to consider other factors, such as:</w:t>
      </w:r>
    </w:p>
    <w:p>
      <w:pPr>
        <w:spacing w:after="0" w:line="27" w:lineRule="exact"/>
        <w:rPr>
          <w:sz w:val="20"/>
          <w:szCs w:val="20"/>
          <w:color w:val="auto"/>
        </w:rPr>
      </w:pPr>
    </w:p>
    <w:p>
      <w:pPr>
        <w:ind w:left="120" w:right="40" w:hanging="4"/>
        <w:spacing w:after="0" w:line="253"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reviews candidates for director nomination in the context of the current composition of the Board, our operating requirements, and the long-term interests of our stockholders. In conducting this assessment, the Board and the Nominating and Corporate Governance Committee consider diversity (including, among other factors, diversity of gender, ethnic background and country of origin), age, skills and other factors that it deems appropriate to maintain a balance of knowledge, experience, and capability on the Board. For incumbent directors, the Board reviews those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Board also determines whether the nominee must be independent for Nasdaq purposes.</w:t>
      </w:r>
    </w:p>
    <w:p>
      <w:pPr>
        <w:spacing w:after="0" w:line="18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Our Nominating and Corporate Governance Committee’s priority in selecting board members is identification of persons who will further the interests of the Company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7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at c/o IN8bio, Inc., 350 5th Avenue, Suite 5330, New York, New York 10118. To be timely, we must receive the notice not less than 90 days nor more than 120 days prior to the anniversary of the prior year’s annual meeting of stockholders, subject to certain exceptions as set forth in our Bylaws. Submissions must include the specific information required in Section 5 of our Bylaws.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jc w:val="both"/>
        <w:ind w:left="120" w:right="420"/>
        <w:spacing w:after="0" w:line="289" w:lineRule="auto"/>
        <w:rPr>
          <w:sz w:val="20"/>
          <w:szCs w:val="20"/>
          <w:color w:val="auto"/>
        </w:rPr>
      </w:pPr>
      <w:r>
        <w:rPr>
          <w:rFonts w:ascii="Times New Roman" w:cs="Times New Roman" w:eastAsia="Times New Roman" w:hAnsi="Times New Roman"/>
          <w:sz w:val="17"/>
          <w:szCs w:val="17"/>
          <w:color w:val="auto"/>
        </w:rPr>
        <w:t>The Board has also established the Science and Technology Committee, which consists of Corinne Epperly, Jeremy Graff and Travis Whitfill, with Dr. Graff serving as Chair. Mr. Whitfill has resigned from the Board and the Science and Technology Committee effective as of May 9, 2025. The Science and Technology Committee assists with the Board’s oversight of the strategic direction of our research and development activities.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xml:space="preserve">”)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 If we ever were to amend or waive any provision of our Code of Conduct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posted on our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Stockholders wishing to communicate with the Board or an individual director may send a written communication to the Board or such director addressed to the Secretary of IN8bio, Inc. at 350 5th Avenue Suite 5330 New York, New York 10118.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our intent to comply with applicable laws and regulations relating to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Hedging and Pledging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Under our Insider Trading Policy, our directors, executive officers, employees and designated consultants may not hedge their ownership of our stock, including but not limited to trading in options, puts, calls, or other derivative instruments related to our stock. Additionally, directors, executive officers, employees and designated consultants may not purchase our stock on margin, borrow against our stock held in a margin account, or pledge our stock as collateral for a loan.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RATIFICATION OF THE SELECTION OF THE INDEPENDENT REGISTERED PUBLIC ACCOUNTING FIRM</w:t>
      </w:r>
    </w:p>
    <w:p>
      <w:pPr>
        <w:spacing w:after="0" w:line="22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The Audit Committee has selected CohnReznick LLP (“</w:t>
      </w:r>
      <w:r>
        <w:rPr>
          <w:rFonts w:ascii="Times New Roman" w:cs="Times New Roman" w:eastAsia="Times New Roman" w:hAnsi="Times New Roman"/>
          <w:sz w:val="18"/>
          <w:szCs w:val="18"/>
          <w:b w:val="1"/>
          <w:bCs w:val="1"/>
          <w:i w:val="1"/>
          <w:iCs w:val="1"/>
          <w:color w:val="auto"/>
        </w:rPr>
        <w:t>CohnReznick</w:t>
      </w:r>
      <w:r>
        <w:rPr>
          <w:rFonts w:ascii="Times New Roman" w:cs="Times New Roman" w:eastAsia="Times New Roman" w:hAnsi="Times New Roman"/>
          <w:sz w:val="18"/>
          <w:szCs w:val="18"/>
          <w:color w:val="auto"/>
        </w:rPr>
        <w:t>”) as our independent registered public accounting firm for the fiscal year ending December 31, 2025 and has further directed that management submit the selection of its independent registered public accounting firm for ratification by the stockholders at the Annual Meeting. CohnReznick has audited the Company’s financial statements since 2017. Representatives of CohnReznick are expected to be available during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Neither our organizational documents nor law require that the stockholders ratify the selection of CohnReznick as our independent registered public accounting firm. However, the Audit Committee is submitting the selection of CohnReznick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the Company for the fiscal years ended December 31, 2024 and December 31, 2023 by CohnReznick. All fees described below were pre-approved by the Audit Committee.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9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2"/>
        </w:trPr>
        <w:tc>
          <w:tcPr>
            <w:tcW w:w="12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2"/>
                <w:szCs w:val="12"/>
                <w:color w:val="auto"/>
              </w:rPr>
            </w:pPr>
          </w:p>
        </w:tc>
      </w:tr>
      <w:tr>
        <w:trPr>
          <w:trHeight w:val="209"/>
        </w:trPr>
        <w:tc>
          <w:tcPr>
            <w:tcW w:w="91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$ 382,217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$ 315,457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$ 382,217</w:t>
            </w:r>
          </w:p>
        </w:tc>
        <w:tc>
          <w:tcPr>
            <w:tcW w:w="100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9"/>
              </w:rPr>
              <w:t>$ 315,457</w:t>
            </w:r>
          </w:p>
        </w:tc>
      </w:tr>
      <w:tr>
        <w:trPr>
          <w:trHeight w:val="20"/>
        </w:trPr>
        <w:tc>
          <w:tcPr>
            <w:tcW w:w="1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7" w:lineRule="exact"/>
        <w:rPr>
          <w:sz w:val="20"/>
          <w:szCs w:val="20"/>
          <w:color w:val="auto"/>
        </w:rPr>
      </w:pPr>
    </w:p>
    <w:p>
      <w:pPr>
        <w:ind w:left="540" w:right="20" w:hanging="424"/>
        <w:spacing w:after="0" w:line="298"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are fees related to the annual audit of our consolidated financial statements, the review of our quarterly condensed consolidated financial statements and services performed in connection with registration statements or other regulatory filings with the SEC, including comfort letters and consents.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Audit Committee approves all audit and pre-approves all non-audit services provided by CohnReznick before it is engaged by us to render non-audit services to ensure that the provision of these services does not impair the auditor’s independence. These services may include audit-related services, tax services and other non-audit services. The pre-approval of services may be delegated to one or more of the Audit Committee’s members, but the decision must be reported to the full Audit Committee at its next scheduled meeting. The pre-approval requirement does not apply with respect to non-audit services if:</w:t>
      </w:r>
    </w:p>
    <w:p>
      <w:pPr>
        <w:spacing w:after="0" w:line="89" w:lineRule="exact"/>
        <w:rPr>
          <w:sz w:val="20"/>
          <w:szCs w:val="20"/>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services do not, in the aggregate, amount to more than 5% of the total fees paid by us to CohnReznick during the fiscal year in which the services are provided;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were not recognized as non-audit services at the time of the relevant engagement;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are promptly brought to the attention of and approved by the Audit Committee (or its delegate) prior to the completion of the annual audit.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the voting power of the shares present by remote communication or represented by proxy at the meeting and voting affirmatively or negatively (excluding abstentions and broker non-votes) will be required to ratify the selection of CohnReznick.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COHNREZNICK LLP AS OUR INDEPENDENT REGISTERED PUBLIC ACCOUNTING FIRM (PROPOSAL 2 ON YOUR NOTICE OF INTERNET AVAILABILITY)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OF A SERIES OF ALTERNATE AMENDMENTS TO OUR AMENDED AND RESTATED CERTIFICATE OF INCORPORATION TO EFFECT A REVERSE STOCK SPLIT OF OUR COMMON STOCK</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Our Board has unanimously approved a series of alternate amendments to our amended and restated certificate of incorporation that would effect a reverse stock split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of all issued and outstanding shares of our common stock, at a ratio ranging from 1-for-15 to 1-for-30, inclusive. The text of the proposed form of amendment to our certificate of incorporation, which we refer to as the Certificate of Amendment, is attached hereto as Appendix A.</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following the Annual Meeting and prior to the one-year anniversary of the Annual Meeting, or May 8, 2026. Our Board has recommended that these proposed amendments be presented to our stockholders for approval.</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 3, and to grant authorization to our Board to determine, at its option, whether to implement a Reverse Stock Split, including its specific timing and ratio.</w:t>
      </w:r>
    </w:p>
    <w:p>
      <w:pPr>
        <w:spacing w:after="0" w:line="162"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Should we receive the required stockholder approval for Proposal 3, our Board will have the sole authority to elect, at any time on or prior to the one-year anniversary of the Annual Meeting and without the need for any further action on the part of our stockholders, whether to effect a Reverse Stock Split and the number of whole shares of our common stock, between and including fifteen (15) and thirty (30), that will be combined into one share of our common stock.</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Notwithstanding approval of Proposal 3 by our stockholders, our Board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our Board does not implement a Reverse Stock Split on or prior to the one-year anniversary of the Annual Meeting, stockholder approval would again be required prior to implementing any Reverse Stock Split.</w:t>
      </w:r>
    </w:p>
    <w:p>
      <w:pPr>
        <w:spacing w:after="0" w:line="180"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By approving Proposal 3, our stockholders will: (a) approve a series of alternate amendments to our amended and restated certificate of incorporation pursuant to which any whole number of outstanding shares of common stock between and including fifteen (15) and thirty (30) could be combined into one share of common stock; and (b) authorize our Board to file only one such amendment, as determined by the Board at its sole option, and to abandon each amendment not selected by the Board. Our Board may also elect not to undertake any Reverse Stock Split and therefore abandon all amendments.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are proposing that our Board have the discretion to select the Reverse Stock Split ratio from within a range between and including 1-for-15 to 1-for-30, rather than proposing that stockholders approve a specific ratio at this time, in order to give our Board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Reverse Stock Split will be effective at the time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 maintain our listing on the Nasdaq Capital Market.</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6, 2024, we were notified by Nasdaq that the bid price for our common stock had closed below $1.00 per share for 30 consecutive business days and, as a result, we no longer satisfied the minimum bid price requirement applicable to Nasdaq Global Market issuers (the “</w:t>
      </w:r>
      <w:r>
        <w:rPr>
          <w:rFonts w:ascii="Times New Roman" w:cs="Times New Roman" w:eastAsia="Times New Roman" w:hAnsi="Times New Roman"/>
          <w:sz w:val="18"/>
          <w:szCs w:val="18"/>
          <w:b w:val="1"/>
          <w:bCs w:val="1"/>
          <w:i w:val="1"/>
          <w:i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color w:val="auto"/>
        </w:rPr>
        <w:t>”). Pursuant to Nasdaq rules, we were automatically afforded an initial 180-calendar day grace period, through February 3, 2025, to regain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the minimum bid price requirement. To obtain a second 180-day grace period, we applied to transfer the listing of our common stock to the Nasdaq Capital Market. On February 7, 2025, we transferred to The Nasdaq Capital Market, and we were afforded an additional 180 calendar day compliance period, or until August 4, 2025 (the “</w:t>
      </w:r>
      <w:r>
        <w:rPr>
          <w:rFonts w:ascii="Times New Roman" w:cs="Times New Roman" w:eastAsia="Times New Roman" w:hAnsi="Times New Roman"/>
          <w:sz w:val="18"/>
          <w:szCs w:val="18"/>
          <w:b w:val="1"/>
          <w:bCs w:val="1"/>
          <w:i w:val="1"/>
          <w:iCs w:val="1"/>
          <w:color w:val="auto"/>
        </w:rPr>
        <w:t>Compliance Date</w:t>
      </w:r>
      <w:r>
        <w:rPr>
          <w:rFonts w:ascii="Times New Roman" w:cs="Times New Roman" w:eastAsia="Times New Roman" w:hAnsi="Times New Roman"/>
          <w:sz w:val="18"/>
          <w:szCs w:val="18"/>
          <w:color w:val="auto"/>
        </w:rPr>
        <w:t>”), to regain compliance with the Minimum Bid Price Requirement. Our failure to regain compliance prior to the Compliance Date could result in delisting. To regain compliance with the Minimum Bid Price Requirement, we must evidence a closing bid price of at least $1.00 per share for a minimum of 10 consecutive business days.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Board has considered the potential harm to us and our stockholders should Nasdaq delist our common stock from the Nasdaq Capital Market. If our common stock were delisted from the Nasdaq Capital Market, the Board believes that such delisting would adversely affect the market liquidity of our common stock, decrease the market price of our common stock, adversely affect our ability to obtain financing for the continuation of our operations and result in the loss of confidence in our company. In the event that our stockholders fail to approve this proposal, the Company could be prevented in the future from complying with the Minimum Bid Price Requirement or other Nasdaq listing requirements.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that maintaining listing on the Nasdaq Capital Market will provide us with a market for the common stock that is more accessible than if the common stock were traded on the OTC Bulletin Board or in the “pink sheets” maintained by the OTC Markets Group, Inc.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Board believes that the proposed Reverse Stock Split is a potentially effective means for us to maintain compliance with the Minimum Bid Price Requirement and to avoid, or at least mitigate, the likely adverse consequences of our common stock being delisted from Nasdaq by producing the immediate effect of increasing the bid price of our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 potentially improve the marketability and liquidity of our common stock.</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believes that the increased market price of our common stock expected as a result of implementing a Reverse Stock Split could improve the marketability and liquidity of our common stock and encourage interest and trading in our common stock.</w:t>
      </w:r>
    </w:p>
    <w:p>
      <w:pPr>
        <w:spacing w:after="0" w:line="65" w:lineRule="exact"/>
        <w:rPr>
          <w:sz w:val="20"/>
          <w:szCs w:val="20"/>
          <w:color w:val="auto"/>
        </w:rPr>
      </w:pPr>
    </w:p>
    <w:p>
      <w:pPr>
        <w:ind w:left="1080" w:right="4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Stock Price Requirements</w:t>
      </w:r>
      <w:r>
        <w:rPr>
          <w:rFonts w:ascii="Times New Roman" w:cs="Times New Roman" w:eastAsia="Times New Roman" w:hAnsi="Times New Roman"/>
          <w:sz w:val="18"/>
          <w:szCs w:val="18"/>
          <w:color w:val="auto"/>
        </w:rPr>
        <w:t>: We understand that many brokerage houses, institutional investors and funds have internal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Volatility</w:t>
      </w:r>
      <w:r>
        <w:rPr>
          <w:rFonts w:ascii="Times New Roman" w:cs="Times New Roman" w:eastAsia="Times New Roman" w:hAnsi="Times New Roman"/>
          <w:sz w:val="18"/>
          <w:szCs w:val="18"/>
          <w:color w:val="auto"/>
        </w:rPr>
        <w:t>: Because of the trading volatility often associated with low-priced stocks, many brokerage houses and institutional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8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Investors may be dissuaded from purchasing stocks below certain prices because brokers’ commissions,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transaction value, can be higher for low-priced stocks.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3, our Board may consider, among other things, various factors such as:</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 term;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Capital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our Board desires to have the additional authorized but unissued shares of common stock that will result from the implementation of a Reverse Stock Split available for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19"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We cannot assure you that the proposed Reverse Stock Split will increase our stock price for a sustained period or have the desired effect of maintaining compliance with Nasdaq Marketplace Rules.</w:t>
      </w:r>
    </w:p>
    <w:p>
      <w:pPr>
        <w:spacing w:after="0" w:line="5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expect that the Reverse Stock Split will increase the market price of our common stock.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w:t>
      </w:r>
    </w:p>
    <w:p>
      <w:pPr>
        <w:spacing w:after="0" w:line="192" w:lineRule="exact"/>
        <w:rPr>
          <w:sz w:val="20"/>
          <w:szCs w:val="20"/>
          <w:color w:val="auto"/>
        </w:rPr>
      </w:pPr>
    </w:p>
    <w:p>
      <w:pPr>
        <w:ind w:left="120" w:right="100"/>
        <w:spacing w:after="0" w:line="269" w:lineRule="auto"/>
        <w:rPr>
          <w:sz w:val="20"/>
          <w:szCs w:val="20"/>
          <w:color w:val="auto"/>
        </w:rPr>
      </w:pPr>
      <w:r>
        <w:rPr>
          <w:rFonts w:ascii="Times New Roman" w:cs="Times New Roman" w:eastAsia="Times New Roman" w:hAnsi="Times New Roman"/>
          <w:sz w:val="17"/>
          <w:szCs w:val="17"/>
          <w:color w:val="auto"/>
        </w:rPr>
        <w:t>We cannot assure you that our common stock will regain compliance with the Minimum Bid Price Requirement by the Compliance Date.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 If we are unable to satisfy the Nasdaq criteria for continued listing, our common stock would be subject to delisting. A delisting of our common stock could negatively impact us by, among other things,</w:t>
      </w:r>
    </w:p>
    <w:p>
      <w:pPr>
        <w:spacing w:after="0" w:line="3" w:lineRule="exact"/>
        <w:rPr>
          <w:sz w:val="20"/>
          <w:szCs w:val="20"/>
          <w:color w:val="auto"/>
        </w:rPr>
      </w:pPr>
    </w:p>
    <w:p>
      <w:pPr>
        <w:jc w:val="both"/>
        <w:ind w:left="120" w:right="360" w:hanging="4"/>
        <w:spacing w:after="0" w:line="255"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proposed Reverse Stock Split may decrease the liquidity of our common stock and result in higher transaction costs.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liquidity of our common stock may be negatively impacted by a Reverse Stock Split, given the reduced number of shares that would be outstanding after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289" w:lineRule="exact"/>
        <w:rPr>
          <w:sz w:val="20"/>
          <w:szCs w:val="20"/>
          <w:color w:val="auto"/>
        </w:rPr>
      </w:pPr>
    </w:p>
    <w:p>
      <w:pPr>
        <w:ind w:left="120" w:right="840"/>
        <w:spacing w:after="0" w:line="284" w:lineRule="auto"/>
        <w:rPr>
          <w:sz w:val="20"/>
          <w:szCs w:val="20"/>
          <w:color w:val="auto"/>
        </w:rPr>
      </w:pPr>
      <w:r>
        <w:rPr>
          <w:rFonts w:ascii="Times New Roman" w:cs="Times New Roman" w:eastAsia="Times New Roman" w:hAnsi="Times New Roman"/>
          <w:sz w:val="18"/>
          <w:szCs w:val="18"/>
          <w:i w:val="1"/>
          <w:iCs w:val="1"/>
          <w:color w:val="auto"/>
        </w:rPr>
        <w:t>The effective increase in the authorized number of shares of our common stock as a result of the Reverse Stock Split could have anti-takeover implications.</w:t>
      </w:r>
    </w:p>
    <w:p>
      <w:pPr>
        <w:spacing w:after="0" w:line="5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3 is approved and a Reverse Stock Split is implemented could be used by us to oppose a hostile takeover attempt or to delay or prevent changes in control or our management. While the Board has not adopted a stockholder rights plan which, under certain circumstances related to an acquisition of our securities that is not approved by the Board, would give certain holders the right to acquire additional shares of our common stock at a low price, the Board may elect to adopt a rights plan in the future. The Board also could strategically sell shares of common stock in a private transaction to purchasers who would oppose a takeover or favor the current Board.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Reverse Stock Split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elects to implement, each stockholder will own a reduced number of shares of common stock. However, any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131" w:lineRule="exact"/>
        <w:rPr>
          <w:sz w:val="20"/>
          <w:szCs w:val="20"/>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Reverse Stock Split ratio selected by the Board, each fifteen (15) to thirty (30) shares of our common stock owned by a stockholder will be combined into one new share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authorized shares of our common stock will not be reduced proportionally to the Reverse Stock Split and, therefore, the Reverse Stock Split will result in an effective increase in the authorized number of shares of our common stock;</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and warrants, which will result in a proportional decrease in the number of shares of our common stock reserved for issuance upon exercise or vesting of such stock options and warrants and a proportional increase in the exercise price of all such stock options and warrants; and</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following table contains approximate information, based on share information as of March 12, 2025, relating to our outstanding common stock based on the proposed Reverse Stock Split ratios (without giving effect to the treatment of fractional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6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0" w:type="dxa"/>
            <w:vAlign w:val="bottom"/>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but Unissued and</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3700" w:type="dxa"/>
            <w:vAlign w:val="bottom"/>
            <w:gridSpan w:val="2"/>
            <w:vMerge w:val="continue"/>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Future Issuance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Unreserved</w:t>
            </w: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490,000,000</w:t>
            </w: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81,258,763</w:t>
            </w:r>
          </w:p>
        </w:tc>
        <w:tc>
          <w:tcPr>
            <w:tcW w:w="1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79,589,015</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329,152,222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5,417,250</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5,305,934</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479,276,816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5,078,672</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4,974,313</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479,947,015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4,779,927</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4,681,706</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480,538,367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4,514,375</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4,421,611</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481,064,014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4,276,777</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4,188,895</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481,534,328</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4,062,938</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3,979,450</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481,957,612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3,869,464</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3,789,953</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482,340,583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1:22</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3,693,580</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3,617,682</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482,688,738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3,532,989</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3,460,391</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483,006,620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3,385,781</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3,316,208</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483,298,011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3,250,350</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3,183,560</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483,566,090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3,125,337</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3,061,115</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483,813,548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3,009,583</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2,947,741</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484,042,676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2,902,098</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2,842,464</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484,255,438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2,802,026</w:t>
            </w:r>
          </w:p>
        </w:tc>
        <w:tc>
          <w:tcPr>
            <w:tcW w:w="180" w:type="dxa"/>
            <w:vAlign w:val="bottom"/>
          </w:tcPr>
          <w:p>
            <w:pPr>
              <w:spacing w:after="0"/>
              <w:rPr>
                <w:sz w:val="18"/>
                <w:szCs w:val="18"/>
                <w:color w:val="auto"/>
              </w:rPr>
            </w:pP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2,744,448</w:t>
            </w:r>
          </w:p>
        </w:tc>
        <w:tc>
          <w:tcPr>
            <w:tcW w:w="160" w:type="dxa"/>
            <w:vAlign w:val="bottom"/>
          </w:tcPr>
          <w:p>
            <w:pPr>
              <w:spacing w:after="0"/>
              <w:rPr>
                <w:sz w:val="18"/>
                <w:szCs w:val="18"/>
                <w:color w:val="auto"/>
              </w:rPr>
            </w:pPr>
          </w:p>
        </w:tc>
        <w:tc>
          <w:tcPr>
            <w:tcW w:w="20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484,453,526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1:30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490,000,000</w:t>
            </w:r>
          </w:p>
        </w:tc>
        <w:tc>
          <w:tcPr>
            <w:tcW w:w="1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2,708,625</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2,652,967</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484,638,408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elects to implement, our common stock would have a new Committee on Uniform Securities Identification Procedures (CUSIP) number, a number used to identify our common stock.</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“INAB” immediately following the Reverse Stock Split, although Nasdaq will add the letter “D” to the end of the trading symbol for a period of 20 trading days after the effective date of the Reverse Stock Split to indicate that a reverse stock split has occurred.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date of filing of a Certificate of Amendment with the office of the Secretary of State of the State of Delaware, or such later date or other time as is set forth in the Certificate of Amendment, which date and time we refer to in this Proposal 3 as the “Effective Time.” Except as explained below with respect to fractional shares, effective as of the Effective Time,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Capital Market during regular trading hours for the five consecutive trading days immediately preceding the Effective Time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of March 12, 2025, there were 38 stockholders of record of our common stock. Upon stockholder approval of this Proposal 3,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Holders of as many as 15 shares (if we were to implement the 1-for-15 Reverse Stock Split) of common stock would be eliminated as a result of the cash payment in lieu of any issuance of fractional shares or interests in connection with the Reverse Stock Split. The exact number by which the number of holders of the common stock would be reduced will depend on the number of stockholders that hold less than 15 shares as of the effective date of the Reverse Stock Split. As of the Record Date, there were 38 holders of record of the common stock, none of which was a holder of fewer than 15 shares of common stock. As a result of the Reverse Stock Split, assuming a Reverse Stock Split ratio of 1-for-15, we estimate that cashing out fractional stockholders would not reduce the number of stockholders of record.</w:t>
      </w:r>
    </w:p>
    <w:p>
      <w:pPr>
        <w:spacing w:after="0" w:line="18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addition, we do not intend for this transaction to be the first step in a series of plans or proposals of a “going private transaction” within the meaning of Rule 13e-3 of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elects to implement a Reverse Stock Split, stockholders of record holding some or all of their shares in certificate form will receive a letter of transmittal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from us or our exchange agent, as soon as practicable after the effective date of the Reverse Stock Split. Our transfer agent is expected to act as “exchange agent” for the purpose of implementing the exchange of stock certificates.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$0.0001 per share after any Reverse Stock Split. As a result, on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retrospectively in our financial statements. We do not anticipate that any other accounting consequences would arise as a result of any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certificate of incorporation to allow for a Reverse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a Reverse Stock Split that are generally expected to be applicable to U.S. Holders (as defined below) who hold their common stock as capital assets within the meaning of Section 1221 of Internal Revenue Code of 1986, as amended (the “Code”) (generally property held for investment). This summary is based on provisions of the Code, applicable Treasury Regulations promulgated thereunder, judicial authority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federal income tax consequences of a Reverse Stock Split.</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discussion is for general information only and does not purport to consider all aspects of U.S. federal income taxation that might be relevant to a U.S. Holder. This discussion does not address the tax consequences which may apply to stockholders subject to special rules, such as financial institutions, insurance companies, tax-exempt organizations, dealers in securities, real estate investment trusts, regulated investment companies, stockholders who hold their pre-reverse split shares through individual retirement or other tax-deferred accounts, stockholders who are not U.S. Holders, stockholders who have a functional currency other than the U.S. dollar, partnerships or other entities classified as partnerships or disregarded entities for U.S. federal income tax purposes (or persons holding our common stock through such entities), stockholders who hold the pre-reverse split shares as part of a straddle, hedge, or conversion transaction, stockholders who hold the pre-reverse split shares as qualified small business stock within the meaning of Section 1202 of the Code or Section 1244 stock for purposes of Section 1244 of the Code, stockholders who acquired their stock in a transaction subject to the gain rollover provisions of Section 1045 of the Code, or stockholders who acquired their pre-reverse split shares pursuant to the exercise of employee stock options or otherwise as compensation.</w:t>
      </w:r>
    </w:p>
    <w:p>
      <w:pPr>
        <w:spacing w:after="0" w:line="19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alternative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minimum tax, the Medicare contribution tax on net investment income, or special tax accounting rules under Section 451(b) of the Code, or (e) tax consequences to holders of options, warrants or similar rights to acquire our common stock. Stockholders are urged to consult their own tax advisors to determine the particular consequences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treated as a U.S. citizen or resident for U.S. federal income tax purposes;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old shares of common stock. A U.S. Holder who receives solely a reduced number of shares of common stock should generally not recognize gain or loss in the Reverse Stock Split. Such U.S. Holder’s aggregate tax basis in the reduced number of shares of common stock should equal the U.S. Holder’s aggregate tax basis in its old shares of common stock and such U.S. Holder’s holding period in the reduced number of shares of common stock will include the holding period in its old shares of common stock exchanged.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as a result of the Reverse Stock Split should generally recognize gain or loss equal to the difference, if any, between the amount of cash received and the portion of the U.S. Holder’s basis in the common stock surrendered that is allocated to the fractional share. Such gain or loss will be a capital gain or loss and will be long-term capital gain or loss if the U.S. Holder’s holding period for such shares was more than one year at the time of the Reverse Stock Split. Long-term capital gains of non-corporate U.S. Holders are generally subject to preferential tax rates. There are limitations on the deductibility of capital losses under the Code. Such U.S. Holder’s aggregate tax basis in the reduced number of shares of common stock should equal the U.S. Holder’s aggregate tax basis in its old shares of common stock decreased by the basis allocated to the fractional share for which such U.S. Holder is entitled to receive cash, and the holding period of the reduced number of shares received will include the holding period of the old shares exchanged.</w:t>
      </w:r>
    </w:p>
    <w:p>
      <w:pPr>
        <w:spacing w:after="0" w:line="192"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Stockholders may be subject to information reporting with respect to any cash received in exchange for a fractional share interest in a new share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w:t>
      </w:r>
    </w:p>
    <w:p>
      <w:pPr>
        <w:spacing w:after="0" w:line="2"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Any amount withheld under such rules is not an additional tax and may be refunded or credited against the stockholder’s U.S. federal income tax liability, provided that the required information is properly furnished in a timely manner to the IRS.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60" w:right="120"/>
        <w:spacing w:after="0" w:line="259"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APPROVAL OF A SERIES OF ALTERNATE AMENDMENTS TO OUR AMENDED AND RESTATED CERTIFICATE OF INCORPORATION TO EFFECT A REVERSE STOCK SPLIT OF OUR COMMON STOCK</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ON YOUR NOTICE OF INTERNET AVAILABILITY)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14, 2025:</w:t>
            </w:r>
          </w:p>
        </w:tc>
      </w:tr>
      <w:tr>
        <w:trPr>
          <w:trHeight w:val="405"/>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1"/>
        </w:trPr>
        <w:tc>
          <w:tcPr>
            <w:tcW w:w="2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Ho</w:t>
            </w:r>
          </w:p>
        </w:tc>
        <w:tc>
          <w:tcPr>
            <w:tcW w:w="200" w:type="dxa"/>
            <w:vAlign w:val="bottom"/>
          </w:tcPr>
          <w:p>
            <w:pPr>
              <w:spacing w:after="0"/>
              <w:rPr>
                <w:sz w:val="16"/>
                <w:szCs w:val="16"/>
                <w:color w:val="auto"/>
              </w:rPr>
            </w:pPr>
          </w:p>
        </w:tc>
        <w:tc>
          <w:tcPr>
            <w:tcW w:w="2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77"/>
              </w:rPr>
              <w:t>49</w:t>
            </w:r>
          </w:p>
        </w:tc>
        <w:tc>
          <w:tcPr>
            <w:tcW w:w="280" w:type="dxa"/>
            <w:vAlign w:val="bottom"/>
          </w:tcPr>
          <w:p>
            <w:pPr>
              <w:spacing w:after="0"/>
              <w:rPr>
                <w:sz w:val="16"/>
                <w:szCs w:val="16"/>
                <w:color w:val="auto"/>
              </w:rPr>
            </w:pPr>
          </w:p>
        </w:tc>
        <w:tc>
          <w:tcPr>
            <w:tcW w:w="7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Director and Co-Founder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Lamb, Ph.D.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71</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Scientific Officer, and Co-Founder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Rochlin, Ph.D.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Biographical information for Mr. Ho is included above with the director biographies under the caption “Information Regarding Director Nominees and Continuing Directors.”</w:t>
      </w:r>
    </w:p>
    <w:p>
      <w:pPr>
        <w:spacing w:after="0" w:line="158"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Lawrence Lamb</w:t>
      </w:r>
      <w:r>
        <w:rPr>
          <w:rFonts w:ascii="Times New Roman" w:cs="Times New Roman" w:eastAsia="Times New Roman" w:hAnsi="Times New Roman"/>
          <w:sz w:val="18"/>
          <w:szCs w:val="18"/>
          <w:color w:val="auto"/>
        </w:rPr>
        <w:t>, Ph.D., is our co-founder and has served as our Executive Vice President and Chief Scientific Officer since November 2018 and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of our Scientific Advisory Board since December 2017. From April 2004 to December 2018, Dr. Lamb was a Professor of Medicine at the University of Alabama at Birmingham (“</w:t>
      </w:r>
      <w:r>
        <w:rPr>
          <w:rFonts w:ascii="Times New Roman" w:cs="Times New Roman" w:eastAsia="Times New Roman" w:hAnsi="Times New Roman"/>
          <w:sz w:val="18"/>
          <w:szCs w:val="18"/>
          <w:b w:val="1"/>
          <w:bCs w:val="1"/>
          <w:i w:val="1"/>
          <w:iCs w:val="1"/>
          <w:color w:val="auto"/>
        </w:rPr>
        <w:t>UAB</w:t>
      </w:r>
      <w:r>
        <w:rPr>
          <w:rFonts w:ascii="Times New Roman" w:cs="Times New Roman" w:eastAsia="Times New Roman" w:hAnsi="Times New Roman"/>
          <w:sz w:val="18"/>
          <w:szCs w:val="18"/>
          <w:color w:val="auto"/>
        </w:rPr>
        <w:t>”) specializing in transplantation immunology and also served as the Director of the UAB Cell Therapy Laboratory in the Bone Marrow Transplant and Cellular Therapy department. Prior to that, from 1995 to 2004, he served as faculty (Assistant and Associate Professor) at the University of South Carolina School of Medicine. Dr. Lamb received two postdoctoral fellowships, one from University of South Carolina-Columbia and another from South Carolina Cancer Center. He also received a Ph.D. and an M.S. from University of South Carolina-Columbia and a B.S. from Medical College of Georgia.</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McCall </w:t>
      </w:r>
      <w:r>
        <w:rPr>
          <w:rFonts w:ascii="Times New Roman" w:cs="Times New Roman" w:eastAsia="Times New Roman" w:hAnsi="Times New Roman"/>
          <w:sz w:val="18"/>
          <w:szCs w:val="18"/>
          <w:color w:val="auto"/>
        </w:rPr>
        <w:t>has served as our Chief Financial Officer since February 2021. Prior to joining us, Mr. McCall was Vice President of Finance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Turnstone Biologics Corp., a public clinical-stage biotechnology company, focused on cancer immunotherapies. There he assisted in raising several rounds of financing, a large collaboration with a global pharmaceutical company, an acquisition in the immunotherapy space and led the build out of the company’s finance and accounting functions. Prior to that Mr. McCall was the Corporate Controller at Catalyst Biosciences, a publicly traded, clinical stage biopharmaceutical company focused on developing hemophilia treatments. While at Catalyst Biosciences, Mr. McCall was part of the team that successfully completed the company’s initial public offering and he was responsible for leading the firm’s SEC reporting, accounting, financial planning &amp; analysis and procurement functions. Previously, he spent 11 years in a variety of finance, accounting, and operational roles at companies such as Apple, Chubb and the accounting firm Deloitte. Mr. McCall is an active Certified Public Accountant and holds an MBA from Cornell University and a B.S. in Accounting from Drexel University.</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Kate Rochlin</w:t>
      </w:r>
      <w:r>
        <w:rPr>
          <w:rFonts w:ascii="Times New Roman" w:cs="Times New Roman" w:eastAsia="Times New Roman" w:hAnsi="Times New Roman"/>
          <w:sz w:val="18"/>
          <w:szCs w:val="18"/>
          <w:color w:val="auto"/>
        </w:rPr>
        <w:t>, PhD., has served as our Chief Operating Officer since December 2021. She previously served as our Vice President of Operations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from December 2020 until December 2021 and as our Associate Vice President of Operations and Innovation from August 2020 until December 2020. Since February 2013, Dr. Rochlin has served as a Project Principle and since October 2019 on the board of directors of the Solution Lab, Inc., a nonprofit organization that provides Ph.D. and MBA students real-world consulting experiences. From March 2020 until August 2020, Dr. Rochlin served as the Chief Business Officer of Curadigm SAS, a private nanotechnology company. Previously, she served as Curadigm’s Director of Business Development from March 2019 to August 2020. Prior to that, Dr. Rochlin Served as Director of Scientific Affairs for Filament BioSolutions Inc., a private biotechnology company, from March 2016 until April 2019. From September 2012 to January 2017, she was a Co-founder and the Chief Scientific Officer of Immunovent, LLC, a biotechnology company focused on commercialization of technologies for diagnosing allergies, and then served as a Scientific and Business Advisor to Immunovent, LLC from January 2017 until March 2019. Dr. Rochlin received a Ph.D. in Cell and Developmental Biology from Weill Cornell University and a B.A. with double majors in Molecular Biology and History and Sociology of Science (HSSC) from the University of Pennsylvania.</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our Chief Executive Officer and the two other most highly compensated executive officers, or collectively, the named executive officers, during the fiscal years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continue"/>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96"/>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640" w:type="dxa"/>
            <w:vAlign w:val="bottom"/>
          </w:tcPr>
          <w:p>
            <w:pPr>
              <w:ind w:left="1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(2)(3)</w:t>
            </w:r>
          </w:p>
        </w:tc>
        <w:tc>
          <w:tcPr>
            <w:tcW w:w="160" w:type="dxa"/>
            <w:vAlign w:val="bottom"/>
          </w:tcPr>
          <w:p>
            <w:pPr>
              <w:spacing w:after="0"/>
              <w:rPr>
                <w:sz w:val="15"/>
                <w:szCs w:val="15"/>
                <w:color w:val="auto"/>
              </w:rPr>
            </w:pPr>
          </w:p>
        </w:tc>
        <w:tc>
          <w:tcPr>
            <w:tcW w:w="900" w:type="dxa"/>
            <w:vAlign w:val="bottom"/>
          </w:tcPr>
          <w:p>
            <w:pPr>
              <w:jc w:val="right"/>
              <w:ind w:right="218"/>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(4)</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552,840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888,672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2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8"/>
              </w:rPr>
              <w:t>(5)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984,166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286,000</w:t>
            </w:r>
          </w:p>
        </w:tc>
        <w:tc>
          <w:tcPr>
            <w:tcW w:w="12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1,854,166</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Kate Rochlin, Ph.D.</w:t>
            </w:r>
            <w:r>
              <w:rPr>
                <w:rFonts w:ascii="Times New Roman" w:cs="Times New Roman" w:eastAsia="Times New Roman" w:hAnsi="Times New Roman"/>
                <w:sz w:val="22"/>
                <w:szCs w:val="22"/>
                <w:color w:val="auto"/>
                <w:vertAlign w:val="superscript"/>
              </w:rPr>
              <w:t>(6)</w:t>
            </w:r>
          </w:p>
        </w:tc>
        <w:tc>
          <w:tcPr>
            <w:tcW w:w="68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457,583</w:t>
            </w:r>
          </w:p>
        </w:tc>
        <w:tc>
          <w:tcPr>
            <w:tcW w:w="80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329,500</w:t>
            </w:r>
          </w:p>
        </w:tc>
        <w:tc>
          <w:tcPr>
            <w:tcW w:w="106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13"/>
              <w:spacing w:after="0" w:line="196" w:lineRule="exact"/>
              <w:rPr>
                <w:sz w:val="20"/>
                <w:szCs w:val="20"/>
                <w:color w:val="auto"/>
              </w:rPr>
            </w:pPr>
            <w:r>
              <w:rPr>
                <w:rFonts w:ascii="Times New Roman" w:cs="Times New Roman" w:eastAsia="Times New Roman" w:hAnsi="Times New Roman"/>
                <w:sz w:val="16"/>
                <w:szCs w:val="16"/>
                <w:color w:val="auto"/>
              </w:rPr>
              <w:t>3,000</w:t>
            </w:r>
            <w:r>
              <w:rPr>
                <w:rFonts w:ascii="Times New Roman" w:cs="Times New Roman" w:eastAsia="Times New Roman" w:hAnsi="Times New Roman"/>
                <w:sz w:val="22"/>
                <w:szCs w:val="22"/>
                <w:color w:val="auto"/>
                <w:vertAlign w:val="superscript"/>
              </w:rPr>
              <w:t>(7)</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790,083</w:t>
            </w:r>
          </w:p>
        </w:tc>
        <w:tc>
          <w:tcPr>
            <w:tcW w:w="0" w:type="dxa"/>
            <w:vAlign w:val="bottom"/>
          </w:tcPr>
          <w:p>
            <w:pPr>
              <w:spacing w:after="0"/>
              <w:rPr>
                <w:sz w:val="1"/>
                <w:szCs w:val="1"/>
                <w:color w:val="auto"/>
              </w:rPr>
            </w:pPr>
          </w:p>
        </w:tc>
      </w:tr>
      <w:tr>
        <w:trPr>
          <w:trHeight w:val="23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438,317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330,060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12,000</w:t>
            </w:r>
            <w:r>
              <w:rPr>
                <w:rFonts w:ascii="Times New Roman" w:cs="Times New Roman" w:eastAsia="Times New Roman" w:hAnsi="Times New Roman"/>
                <w:sz w:val="25"/>
                <w:szCs w:val="25"/>
                <w:color w:val="auto"/>
                <w:vertAlign w:val="superscript"/>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780,377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323,571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167,272</w:t>
            </w:r>
          </w:p>
        </w:tc>
        <w:tc>
          <w:tcPr>
            <w:tcW w:w="12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amounts represent actual amounts earned during the applicable year. See “—Narrative to the Summary Compensation Table—Annual Base Salary” below.</w:t>
      </w:r>
    </w:p>
    <w:p>
      <w:pPr>
        <w:spacing w:after="0" w:line="26" w:lineRule="exact"/>
        <w:rPr>
          <w:rFonts w:ascii="Times New Roman" w:cs="Times New Roman" w:eastAsia="Times New Roman" w:hAnsi="Times New Roman"/>
          <w:sz w:val="16"/>
          <w:szCs w:val="16"/>
          <w:color w:val="auto"/>
        </w:rPr>
      </w:pPr>
    </w:p>
    <w:p>
      <w:pPr>
        <w:jc w:val="both"/>
        <w:ind w:left="540" w:right="360" w:hanging="424"/>
        <w:spacing w:after="0" w:line="264"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w:t>
      </w:r>
    </w:p>
    <w:p>
      <w:pPr>
        <w:ind w:left="540" w:right="20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10-K for a discussion of assumptions made by us in determining the aggregate grant date fair value of our option awards. Note that the amounts reported in this column reflect the accounting cost for these stock options and do not reflect the actual economic value that may be realized by the named executive officers. For additional information on these awards, please see “—Outstanding Equity Awards at Fiscal Year-End.”</w:t>
      </w:r>
    </w:p>
    <w:p>
      <w:pPr>
        <w:ind w:left="540" w:right="320" w:hanging="424"/>
        <w:spacing w:after="0" w:line="264"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“—Narrative Disclosure to Summary Compensation Table—Equity-Based Incentive Awards” below for a description of the material terms of the program pursuant to which this compensation was awarded.</w:t>
      </w:r>
    </w:p>
    <w:p>
      <w:pPr>
        <w:ind w:left="540" w:right="40" w:hanging="424"/>
        <w:spacing w:after="0" w:line="264"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performance-based bonuses earned based on the achievement of company and individual performance goals and other factors deemed relevant by our Board and Compensation Committee. For additional information, see “—Narrative Disclosure to Summary Compensation Table – Non-Equity Incentive Plan Compensation.”</w:t>
      </w:r>
    </w:p>
    <w:p>
      <w:pPr>
        <w:ind w:left="540" w:hanging="424"/>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(i) $3,000 of employer matching contribution under the 401(k) plan and (ii) $9,000 of medical waiver contributions.</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Rochlin was not an NEO for the fiscal year 2023, and as such, we have provided information solely with respect to fiscal year 2024.</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employer matching contribution under the 401(k) plan.</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the Summary Compensation Table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skillset, experience, role and responsibilities. None of our named executive officers is currently party to an employment agreement or other agreement or arrangement that provides for automatic or scheduled increases in base salary.</w:t>
      </w:r>
    </w:p>
    <w:p>
      <w:pPr>
        <w:spacing w:after="0" w:line="180"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On September 4, 2024, we announced that, to reduce costs while continuing to pursue our revised strategic plan, the Board approved, and management implemented, a workforce reduction (the “</w:t>
      </w:r>
      <w:r>
        <w:rPr>
          <w:rFonts w:ascii="Times New Roman" w:cs="Times New Roman" w:eastAsia="Times New Roman" w:hAnsi="Times New Roman"/>
          <w:sz w:val="18"/>
          <w:szCs w:val="18"/>
          <w:b w:val="1"/>
          <w:bCs w:val="1"/>
          <w:i w:val="1"/>
          <w:iCs w:val="1"/>
          <w:color w:val="auto"/>
        </w:rPr>
        <w:t>Workforce Reduction</w:t>
      </w:r>
      <w:r>
        <w:rPr>
          <w:rFonts w:ascii="Times New Roman" w:cs="Times New Roman" w:eastAsia="Times New Roman" w:hAnsi="Times New Roman"/>
          <w:sz w:val="18"/>
          <w:szCs w:val="18"/>
          <w:color w:val="auto"/>
        </w:rPr>
        <w:t>”). In connection with the Workforce Reduction, the executive management team and the Board agreed to an 11% reduction in their cash compensation, effective as of September 1, 2024 (“</w:t>
      </w:r>
      <w:r>
        <w:rPr>
          <w:rFonts w:ascii="Times New Roman" w:cs="Times New Roman" w:eastAsia="Times New Roman" w:hAnsi="Times New Roman"/>
          <w:sz w:val="18"/>
          <w:szCs w:val="18"/>
          <w:b w:val="1"/>
          <w:bCs w:val="1"/>
          <w:i w:val="1"/>
          <w:iCs w:val="1"/>
          <w:color w:val="auto"/>
        </w:rPr>
        <w:t>2024 Salary Reductions</w:t>
      </w:r>
      <w:r>
        <w:rPr>
          <w:rFonts w:ascii="Times New Roman" w:cs="Times New Roman" w:eastAsia="Times New Roman" w:hAnsi="Times New Roman"/>
          <w:sz w:val="18"/>
          <w:szCs w:val="18"/>
          <w:color w:val="auto"/>
        </w:rPr>
        <w:t>”). Mr. Ho, Dr. Rochlin and Mr. McCall’s annual base salaries were reduced from $612,000, $475,000 and $455,000 to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$544,680, $404,950 and $422,750, respectively. In addition, Mr. Ho’s annual base salary was further reduced from $544,680 to $397,800 in connection with the 2024 Private Placement, which reduction will remain in effect until December 31, 2025. Dr. Rochlin and Mr. McCall’s salary reductions are expected to be effective until December 31, 2025, unless otherwise determined by the Board or a committee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“—Employment Arrangements” for additional information.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Equity-Based Incentive Awards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Awards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have historically used stock option grants for this purpose because we believe they are an effective means by which to align the long-term interests of our executive officers with those of our stockholders. The use of options also can provide tax and other advantages to our executive officers relative to other forms of equity compensation.</w:t>
      </w:r>
    </w:p>
    <w:p>
      <w:pPr>
        <w:spacing w:after="0" w:line="183"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We award equity grants broadly to our employees, including to our non-executive employees. Grants to our executives and other employees are made at the discretion of the Board and are generally made upon commencement of employment, promotion or annually during the first quarter of each year. We believe that our equity awards are an important retention tool for our executive officers, as well as for our other employees.</w:t>
      </w:r>
    </w:p>
    <w:p>
      <w:pPr>
        <w:spacing w:after="0" w:line="176" w:lineRule="exact"/>
        <w:rPr>
          <w:sz w:val="20"/>
          <w:szCs w:val="20"/>
          <w:color w:val="auto"/>
        </w:rPr>
      </w:pPr>
    </w:p>
    <w:p>
      <w:pPr>
        <w:ind w:left="120" w:right="160"/>
        <w:spacing w:after="0" w:line="233" w:lineRule="auto"/>
        <w:rPr>
          <w:sz w:val="20"/>
          <w:szCs w:val="20"/>
          <w:color w:val="auto"/>
        </w:rPr>
      </w:pPr>
      <w:r>
        <w:rPr>
          <w:rFonts w:ascii="Times New Roman" w:cs="Times New Roman" w:eastAsia="Times New Roman" w:hAnsi="Times New Roman"/>
          <w:sz w:val="18"/>
          <w:szCs w:val="18"/>
          <w:color w:val="auto"/>
        </w:rPr>
        <w:t>In connection with our annual grant process, in February 2024, the Board granted each of Mr. Ho, Dr. Rochlin and Mr. McCall a stock option to purchase 502,000 shares, 186,000 shares and 189,000 shares of our common stock, respectively, at an exercise price of $1.22 per share under the Amended and Restated 2023 Equity Incentive Plan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Each option award vests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first anniversary of the grant date with the remainder of the award vesting in 36 equal monthly installments thereafter, subject to the executive’s continuous service with us through each vesting date.</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Retention and Other Awards</w:t>
      </w:r>
    </w:p>
    <w:p>
      <w:pPr>
        <w:spacing w:after="0" w:line="121" w:lineRule="exact"/>
        <w:rPr>
          <w:sz w:val="20"/>
          <w:szCs w:val="20"/>
          <w:color w:val="auto"/>
        </w:rPr>
      </w:pPr>
    </w:p>
    <w:p>
      <w:pPr>
        <w:ind w:left="120" w:right="100"/>
        <w:spacing w:after="0" w:line="238" w:lineRule="auto"/>
        <w:rPr>
          <w:sz w:val="20"/>
          <w:szCs w:val="20"/>
          <w:color w:val="auto"/>
        </w:rPr>
      </w:pPr>
      <w:r>
        <w:rPr>
          <w:rFonts w:ascii="Times New Roman" w:cs="Times New Roman" w:eastAsia="Times New Roman" w:hAnsi="Times New Roman"/>
          <w:sz w:val="18"/>
          <w:szCs w:val="18"/>
          <w:color w:val="auto"/>
        </w:rPr>
        <w:t>In September 2024, to enhance motivation and address retention concerns as a result of a Workforce Reduction implemented to reduce costs while continuing to pursue the Company’s revised strategic plan, the Compensation Committee granted retention awards to our employees, including our named executive officers, in the form of stock option awards (the “</w:t>
      </w:r>
      <w:r>
        <w:rPr>
          <w:rFonts w:ascii="Times New Roman" w:cs="Times New Roman" w:eastAsia="Times New Roman" w:hAnsi="Times New Roman"/>
          <w:sz w:val="18"/>
          <w:szCs w:val="18"/>
          <w:b w:val="1"/>
          <w:bCs w:val="1"/>
          <w:i w:val="1"/>
          <w:iCs w:val="1"/>
          <w:color w:val="auto"/>
        </w:rPr>
        <w:t>Retention Awards</w:t>
      </w:r>
      <w:r>
        <w:rPr>
          <w:rFonts w:ascii="Times New Roman" w:cs="Times New Roman" w:eastAsia="Times New Roman" w:hAnsi="Times New Roman"/>
          <w:sz w:val="18"/>
          <w:szCs w:val="18"/>
          <w:color w:val="auto"/>
        </w:rPr>
        <w:t>”). Each of Mr. Ho, Dr. Rochlin and Mr. McCall received a stock option to purchase 500,000 shares, 250,000 shares and 250,000 shares of our common stock, respectively, at an exercise price of $0.47 per share under the 2023 Plan. Each option award vests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six-month anniversary of the grant date,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one-year anniversary of the grant date, and the remaining one-half (1/2) on the eighteen-month anniversary of the grant date, subject to the executive’s continuous service with us through each vesting date.</w:t>
      </w:r>
    </w:p>
    <w:p>
      <w:pPr>
        <w:spacing w:after="0" w:line="20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2024, our Board considered the recent salary reductions and determined it would be in the best interest of the Company and our stockholders to grant each of Mr. Ho, Dr. Rochlin and Mr. McCall a stock option award. Each of Mr. Ho, Dr. Rochlin and Mr. McCall received an option to purchase 1,188,282 shares, 302,839 shares and 290,085 shares of our common stock, respectively, at an exercise price of $0.24 per share under the 2023 Plan. Each option award vests on the one-year anniversary of the grant date, subject to the executive’s continuous service with us through each vesting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Performance-Based Bonus</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develop a performance-based bonus program annually. Under the annual performance bonus program, each named executive officer was eligible to be considered for an annual performance bonus based on (1) the individual’s target bonus, as a percentage of base salary, (2) the percentage attainment of our corporate goals established by our Board in its sole discretion and communicated to each officer, and (3) the percentage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attainment of individual performance goals established by the Board in its sole discretion and communicated to each officer. Mr. Ho’s bonus is based 100% on corporate performance, and each of Dr. Rochlin’s and Mr. McCall’s bonus is based 90% on corporate performance and 10% on individual performance. For 2024, as part of our cost-saving measures, the named executive officers agreed to forego their annual performance-based bonuses as reflected in the column of the Summary Compensation Table above entitled “Non-Equity Incentive Plan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the named executive officers that were outstanding as of December 31, 2024. Prior to the 2020 Equity Incentive Plan (the “2020 Plan”) becoming effective on July 29, 2021, all equity awards were granted pursuant to our 2018 Equity Incentive Plan. The 2023 Plan succeeds the 2020 Plan and was approved at the 2023 Annual Meeting.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3"/>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0" w:type="dxa"/>
            <w:vAlign w:val="bottom"/>
            <w:gridSpan w:val="2"/>
          </w:tcPr>
          <w:p>
            <w:pPr>
              <w:jc w:val="center"/>
              <w:ind w:left="1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1040" w:type="dxa"/>
            <w:vAlign w:val="bottom"/>
            <w:gridSpan w:val="2"/>
          </w:tcPr>
          <w:p>
            <w:pPr>
              <w:jc w:val="center"/>
              <w:ind w:left="74"/>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10/5/2020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6.74</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188,343</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32,157</w:t>
            </w:r>
            <w:r>
              <w:rPr>
                <w:rFonts w:ascii="Times New Roman" w:cs="Times New Roman" w:eastAsia="Times New Roman" w:hAnsi="Times New Roman"/>
                <w:sz w:val="25"/>
                <w:szCs w:val="25"/>
                <w:color w:val="auto"/>
                <w:vertAlign w:val="superscript"/>
              </w:rPr>
              <w:t>(1)</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07/28/2031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180,270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74,230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10/21/2022</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55,510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27,755</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4/14/2023</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164,145</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229,805</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147,730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246,220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502,000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500,000</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12/19/2024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1,188,282</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Kate Rochlin, Ph.D.</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10/5/2020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6.74</w:t>
            </w:r>
          </w:p>
        </w:tc>
        <w:tc>
          <w:tcPr>
            <w:tcW w:w="9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10/5/2030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2/1/2021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39,882</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1,734</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29,895</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5,105</w:t>
            </w:r>
            <w:r>
              <w:rPr>
                <w:rFonts w:ascii="Times New Roman" w:cs="Times New Roman" w:eastAsia="Times New Roman" w:hAnsi="Times New Roman"/>
                <w:sz w:val="25"/>
                <w:szCs w:val="25"/>
                <w:color w:val="auto"/>
                <w:vertAlign w:val="superscript"/>
              </w:rPr>
              <w:t>(1)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7/29/2031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28,000</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2/15/2032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10/21/2022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40,370</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20,185</w:t>
            </w:r>
            <w:r>
              <w:rPr>
                <w:rFonts w:ascii="Times New Roman" w:cs="Times New Roman" w:eastAsia="Times New Roman" w:hAnsi="Times New Roman"/>
                <w:sz w:val="25"/>
                <w:szCs w:val="25"/>
                <w:color w:val="auto"/>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4/14/2023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116,667</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6/21/2023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25,425</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42,375</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2/7/2024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186,000</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9/4/2024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5"/>
                <w:szCs w:val="25"/>
                <w:color w:val="auto"/>
                <w:vertAlign w:val="superscript"/>
              </w:rPr>
              <w:t>(4)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12/19/2024</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35" w:lineRule="exact"/>
              <w:rPr>
                <w:sz w:val="20"/>
                <w:szCs w:val="20"/>
                <w:color w:val="auto"/>
              </w:rPr>
            </w:pPr>
            <w:r>
              <w:rPr>
                <w:rFonts w:ascii="Times New Roman" w:cs="Times New Roman" w:eastAsia="Times New Roman" w:hAnsi="Times New Roman"/>
                <w:sz w:val="18"/>
                <w:szCs w:val="18"/>
                <w:color w:val="auto"/>
              </w:rPr>
              <w:t>302,839</w:t>
            </w:r>
            <w:r>
              <w:rPr>
                <w:rFonts w:ascii="Times New Roman" w:cs="Times New Roman" w:eastAsia="Times New Roman" w:hAnsi="Times New Roman"/>
                <w:sz w:val="26"/>
                <w:szCs w:val="26"/>
                <w:color w:val="auto"/>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180,948</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7,868</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34,166</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5,834</w:t>
            </w:r>
            <w:r>
              <w:rPr>
                <w:rFonts w:ascii="Times New Roman" w:cs="Times New Roman" w:eastAsia="Times New Roman" w:hAnsi="Times New Roman"/>
                <w:sz w:val="25"/>
                <w:szCs w:val="25"/>
                <w:color w:val="auto"/>
                <w:vertAlign w:val="superscript"/>
              </w:rPr>
              <w:t>(1)</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59,854</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24,646</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10/21/2022</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39,864</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19,932</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4/14/2023</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116,667</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54,470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189,000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12/19/2024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290,085</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in 48 equal monthly installments commencing on August 29, 2021, subject to the executive officer’s continuous service.</w:t>
      </w:r>
    </w:p>
    <w:p>
      <w:pPr>
        <w:spacing w:after="0" w:line="26" w:lineRule="exact"/>
        <w:rPr>
          <w:rFonts w:ascii="Times New Roman" w:cs="Times New Roman" w:eastAsia="Times New Roman" w:hAnsi="Times New Roman"/>
          <w:sz w:val="16"/>
          <w:szCs w:val="16"/>
          <w:color w:val="auto"/>
        </w:rPr>
      </w:pPr>
    </w:p>
    <w:p>
      <w:pPr>
        <w:ind w:left="540" w:right="600" w:hanging="424"/>
        <w:spacing w:after="0" w:line="288"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this option, 25% vested on the first anniversary of the Grant Date and the remaining shares vest in 36 equal monthly installments thereafter, subject to the executive officer’s continuous service.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in three equal annual installments commencing on October 21, 2023, subject to the executive officer’s continuous service.</w:t>
      </w:r>
    </w:p>
    <w:p>
      <w:pPr>
        <w:spacing w:after="0" w:line="26" w:lineRule="exact"/>
        <w:rPr>
          <w:rFonts w:ascii="Times New Roman" w:cs="Times New Roman" w:eastAsia="Times New Roman" w:hAnsi="Times New Roman"/>
          <w:sz w:val="16"/>
          <w:szCs w:val="16"/>
          <w:color w:val="auto"/>
        </w:rPr>
      </w:pPr>
    </w:p>
    <w:p>
      <w:pPr>
        <w:ind w:left="540" w:right="380" w:hanging="424"/>
        <w:spacing w:after="0" w:line="264" w:lineRule="auto"/>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this option, 25% vest on the six month anniversary of the grant date, 25% vest on the one year anniversary of the grant date, and the remaining 50% vest on the 18 month anniversary of the grant date, subject to the executive’s continuous service.</w:t>
      </w:r>
    </w:p>
    <w:p>
      <w:pPr>
        <w:ind w:left="540" w:hanging="424"/>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on the one year anniversary of the grant date, subject to the executive’s continuous service.</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Below are descriptions of our employment agreements and arrangements with our named executive officers. The agreements generally provide for at-will employment without any specific term and set forth the named executive officer’s initial base salary and annual target bonus. Each named executive officer is also eligible to participate in all employee benefit plans that are generally available to our employees. Furthermore, each of our named executive officers has executed our standard employee confidential information and invention assignment agreement, which includes, among other things, non-solicitation and non-competition provisions.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William Ho</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December 2020, we entered into an amended and restated employment agreement with William Ho, our President and Chief Executive Officer, which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further amended in August 2024 to provide for, among other things, a reduced salary to $544,680 per annum, effective September 1, 2024.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as discussed above, Mr. Ho’s annual base salary was further reduced from $544,680 to $397,800 in connection with the 2024 Private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Placement, and the reduction will remain in effect until December 31, 2025. Prior to such reductions, Mr. Ho’s annual base salary was increased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$612,000 and his target annual performance achievement was increased to 55% of his annual base salary, each of which were effective as of January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For 2025, Mr. Ho’s current annual base salary is $397,800 and his target annual performance achievement is 55% of his annual base salary.</w:t>
      </w:r>
    </w:p>
    <w:p>
      <w:pPr>
        <w:spacing w:after="0" w:line="2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we terminate Mr. Ho’s employment with us without “cause” or he terminates his employment for “good reason” (each as defined in his amended employment agreement), he will receive the following severance payments and benefits if he timely executes and does not revoke a release of claims in our favor and complies with certain restrictive covenants and continuing obligations: (i) a lump sum severance payment equal to the greater of 18 months of his base salary prior to the 2024 Salary Reduction or 18 months of his then-current annual base salary and (ii) accelerated vesting of the then-unvested portion of each of his outstanding time-based equity awards that would have become vested had he remained employed by us for an additional 18 months following his termination.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Mr. Ho’s employment is terminated without cause or he terminates his employment for good reason within three months prior to or 12 months after a “change in control,” as defined in his employment agreement, he is instead entitled to (a) a lump sum severance payment equal to the greater of 18 months of his base salary prior to the 2024 Salary Reduction or 18 months of his then-current annual base salary and 150% of his annual current target performance bonus in effect as of the change in control, (b) full accelerated vesting on all of his unvested equity awards and (c) payment on his behalf of up to 18 months of health insurance benefits continuation. If Mr. Ho’s employment is terminated without cause or he terminates his employment for good reason between 12 months and 18 months after a “change in control,” as defined in his employment agreement, he is instead entitled to (a) a lump sum severance payment equal to the greater of 18 months of his base salary prior to the 2024 Salary Reduction or 18 months of his then-current annual base salary, (b) 150% of his annual current target performance bonus in effect as of the change in control and (c) payment on his behalf of up to 18 months of health insurance benefits continuation.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Kate Rochlin, Ph.D.</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March 2024, we entered into an employment agreement with Kate Rochlin, our Chief Operating Officer, which we amended in August 2024 to provide for, among other things, a reduced salary to $422,750 per annum,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effective September 1, 2024, pursuant to the 2024 Salary Reduction. Prior to such reduction, Dr. Rochlin’s annual base salary was $475,000 and her target annual performance bonus was 40% of her annual base salary. For 2025, Dr. Rochlin’s current annual base salary is $422,750 and her target annual performance achievement is 40% of her annual base salary.</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we terminate Dr. Rochlin’s employment with us without “cause” or she terminates her employment for “good reason” (each as defined in her employment agreement), she will receive: (i) a lump sum severance payment equal to the greater of 12 months of her base salary prior to the 2024 Salary Reduction or the sum of 12 months of her then-current annual base salary for 12 months; (ii) to the extent Dr. Rochlin achieved any of the performance goals for such calendar year, a prorated bonus, subject to her timely execution and non-revocation of a release of claims in our favor and compliance with certain restrictive covenants and continuing obligations; and (iii) payment on her behalf of up to 12 months of health insurance benefits continuation.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Dr. Rochlin’s employment is terminated without cause or she terminates her employment for good reason within three months prior to or 12 months after a “change in control,” as defined in her employment agreement, she is instead entitled to (a) a lump sum severance payment equal to the greater of 12 months of her base salary prior to the 2024 Salary Reduction or 12 months of her then-current annual base salary (b) 100% of her annual current target performance bonus in effect as of the change in control, (c) full accelerated vesting on all of her unvested equity awards and (d) payment on her behalf of up to 12 months of health insurance benefits continuation.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Patrick McCall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January 2021, we entered into an employment agreement with Patrick McCall, our Chief Financial Officer, which we amended in August 2024 to provide for, among other things, a reduced salary to $404,950 per annum, effective September 1, 2024, pursuant to the 2024 Salary Reduction. Prior to such reduction, Mr. McCall’s annual base salary was increased to $455,000 with a target annual performance achievement of 40%, each of which were effective as of January 1, 2024. For 2025, Mr. McCall’s current annual base salary is $404,950 and his target annual performance achievement is 40% of his annual base salary.</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we terminate Mr. McCall’s employment with us without “cause” or he terminates his employment for “good reason” (each as defined in his employment agreement), he will receive: (i) a lump sum severance payment equal to the greater of 12 months of his base salary prior to the 2024 Salary Reduction or 12 months of his then-current annual base salary; (ii) to the extent Mr. McCall achieved any of the performance goals for such calendar year, a prorated bonus, subject to his timely execution and non-revocation of a release of claims in our favor and compliance with certain restrictive covenants and continuing obligations; and (iii) payment on his behalf of up to 12 months of health insurance benefits continuation.</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Mr. McCall’s employment is terminated without cause or he terminates his employment for good reason within three months prior to or 12 months after a “change in control,” as defined in his employment agreement, he is instead entitled to (a) a lump sum severance payment equal to the greater of 12 months of his base salary prior to the 2024 Salary Reduction or 12 months of his then-current annual base salary, (b) 100% of his annual current target performance bonus in effect as of the change in control, (c) full accelerated vesting on all of his unvested equity awards and (d) payment on his behalf of up to 12 months of health insurance benefits continuation.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employment agreements for our named executive officers provide for severance and change in control benefits as described above under “— Employment Arrangements.”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 defined contribution retirement plan that provides eligible U.S.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We make matching contributions into the 401(k) plan on behalf of participants equal to 100% on participant contributions up to $3,000 of their compensation. Participants are immediately and fully vested on all contributions.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Our Board may elect to adopt qualified or nonqualified benefit plans in the future, if it determines that doing so is in our best interests.</w:t>
      </w:r>
    </w:p>
    <w:p>
      <w:pPr>
        <w:spacing w:after="0" w:line="18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To further reduce costs while continuing to pursue our revised strategic plan, the Company temporarily paused its matching contributions for the 401(k) plan, beginning January 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7"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color w:val="auto"/>
        </w:rPr>
        <w:t>In October 2023, the Compensation Committee adopted our Incentive Compensation Recoupment Policy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our named executive officers. Historically, the Company has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“Director Compensation—Cash and Equity Compensation” below. The Company does not otherwise maintain any written policies on the timing of awards of stock options, stock appreciation rights, or similar instruments with option-like features. The Compensation Committee considers whether there is any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being provided pursuant to Item 402(x)(2)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 ending</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2"/>
                <w:szCs w:val="12"/>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540" w:type="dxa"/>
            <w:vAlign w:val="bottom"/>
            <w:gridSpan w:val="3"/>
            <w:vMerge w:val="continue"/>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w:t>
            </w: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disclosure of material</w:t>
            </w:r>
          </w:p>
        </w:tc>
        <w:tc>
          <w:tcPr>
            <w:tcW w:w="0" w:type="dxa"/>
            <w:vAlign w:val="bottom"/>
          </w:tcPr>
          <w:p>
            <w:pPr>
              <w:spacing w:after="0"/>
              <w:rPr>
                <w:sz w:val="1"/>
                <w:szCs w:val="1"/>
                <w:color w:val="auto"/>
              </w:rPr>
            </w:pPr>
          </w:p>
        </w:tc>
      </w:tr>
      <w:tr>
        <w:trPr>
          <w:trHeight w:val="146"/>
        </w:trPr>
        <w:tc>
          <w:tcPr>
            <w:tcW w:w="28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the award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award ($/Sh)</w:t>
            </w:r>
          </w:p>
        </w:tc>
        <w:tc>
          <w:tcPr>
            <w:tcW w:w="100" w:type="dxa"/>
            <w:vAlign w:val="bottom"/>
          </w:tcPr>
          <w:p>
            <w:pPr>
              <w:spacing w:after="0"/>
              <w:rPr>
                <w:sz w:val="12"/>
                <w:szCs w:val="12"/>
                <w:color w:val="auto"/>
              </w:rPr>
            </w:pPr>
          </w:p>
        </w:tc>
        <w:tc>
          <w:tcPr>
            <w:tcW w:w="144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2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nonpublic information</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5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(b)</w:t>
            </w:r>
          </w:p>
        </w:tc>
        <w:tc>
          <w:tcPr>
            <w:tcW w:w="5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(1)</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w:t>
            </w: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6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193,800</w:t>
            </w:r>
          </w:p>
        </w:tc>
        <w:tc>
          <w:tcPr>
            <w:tcW w:w="6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9/4/2024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96,900</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9/4/2024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96,900</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represent the Retention Awards granted in connection with the Workforce Reduction implemented on September 4, 2024.</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non-employee director compensation policy, as amended from time to time, is intended to provide a total compensation package that enables us to attract and retain qualified and experienced individuals to serve as directors and to align our directors’ interests with those of our stockholders. Under this policy, we pay each of our non-employee directors a cash retainer for service on the Board and for service on each committee on which the director is a member. The chairperson of each committee will receive a higher retainer for such service. These retainers are payable in arrears in four equal quarterly installments on the last day of each quarter, provided that the amount of such payment will be prorated for any portion of such quarter that the director is not serving on our Board or the applicable committee.</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Workforce Reduction, the Board agreed to an 11% reduction in their cash compensation, effective as of September 1, 2024. The following table reflects the retainers to be paid to non-employee directors for service on the Board and for service on each committee of the Board on which the director is a member, effective September 1, 2024:</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16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w w:val="99"/>
              </w:rPr>
              <w:t>Annual Service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Chairperson</w:t>
            </w:r>
          </w:p>
        </w:tc>
        <w:tc>
          <w:tcPr>
            <w:tcW w:w="0" w:type="dxa"/>
            <w:vAlign w:val="bottom"/>
          </w:tcPr>
          <w:p>
            <w:pPr>
              <w:spacing w:after="0"/>
              <w:rPr>
                <w:sz w:val="1"/>
                <w:szCs w:val="1"/>
                <w:color w:val="auto"/>
              </w:rPr>
            </w:pPr>
          </w:p>
        </w:tc>
      </w:tr>
      <w:tr>
        <w:trPr>
          <w:trHeight w:val="203"/>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398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16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 Retainer</w:t>
            </w:r>
          </w:p>
        </w:tc>
        <w:tc>
          <w:tcPr>
            <w:tcW w:w="0" w:type="dxa"/>
            <w:vAlign w:val="bottom"/>
          </w:tcPr>
          <w:p>
            <w:pPr>
              <w:spacing w:after="0"/>
              <w:rPr>
                <w:sz w:val="1"/>
                <w:szCs w:val="1"/>
                <w:color w:val="auto"/>
              </w:rPr>
            </w:pPr>
          </w:p>
        </w:tc>
      </w:tr>
      <w:tr>
        <w:trPr>
          <w:trHeight w:val="225"/>
        </w:trPr>
        <w:tc>
          <w:tcPr>
            <w:tcW w:w="560" w:type="dxa"/>
            <w:vAlign w:val="bottom"/>
            <w:tcBorders>
              <w:bottom w:val="single" w:sz="8" w:color="auto"/>
            </w:tcBorders>
            <w:vMerge w:val="continue"/>
          </w:tcPr>
          <w:p>
            <w:pPr>
              <w:spacing w:after="0"/>
              <w:rPr>
                <w:sz w:val="19"/>
                <w:szCs w:val="19"/>
                <w:color w:val="auto"/>
              </w:rPr>
            </w:pPr>
          </w:p>
        </w:tc>
        <w:tc>
          <w:tcPr>
            <w:tcW w:w="3980" w:type="dxa"/>
            <w:vAlign w:val="bottom"/>
            <w:vMerge w:val="continue"/>
          </w:tcPr>
          <w:p>
            <w:pPr>
              <w:spacing w:after="0"/>
              <w:rPr>
                <w:sz w:val="19"/>
                <w:szCs w:val="19"/>
                <w:color w:val="auto"/>
              </w:rPr>
            </w:pPr>
          </w:p>
        </w:tc>
        <w:tc>
          <w:tcPr>
            <w:tcW w:w="3940" w:type="dxa"/>
            <w:vAlign w:val="bottom"/>
            <w:gridSpan w:val="2"/>
          </w:tcPr>
          <w:p>
            <w:pPr>
              <w:jc w:val="center"/>
              <w:ind w:left="2772"/>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of Directors</w:t>
            </w:r>
          </w:p>
        </w:tc>
        <w:tc>
          <w:tcPr>
            <w:tcW w:w="28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35,600</w:t>
            </w:r>
          </w:p>
        </w:tc>
        <w:tc>
          <w:tcPr>
            <w:tcW w:w="10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57,850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50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8,900</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13,350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50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6,675</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50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4,450</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50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3,560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60" w:type="dxa"/>
            <w:vAlign w:val="bottom"/>
          </w:tcPr>
          <w:p>
            <w:pPr>
              <w:jc w:val="right"/>
              <w:ind w:right="1712"/>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Prior to September 1, 2024, the retainers paid to non-employee directors for service on the Board and for service on each committee of the Board on which the director is a member were as follows: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8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w w:val="99"/>
              </w:rPr>
              <w:t>Annual Service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Chairperson</w:t>
            </w:r>
          </w:p>
        </w:tc>
        <w:tc>
          <w:tcPr>
            <w:tcW w:w="0" w:type="dxa"/>
            <w:vAlign w:val="bottom"/>
          </w:tcPr>
          <w:p>
            <w:pPr>
              <w:spacing w:after="0"/>
              <w:rPr>
                <w:sz w:val="1"/>
                <w:szCs w:val="1"/>
                <w:color w:val="auto"/>
              </w:rPr>
            </w:pPr>
          </w:p>
        </w:tc>
      </w:tr>
      <w:tr>
        <w:trPr>
          <w:trHeight w:val="203"/>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6720" w:type="dxa"/>
            <w:vAlign w:val="bottom"/>
            <w:vMerge w:val="restart"/>
          </w:tcPr>
          <w:p>
            <w:pPr>
              <w:spacing w:after="0"/>
              <w:rPr>
                <w:sz w:val="17"/>
                <w:szCs w:val="17"/>
                <w:color w:val="auto"/>
              </w:rPr>
            </w:pPr>
          </w:p>
        </w:tc>
        <w:tc>
          <w:tcPr>
            <w:tcW w:w="228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4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 Retainer</w:t>
            </w:r>
          </w:p>
        </w:tc>
        <w:tc>
          <w:tcPr>
            <w:tcW w:w="0" w:type="dxa"/>
            <w:vAlign w:val="bottom"/>
          </w:tcPr>
          <w:p>
            <w:pPr>
              <w:spacing w:after="0"/>
              <w:rPr>
                <w:sz w:val="1"/>
                <w:szCs w:val="1"/>
                <w:color w:val="auto"/>
              </w:rPr>
            </w:pPr>
          </w:p>
        </w:tc>
      </w:tr>
      <w:tr>
        <w:trPr>
          <w:trHeight w:val="225"/>
        </w:trPr>
        <w:tc>
          <w:tcPr>
            <w:tcW w:w="560" w:type="dxa"/>
            <w:vAlign w:val="bottom"/>
            <w:tcBorders>
              <w:bottom w:val="single" w:sz="8" w:color="auto"/>
            </w:tcBorders>
            <w:vMerge w:val="continue"/>
          </w:tcPr>
          <w:p>
            <w:pPr>
              <w:spacing w:after="0"/>
              <w:rPr>
                <w:sz w:val="19"/>
                <w:szCs w:val="19"/>
                <w:color w:val="auto"/>
              </w:rPr>
            </w:pPr>
          </w:p>
        </w:tc>
        <w:tc>
          <w:tcPr>
            <w:tcW w:w="6720" w:type="dxa"/>
            <w:vAlign w:val="bottom"/>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of Directors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1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80" w:type="dxa"/>
            <w:vAlign w:val="bottom"/>
            <w:gridSpan w:val="2"/>
          </w:tcPr>
          <w:p>
            <w:pPr>
              <w:jc w:val="right"/>
              <w:ind w:right="1040"/>
              <w:spacing w:after="0" w:line="216"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22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2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5,000</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4,000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February 5, 2024, the annual service retainer paid to each member of the Audit Committee was increased from $7,500 to $10,000.</w:t>
      </w:r>
    </w:p>
    <w:p>
      <w:pPr>
        <w:spacing w:after="0" w:line="226"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color w:val="auto"/>
        </w:rPr>
        <w:t>Each non-employee director elected to our Board was entitled to receive an option to purchase 67,300 shares of our common stock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Further, on the date of each annual meeting of stockholders, each non-employee director that continued to serve as a non-employee director received an option to purchase 33,650 shares of our common stock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shares subject to the Initial Grant will vest monthly over a three-year period, subject to the director’s continued service as a director. The shares subject to each Annual Grant will vest in equal monthly installments over the 12 months following the date of grant and, notwithstanding the foregoing, will be fully vested on the date of Company’s next annual stockholder meeting, subject to the director’s continued service as a director. The exercise price per share of these options will equal the fair market value of our common stock on the date of grant. All options granted under this policy will vest in full upon the occurrence of a change in control (as defined in the 2023 Plan) prior to the termination of the director’s continuous service.</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non-employee director may elect to convert his or her cash compensation into an award of restricted stock units, which we refer to as the retainer grant. If a non-employee director timely makes this election, each such retainer grant will be automatically granted on the first business day following the date the corresponding cash compensation otherwise would be paid under the policy and will cover a number of shares of our common stock equal to (A) the aggregate amount of the corresponding cash compensation otherwise payable to the non-employee director divided by (B) the closing sales price per share of our common stock on the date the corresponding cash compensation otherwise would be paid (or, if such date is not a business day, on the first business day thereafter), rounded down to the nearest whole share. In addition, each retainer grant will be fully vested on the grant date.</w:t>
      </w:r>
    </w:p>
    <w:p>
      <w:pPr>
        <w:spacing w:after="0" w:line="187"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member of our Board that is entitled to the above compensation may elect to forego all or a portion of such compensation from time to time by giving notice to the Company.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by our non-employee directors during the year ended December 31, 2024. Mr. Ho is a member of our Board, but he did not receive any additional compensation for service as a director. Mr. Ho’s compensation as a named executive officer is set forth above under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0" w:type="dxa"/>
            <w:vAlign w:val="bottom"/>
            <w:gridSpan w:val="2"/>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5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76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(1)(2)</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400" w:type="dxa"/>
            <w:vAlign w:val="bottom"/>
            <w:gridSpan w:val="2"/>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122,850</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53,102</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Corrine Epperly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54,595</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44,371</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Travis Whitfill</w:t>
            </w:r>
            <w:r>
              <w:rPr>
                <w:rFonts w:ascii="Times New Roman" w:cs="Times New Roman" w:eastAsia="Times New Roman" w:hAnsi="Times New Roman"/>
                <w:sz w:val="25"/>
                <w:szCs w:val="25"/>
                <w:color w:val="auto"/>
                <w:vertAlign w:val="superscript"/>
              </w:rPr>
              <w:t>(3)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67" w:lineRule="auto"/>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w:t>
      </w:r>
    </w:p>
    <w:p>
      <w:pPr>
        <w:spacing w:after="0" w:line="1" w:lineRule="exact"/>
        <w:rPr>
          <w:rFonts w:ascii="Times New Roman" w:cs="Times New Roman" w:eastAsia="Times New Roman" w:hAnsi="Times New Roman"/>
          <w:sz w:val="16"/>
          <w:szCs w:val="16"/>
          <w:color w:val="auto"/>
        </w:rPr>
      </w:pPr>
    </w:p>
    <w:p>
      <w:pPr>
        <w:ind w:left="540" w:right="240" w:hanging="424"/>
        <w:spacing w:after="0" w:line="288" w:lineRule="auto"/>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regarding the aggregate number of option awards granted to our non-employee directors that were outstanding as of December 31, 2024:</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6640" w:type="dxa"/>
            <w:vAlign w:val="bottom"/>
            <w:gridSpan w:val="2"/>
            <w:vMerge w:val="continue"/>
          </w:tcPr>
          <w:p>
            <w:pPr>
              <w:spacing w:after="0"/>
              <w:rPr>
                <w:sz w:val="15"/>
                <w:szCs w:val="15"/>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548,029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264,361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Corrine Epperly</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138,605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184,709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193,347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192,599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Travis Whitfill</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198,101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has resigned from the Board and all committees effective as of May 9, 2025.</w:t>
      </w:r>
    </w:p>
    <w:p>
      <w:pPr>
        <w:spacing w:after="0" w:line="1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shares of our common stock as of February 16, 2025, by:</w:t>
      </w:r>
    </w:p>
    <w:p>
      <w:pPr>
        <w:spacing w:after="0" w:line="27" w:lineRule="exact"/>
        <w:rPr>
          <w:sz w:val="20"/>
          <w:szCs w:val="20"/>
          <w:color w:val="auto"/>
        </w:rPr>
      </w:pPr>
    </w:p>
    <w:p>
      <w:pPr>
        <w:ind w:left="120" w:right="340" w:hanging="4"/>
        <w:spacing w:after="0" w:line="260"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8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or executive officer. Information about our 5% or greater stockholders, other than percentages of beneficial ownership, is based solely on Schedules 13G or 13D filed with the SEC.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February 16, 2025. Options to purchase shares of our common stock that are exercisable within 60 days of February 16, 2025,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88"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have based our calculation of beneficial ownership on 81,258,763 shares of our common stock outstanding as of February 16, 2025. Unless otherwise indicated, the address for each of the stockholders in the table below is c/o IN8bio, Inc., 350 5th Avenue, Suite 5330, New York, New York 10118.</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8980" w:type="dxa"/>
            <w:vAlign w:val="bottom"/>
            <w:gridSpan w:val="2"/>
            <w:vMerge w:val="continue"/>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8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and Greater Stockholders:</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Bios Equity Partners, LP</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8,600,001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AIGH Capital Management, LLC</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8,188,932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8,457,291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Franklin Biotechnology</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5,696,202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William Ho</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4,159,537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Patrick McCall</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731,392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Kate Rochlin</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600,611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Brandt</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1,254,863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Corrine Epperly</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312,502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Emily Fairbairn</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4,254,192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Jeremy Graff</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146,047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Luba Greenwood</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160,538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Alan S. Roemer</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1,086,154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Travis Whitfill</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61,984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(11 people)</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13,672,985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6" w:lineRule="exact"/>
        <w:rPr>
          <w:sz w:val="20"/>
          <w:szCs w:val="20"/>
          <w:color w:val="auto"/>
        </w:rPr>
      </w:pPr>
    </w:p>
    <w:p>
      <w:pPr>
        <w:ind w:left="540" w:right="80" w:hanging="424"/>
        <w:spacing w:after="0" w:line="272" w:lineRule="auto"/>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251,211 shares of common stock held by Bios Fund II NT, LP (“</w:t>
      </w:r>
      <w:r>
        <w:rPr>
          <w:rFonts w:ascii="Times New Roman" w:cs="Times New Roman" w:eastAsia="Times New Roman" w:hAnsi="Times New Roman"/>
          <w:sz w:val="16"/>
          <w:szCs w:val="16"/>
          <w:b w:val="1"/>
          <w:bCs w:val="1"/>
          <w:i w:val="1"/>
          <w:iCs w:val="1"/>
          <w:color w:val="auto"/>
        </w:rPr>
        <w:t>Bios Fund II NT</w:t>
      </w:r>
      <w:r>
        <w:rPr>
          <w:rFonts w:ascii="Times New Roman" w:cs="Times New Roman" w:eastAsia="Times New Roman" w:hAnsi="Times New Roman"/>
          <w:sz w:val="16"/>
          <w:szCs w:val="16"/>
          <w:color w:val="auto"/>
        </w:rPr>
        <w:t>”), (b) 1,876,624 shares of common stock held by Bios Fund II QP, LP (“</w:t>
      </w:r>
      <w:r>
        <w:rPr>
          <w:rFonts w:ascii="Times New Roman" w:cs="Times New Roman" w:eastAsia="Times New Roman" w:hAnsi="Times New Roman"/>
          <w:sz w:val="16"/>
          <w:szCs w:val="16"/>
          <w:b w:val="1"/>
          <w:bCs w:val="1"/>
          <w:i w:val="1"/>
          <w:iCs w:val="1"/>
          <w:color w:val="auto"/>
        </w:rPr>
        <w:t>Bios Fund II QP</w:t>
      </w:r>
      <w:r>
        <w:rPr>
          <w:rFonts w:ascii="Times New Roman" w:cs="Times New Roman" w:eastAsia="Times New Roman" w:hAnsi="Times New Roman"/>
          <w:sz w:val="16"/>
          <w:szCs w:val="16"/>
          <w:color w:val="auto"/>
        </w:rPr>
        <w:t>”), (c) 574,432 shares of common stock held by Bios Fund II, LP (“</w:t>
      </w:r>
      <w:r>
        <w:rPr>
          <w:rFonts w:ascii="Times New Roman" w:cs="Times New Roman" w:eastAsia="Times New Roman" w:hAnsi="Times New Roman"/>
          <w:sz w:val="16"/>
          <w:szCs w:val="16"/>
          <w:b w:val="1"/>
          <w:bCs w:val="1"/>
          <w:i w:val="1"/>
          <w:iCs w:val="1"/>
          <w:color w:val="auto"/>
        </w:rPr>
        <w:t>Bios Fund II</w:t>
      </w:r>
      <w:r>
        <w:rPr>
          <w:rFonts w:ascii="Times New Roman" w:cs="Times New Roman" w:eastAsia="Times New Roman" w:hAnsi="Times New Roman"/>
          <w:sz w:val="16"/>
          <w:szCs w:val="16"/>
          <w:color w:val="auto"/>
        </w:rPr>
        <w:t>”), (d) 570,724 shares of common stock held by Bios Fund III, LP (“</w:t>
      </w:r>
      <w:r>
        <w:rPr>
          <w:rFonts w:ascii="Times New Roman" w:cs="Times New Roman" w:eastAsia="Times New Roman" w:hAnsi="Times New Roman"/>
          <w:sz w:val="16"/>
          <w:szCs w:val="16"/>
          <w:b w:val="1"/>
          <w:bCs w:val="1"/>
          <w:i w:val="1"/>
          <w:iCs w:val="1"/>
          <w:color w:val="auto"/>
        </w:rPr>
        <w:t>Bios Fund III</w:t>
      </w:r>
      <w:r>
        <w:rPr>
          <w:rFonts w:ascii="Times New Roman" w:cs="Times New Roman" w:eastAsia="Times New Roman" w:hAnsi="Times New Roman"/>
          <w:sz w:val="16"/>
          <w:szCs w:val="16"/>
          <w:color w:val="auto"/>
        </w:rPr>
        <w:t>”), (e) 601,980 shares of common stock held by Bios Fund III NT, L.P. (“</w:t>
      </w:r>
      <w:r>
        <w:rPr>
          <w:rFonts w:ascii="Times New Roman" w:cs="Times New Roman" w:eastAsia="Times New Roman" w:hAnsi="Times New Roman"/>
          <w:sz w:val="16"/>
          <w:szCs w:val="16"/>
          <w:b w:val="1"/>
          <w:bCs w:val="1"/>
          <w:i w:val="1"/>
          <w:iCs w:val="1"/>
          <w:color w:val="auto"/>
        </w:rPr>
        <w:t>Bios Fund III NT</w:t>
      </w:r>
      <w:r>
        <w:rPr>
          <w:rFonts w:ascii="Times New Roman" w:cs="Times New Roman" w:eastAsia="Times New Roman" w:hAnsi="Times New Roman"/>
          <w:sz w:val="16"/>
          <w:szCs w:val="16"/>
          <w:color w:val="auto"/>
        </w:rPr>
        <w:t>”), (f) 3,727,597 shares of common stock held by Bios Fund III QP, L.P. (“</w:t>
      </w:r>
      <w:r>
        <w:rPr>
          <w:rFonts w:ascii="Times New Roman" w:cs="Times New Roman" w:eastAsia="Times New Roman" w:hAnsi="Times New Roman"/>
          <w:sz w:val="16"/>
          <w:szCs w:val="16"/>
          <w:b w:val="1"/>
          <w:bCs w:val="1"/>
          <w:i w:val="1"/>
          <w:iCs w:val="1"/>
          <w:color w:val="auto"/>
        </w:rPr>
        <w:t>Bios Fund III QP</w:t>
      </w:r>
      <w:r>
        <w:rPr>
          <w:rFonts w:ascii="Times New Roman" w:cs="Times New Roman" w:eastAsia="Times New Roman" w:hAnsi="Times New Roman"/>
          <w:sz w:val="16"/>
          <w:szCs w:val="16"/>
          <w:color w:val="auto"/>
        </w:rPr>
        <w:t>”), (g) 997,433 shares of common stock held by Bios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6"/>
          <w:szCs w:val="16"/>
          <w:color w:val="auto"/>
        </w:rPr>
        <w:t>Incysus Co-Invest I, LP (“</w:t>
      </w:r>
      <w:r>
        <w:rPr>
          <w:rFonts w:ascii="Times New Roman" w:cs="Times New Roman" w:eastAsia="Times New Roman" w:hAnsi="Times New Roman"/>
          <w:sz w:val="16"/>
          <w:szCs w:val="16"/>
          <w:b w:val="1"/>
          <w:bCs w:val="1"/>
          <w:i w:val="1"/>
          <w:iCs w:val="1"/>
          <w:color w:val="auto"/>
        </w:rPr>
        <w:t>Bios Incysus</w:t>
      </w:r>
      <w:r>
        <w:rPr>
          <w:rFonts w:ascii="Times New Roman" w:cs="Times New Roman" w:eastAsia="Times New Roman" w:hAnsi="Times New Roman"/>
          <w:sz w:val="16"/>
          <w:szCs w:val="16"/>
          <w:color w:val="auto"/>
        </w:rPr>
        <w:t>”) and (i) 93,441 shares underlying outstanding options that are immediately exercisable or will be immediately exercisable within 60 days of February 16, 2025 held by Travis Whitfill. Excludes a total of 3,140,803 shares issuable upon the exercise of the warrants held by Bios Clinical Opportunity Fund, LP (“</w:t>
      </w:r>
      <w:r>
        <w:rPr>
          <w:rFonts w:ascii="Times New Roman" w:cs="Times New Roman" w:eastAsia="Times New Roman" w:hAnsi="Times New Roman"/>
          <w:sz w:val="16"/>
          <w:szCs w:val="16"/>
          <w:b w:val="1"/>
          <w:bCs w:val="1"/>
          <w:i w:val="1"/>
          <w:iCs w:val="1"/>
          <w:color w:val="auto"/>
        </w:rPr>
        <w:t>Bios COF Fund</w:t>
      </w:r>
      <w:r>
        <w:rPr>
          <w:rFonts w:ascii="Times New Roman" w:cs="Times New Roman" w:eastAsia="Times New Roman" w:hAnsi="Times New Roman"/>
          <w:sz w:val="16"/>
          <w:szCs w:val="16"/>
          <w:color w:val="auto"/>
        </w:rPr>
        <w:t>”),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Bios Equity Partners II, LP (“</w:t>
      </w:r>
      <w:r>
        <w:rPr>
          <w:rFonts w:ascii="Times New Roman" w:cs="Times New Roman" w:eastAsia="Times New Roman" w:hAnsi="Times New Roman"/>
          <w:sz w:val="16"/>
          <w:szCs w:val="16"/>
          <w:b w:val="1"/>
          <w:bCs w:val="1"/>
          <w:i w:val="1"/>
          <w:iCs w:val="1"/>
          <w:color w:val="auto"/>
        </w:rPr>
        <w:t>Bios Equity II</w:t>
      </w:r>
      <w:r>
        <w:rPr>
          <w:rFonts w:ascii="Times New Roman" w:cs="Times New Roman" w:eastAsia="Times New Roman" w:hAnsi="Times New Roman"/>
          <w:sz w:val="16"/>
          <w:szCs w:val="16"/>
          <w:color w:val="auto"/>
        </w:rPr>
        <w:t>”) is the general partner of Bios Fund II NT, Bios Fund II QP, Bios Fund II and Bios Incysus. Bios Equity Partners III, LP (“</w:t>
      </w:r>
      <w:r>
        <w:rPr>
          <w:rFonts w:ascii="Times New Roman" w:cs="Times New Roman" w:eastAsia="Times New Roman" w:hAnsi="Times New Roman"/>
          <w:sz w:val="16"/>
          <w:szCs w:val="16"/>
          <w:b w:val="1"/>
          <w:bCs w:val="1"/>
          <w:i w:val="1"/>
          <w:iCs w:val="1"/>
          <w:color w:val="auto"/>
        </w:rPr>
        <w:t>Bios Equity III</w:t>
      </w:r>
      <w:r>
        <w:rPr>
          <w:rFonts w:ascii="Times New Roman" w:cs="Times New Roman" w:eastAsia="Times New Roman" w:hAnsi="Times New Roman"/>
          <w:sz w:val="16"/>
          <w:szCs w:val="16"/>
          <w:color w:val="auto"/>
        </w:rPr>
        <w:t>”) is the general partner of Fund III NT, Fund III QP and Fund III. Cavu Management, LP and Bios Capital Management, LP (“</w:t>
      </w:r>
      <w:r>
        <w:rPr>
          <w:rFonts w:ascii="Times New Roman" w:cs="Times New Roman" w:eastAsia="Times New Roman" w:hAnsi="Times New Roman"/>
          <w:sz w:val="16"/>
          <w:szCs w:val="16"/>
          <w:b w:val="1"/>
          <w:bCs w:val="1"/>
          <w:i w:val="1"/>
          <w:iCs w:val="1"/>
          <w:color w:val="auto"/>
        </w:rPr>
        <w:t>Bios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Management</w:t>
      </w:r>
      <w:r>
        <w:rPr>
          <w:rFonts w:ascii="Times New Roman" w:cs="Times New Roman" w:eastAsia="Times New Roman" w:hAnsi="Times New Roman"/>
          <w:sz w:val="16"/>
          <w:szCs w:val="16"/>
          <w:color w:val="auto"/>
        </w:rPr>
        <w:t>”) are the general partners of Bios Equity I, Bios Equity II and Bios Equity III. Cavu Advisors, LLC (“</w:t>
      </w:r>
      <w:r>
        <w:rPr>
          <w:rFonts w:ascii="Times New Roman" w:cs="Times New Roman" w:eastAsia="Times New Roman" w:hAnsi="Times New Roman"/>
          <w:sz w:val="16"/>
          <w:szCs w:val="16"/>
          <w:b w:val="1"/>
          <w:bCs w:val="1"/>
          <w:i w:val="1"/>
          <w:iCs w:val="1"/>
          <w:color w:val="auto"/>
        </w:rPr>
        <w:t>Cavu Advisors</w:t>
      </w:r>
      <w:r>
        <w:rPr>
          <w:rFonts w:ascii="Times New Roman" w:cs="Times New Roman" w:eastAsia="Times New Roman" w:hAnsi="Times New Roman"/>
          <w:sz w:val="16"/>
          <w:szCs w:val="16"/>
          <w:color w:val="auto"/>
        </w:rPr>
        <w:t>”) is the general partner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Cavu Management LP. Bios Management is the general partner Bios Equity COF, LP (“</w:t>
      </w:r>
      <w:r>
        <w:rPr>
          <w:rFonts w:ascii="Times New Roman" w:cs="Times New Roman" w:eastAsia="Times New Roman" w:hAnsi="Times New Roman"/>
          <w:sz w:val="16"/>
          <w:szCs w:val="16"/>
          <w:b w:val="1"/>
          <w:bCs w:val="1"/>
          <w:i w:val="1"/>
          <w:iCs w:val="1"/>
          <w:color w:val="auto"/>
        </w:rPr>
        <w:t>Bios Equity COF</w:t>
      </w:r>
      <w:r>
        <w:rPr>
          <w:rFonts w:ascii="Times New Roman" w:cs="Times New Roman" w:eastAsia="Times New Roman" w:hAnsi="Times New Roman"/>
          <w:sz w:val="16"/>
          <w:szCs w:val="16"/>
          <w:color w:val="auto"/>
        </w:rPr>
        <w:t>”), and Bios Equity COF is the general partner of Bios COF Fund. Bios Advisors GP, LLC (“</w:t>
      </w:r>
      <w:r>
        <w:rPr>
          <w:rFonts w:ascii="Times New Roman" w:cs="Times New Roman" w:eastAsia="Times New Roman" w:hAnsi="Times New Roman"/>
          <w:sz w:val="16"/>
          <w:szCs w:val="16"/>
          <w:b w:val="1"/>
          <w:bCs w:val="1"/>
          <w:i w:val="1"/>
          <w:iCs w:val="1"/>
          <w:color w:val="auto"/>
        </w:rPr>
        <w:t>Bios Advisors</w:t>
      </w:r>
      <w:r>
        <w:rPr>
          <w:rFonts w:ascii="Times New Roman" w:cs="Times New Roman" w:eastAsia="Times New Roman" w:hAnsi="Times New Roman"/>
          <w:sz w:val="16"/>
          <w:szCs w:val="16"/>
          <w:color w:val="auto"/>
        </w:rPr>
        <w:t>”) is the general partner of Bios Capital Management, LP. Leslie Kreis, Jr. is the sole manager of Cavu Advisors, a co-manager of each of Bios Fund II, Bios Fund II QP, Bios Fund II NT, Bios Fund III, Bios Fund III QP, Bios Fund III NT and Bios Directors. Aaron Fletcher is the sole manager of Bios Advisors and Bios COF Fund and a co-manager of each of Bios Fund II, Bios Fund II QP, Bios Fund II NT, Bios Fund III, Bios Fund III QP, Bios Fund III NT and Bios Directors. Mr. Kreis and Dr. Fletcher have shared voting and investment power over the shares described in this footnote 1. Mr. Whitfill, a director of the Company, was a partner at Bios Equity Partners, LP (“</w:t>
      </w:r>
      <w:r>
        <w:rPr>
          <w:rFonts w:ascii="Times New Roman" w:cs="Times New Roman" w:eastAsia="Times New Roman" w:hAnsi="Times New Roman"/>
          <w:sz w:val="16"/>
          <w:szCs w:val="16"/>
          <w:b w:val="1"/>
          <w:bCs w:val="1"/>
          <w:i w:val="1"/>
          <w:iCs w:val="1"/>
          <w:color w:val="auto"/>
        </w:rPr>
        <w:t>Bios Equity I</w:t>
      </w:r>
      <w:r>
        <w:rPr>
          <w:rFonts w:ascii="Times New Roman" w:cs="Times New Roman" w:eastAsia="Times New Roman" w:hAnsi="Times New Roman"/>
          <w:sz w:val="16"/>
          <w:szCs w:val="16"/>
          <w:color w:val="auto"/>
        </w:rPr>
        <w:t>”) through June 30, 2023 but does not have voting or investment power over the shares described in this footnote. Pursuant to an agreement with BP Directors, LP (“</w:t>
      </w:r>
      <w:r>
        <w:rPr>
          <w:rFonts w:ascii="Times New Roman" w:cs="Times New Roman" w:eastAsia="Times New Roman" w:hAnsi="Times New Roman"/>
          <w:sz w:val="16"/>
          <w:szCs w:val="16"/>
          <w:b w:val="1"/>
          <w:bCs w:val="1"/>
          <w:i w:val="1"/>
          <w:iCs w:val="1"/>
          <w:color w:val="auto"/>
        </w:rPr>
        <w:t>Bios Directors</w:t>
      </w:r>
      <w:r>
        <w:rPr>
          <w:rFonts w:ascii="Times New Roman" w:cs="Times New Roman" w:eastAsia="Times New Roman" w:hAnsi="Times New Roman"/>
          <w:sz w:val="16"/>
          <w:szCs w:val="16"/>
          <w:color w:val="auto"/>
        </w:rPr>
        <w:t>”), Mr. Whitfill has agreed that he will hold certain equity-based awards granted to him on or prior to June 30, 2023 in connection with his services as a director as a nominee for Bios Directors. Bios Equity I is the general partner of Bios Directors. The principal business address of these entities and persons is 1751 River Run, Suite 400, Fort Worth, Texas 76107.</w:t>
      </w:r>
    </w:p>
    <w:p>
      <w:pPr>
        <w:spacing w:after="0" w:line="190" w:lineRule="exact"/>
        <w:rPr>
          <w:sz w:val="20"/>
          <w:szCs w:val="20"/>
          <w:color w:val="auto"/>
        </w:rPr>
      </w:pPr>
    </w:p>
    <w:p>
      <w:pPr>
        <w:ind w:left="540" w:right="10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6,737,932 shares and (b) 1,451,000 shares issuable upon exercise of warrants within 60 days of February 16, 2025. Excludes a total of 11,809,016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AIGH Capital Management, LLC (“</w:t>
      </w:r>
      <w:r>
        <w:rPr>
          <w:rFonts w:ascii="Times New Roman" w:cs="Times New Roman" w:eastAsia="Times New Roman" w:hAnsi="Times New Roman"/>
          <w:sz w:val="16"/>
          <w:szCs w:val="16"/>
          <w:b w:val="1"/>
          <w:bCs w:val="1"/>
          <w:i w:val="1"/>
          <w:iCs w:val="1"/>
          <w:color w:val="auto"/>
        </w:rPr>
        <w:t>AIGH Management</w:t>
      </w:r>
      <w:r>
        <w:rPr>
          <w:rFonts w:ascii="Times New Roman" w:cs="Times New Roman" w:eastAsia="Times New Roman" w:hAnsi="Times New Roman"/>
          <w:sz w:val="16"/>
          <w:szCs w:val="16"/>
          <w:color w:val="auto"/>
        </w:rPr>
        <w:t>”) is as an advisor or sub-advisor with respect to the shares held by AIGH Investment Partners, LP and WVP Emerging Manager Onshore Fund, LLC – AIGH Series. Orin Hirschman is the Managing Member of AIGH Management and president of AIGH LLC. The principal office and business address of these entities and persons is 6006 Berkeley Avenue, Baltimore, MD 21209.</w:t>
      </w:r>
    </w:p>
    <w:p>
      <w:pPr>
        <w:ind w:left="540" w:right="18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5,063,291 shares and (b) 3,394,000 shares issuable upon exercise of warrants within 60 days of February 16, 2025. Excludes a total of 6,702,635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Alyeska Fund GP, LLC, is the General Partner and control person of Alyeska Master Fund, L.P. Jason Bragg is the Chief Financial Officer of Alyeska Fund GP, LLC. The address of this entity is 77 W. Wacker St., Suite 700, Chicago, IL 60601.</w:t>
      </w:r>
    </w:p>
    <w:p>
      <w:pPr>
        <w:ind w:left="540" w:right="2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3,606,002 shares held by Franklin Templeton Investment Funds – Franklin Biotechnology Discovery Fund (“</w:t>
      </w:r>
      <w:r>
        <w:rPr>
          <w:rFonts w:ascii="Times New Roman" w:cs="Times New Roman" w:eastAsia="Times New Roman" w:hAnsi="Times New Roman"/>
          <w:sz w:val="16"/>
          <w:szCs w:val="16"/>
          <w:b w:val="1"/>
          <w:bCs w:val="1"/>
          <w:i w:val="1"/>
          <w:iCs w:val="1"/>
          <w:color w:val="auto"/>
        </w:rPr>
        <w:t>FTIF</w:t>
      </w:r>
      <w:r>
        <w:rPr>
          <w:rFonts w:ascii="Times New Roman" w:cs="Times New Roman" w:eastAsia="Times New Roman" w:hAnsi="Times New Roman"/>
          <w:sz w:val="16"/>
          <w:szCs w:val="16"/>
          <w:color w:val="auto"/>
        </w:rPr>
        <w:t>”) and (b) 2,090,200 shares held by Franklin Strategic Series – Franklin Biotechnology Discovery Fund (“</w:t>
      </w:r>
      <w:r>
        <w:rPr>
          <w:rFonts w:ascii="Times New Roman" w:cs="Times New Roman" w:eastAsia="Times New Roman" w:hAnsi="Times New Roman"/>
          <w:sz w:val="16"/>
          <w:szCs w:val="16"/>
          <w:b w:val="1"/>
          <w:bCs w:val="1"/>
          <w:i w:val="1"/>
          <w:iCs w:val="1"/>
          <w:color w:val="auto"/>
        </w:rPr>
        <w:t>FSS</w:t>
      </w:r>
      <w:r>
        <w:rPr>
          <w:rFonts w:ascii="Times New Roman" w:cs="Times New Roman" w:eastAsia="Times New Roman" w:hAnsi="Times New Roman"/>
          <w:sz w:val="16"/>
          <w:szCs w:val="16"/>
          <w:color w:val="auto"/>
        </w:rPr>
        <w:t>”). Excludes an aggregate of 3,322,519 shares issuable within 60 days of February 16, 2025 upon exercise of warrants held by FTIF and FSS,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Evan McCulloch is the portfolio manager for both Franklin Strategic and Franklin Templeton. Mr. McCulloch may be deemed to have voting and investment power over the common stock held by Franklin Strategic and Franklin Templeton. The address of FSS is c/o Franklin Advisers, Inc., One Franklin Parkway, San Mateo, CA 94403. The address of FTIF is 8A Rue Albert Borschette, 1246 Kirchberg, Luxembourg.</w:t>
      </w:r>
    </w:p>
    <w:p>
      <w:pPr>
        <w:ind w:left="540" w:right="140" w:hanging="424"/>
        <w:spacing w:after="0" w:line="276"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2,548,144 shares held directly by Mr. Ho, (b) 145,999 shares held by Mr. Ho’s children, (c) 109,500 shares held by other relatives of Mr. Ho over which Mr. Ho has voting power pursuant to a voting proxy and (c) 1,355,894 shares underlying outstanding options that are immediately exercisable or will be immediately exercisable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jc w:val="both"/>
        <w:ind w:left="540" w:right="120"/>
        <w:spacing w:after="0" w:line="266" w:lineRule="auto"/>
        <w:rPr>
          <w:sz w:val="20"/>
          <w:szCs w:val="20"/>
          <w:color w:val="auto"/>
        </w:rPr>
      </w:pPr>
      <w:r>
        <w:rPr>
          <w:rFonts w:ascii="Times New Roman" w:cs="Times New Roman" w:eastAsia="Times New Roman" w:hAnsi="Times New Roman"/>
          <w:sz w:val="16"/>
          <w:szCs w:val="16"/>
          <w:color w:val="auto"/>
        </w:rPr>
        <w:t>within 60 days of February 16, 2025. Excludes a total of 290,516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w:t>
      </w:r>
    </w:p>
    <w:p>
      <w:pPr>
        <w:spacing w:after="0" w:line="2" w:lineRule="exact"/>
        <w:rPr>
          <w:sz w:val="20"/>
          <w:szCs w:val="20"/>
          <w:color w:val="auto"/>
        </w:rPr>
      </w:pPr>
    </w:p>
    <w:p>
      <w:pPr>
        <w:ind w:left="540" w:right="16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52,071 shares, (b) 66,300 shares underlying outstanding warrants that are immediately exercisable and (c) 613,021 shares underlying outstanding options that are immediately exercisable or will be immediately exercisable within 60 days of February 16, 2025.</w:t>
      </w:r>
    </w:p>
    <w:p>
      <w:pPr>
        <w:ind w:left="540" w:right="16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42,874 shares, (b) 49,906 shares underlying outstanding warrants that are immediately exercisable and (c) 507,831 shares underlying outstanding options that are immediately exercisable or will be immediately exercisable within 60 days of February 16, 2025.</w:t>
      </w:r>
    </w:p>
    <w:p>
      <w:pPr>
        <w:ind w:left="540" w:right="14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517,604 shares, (b) 105,290 shares held by The Peter C. Brandt 2020-4 GRAT (the “</w:t>
      </w:r>
      <w:r>
        <w:rPr>
          <w:rFonts w:ascii="Times New Roman" w:cs="Times New Roman" w:eastAsia="Times New Roman" w:hAnsi="Times New Roman"/>
          <w:sz w:val="16"/>
          <w:szCs w:val="16"/>
          <w:b w:val="1"/>
          <w:bCs w:val="1"/>
          <w:i w:val="1"/>
          <w:iCs w:val="1"/>
          <w:color w:val="auto"/>
        </w:rPr>
        <w:t>GRAT</w:t>
      </w:r>
      <w:r>
        <w:rPr>
          <w:rFonts w:ascii="Times New Roman" w:cs="Times New Roman" w:eastAsia="Times New Roman" w:hAnsi="Times New Roman"/>
          <w:sz w:val="16"/>
          <w:szCs w:val="16"/>
          <w:color w:val="auto"/>
        </w:rPr>
        <w:t>”), (c) 417,098 shares underlying outstanding warrants that are immediately exercisable, and (d) 214,871 shares underlying outstanding options that are immediately exercisable or will be immediately exercisable within 60 days of February 16, 2025. Mr. Brandt is the trustee of the GRAT and, as such, has voting and investment power over the shares held by the GRAT.</w:t>
      </w:r>
    </w:p>
    <w:p>
      <w:pPr>
        <w:ind w:left="540" w:right="12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81,967 shares, (b) 163,934 shares underlying outstanding warrants that are immediately exercisable, and (c) 66,601 shares underlying outstanding options that are immediately exercisable or will be immediately exercisable within 60 days of February 16, 2025.</w:t>
      </w:r>
    </w:p>
    <w:p>
      <w:pPr>
        <w:ind w:left="54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27,706 shares held by Ms. Fairbairn through an individual retirement account (“</w:t>
      </w:r>
      <w:r>
        <w:rPr>
          <w:rFonts w:ascii="Times New Roman" w:cs="Times New Roman" w:eastAsia="Times New Roman" w:hAnsi="Times New Roman"/>
          <w:sz w:val="16"/>
          <w:szCs w:val="16"/>
          <w:b w:val="1"/>
          <w:bCs w:val="1"/>
          <w:i w:val="1"/>
          <w:iCs w:val="1"/>
          <w:color w:val="auto"/>
        </w:rPr>
        <w:t>Roth IRA</w:t>
      </w:r>
      <w:r>
        <w:rPr>
          <w:rFonts w:ascii="Times New Roman" w:cs="Times New Roman" w:eastAsia="Times New Roman" w:hAnsi="Times New Roman"/>
          <w:sz w:val="16"/>
          <w:szCs w:val="16"/>
          <w:color w:val="auto"/>
        </w:rPr>
        <w:t>”), (b) 91,336 shares held by Valley High Limited Partnership (“</w:t>
      </w:r>
      <w:r>
        <w:rPr>
          <w:rFonts w:ascii="Times New Roman" w:cs="Times New Roman" w:eastAsia="Times New Roman" w:hAnsi="Times New Roman"/>
          <w:sz w:val="16"/>
          <w:szCs w:val="16"/>
          <w:b w:val="1"/>
          <w:bCs w:val="1"/>
          <w:i w:val="1"/>
          <w:iCs w:val="1"/>
          <w:color w:val="auto"/>
        </w:rPr>
        <w:t>Valley High</w:t>
      </w:r>
      <w:r>
        <w:rPr>
          <w:rFonts w:ascii="Times New Roman" w:cs="Times New Roman" w:eastAsia="Times New Roman" w:hAnsi="Times New Roman"/>
          <w:sz w:val="16"/>
          <w:szCs w:val="16"/>
          <w:color w:val="auto"/>
        </w:rPr>
        <w:t>”), (c) 3,982,000 shares underlying outstanding warrants held by the Malcolm and Emily Charitable Remainder Unitrust 2010 (the “CRUT”) that are immediately exercisable and (d) 153,150 shares underlying outstanding options that are immediately exercisable or will be immediately exercisable within 60 days of February 16, 2025. Excludes a total of 2,095,486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Ms. Fairbairn exercises control over the Roth IRA and, as such, has voting and investment power over the shares held by the Roth IRA. Ms. Fairbairn’s spouse is the sole managing partner of Valley High and has voting and investment power over the shares held by Valley High. Ms. Fairbairn and her spouse both exercise control over the CRUT and, as such, have voting and investment power over the shares held by the CRUT. Ms. Fairbairn disclaims beneficial ownership of the shares held by Valley High except to the extent of her pecuniary interest therein.</w:t>
      </w:r>
    </w:p>
    <w:p>
      <w:pPr>
        <w:spacing w:after="0" w:line="1" w:lineRule="exact"/>
        <w:rPr>
          <w:rFonts w:ascii="Times New Roman" w:cs="Times New Roman" w:eastAsia="Times New Roman" w:hAnsi="Times New Roman"/>
          <w:sz w:val="16"/>
          <w:szCs w:val="16"/>
          <w:color w:val="auto"/>
        </w:rPr>
      </w:pPr>
    </w:p>
    <w:p>
      <w:pPr>
        <w:ind w:left="540" w:right="30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4,549 shares, (b) 4,098 shares underlying outstanding warrants that are immediately exercisable, and (c) 137,400 shares underlying outstanding options that are immediately exercisable or will be immediately exercisable within 60 days of February 16, 2025.</w:t>
      </w:r>
    </w:p>
    <w:p>
      <w:pPr>
        <w:ind w:left="540" w:right="12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7,826 shares and (b) 152,712 shares underlying outstanding options that are immediately exercisable or will be immediately exercisable within 60 days of February 16, 2025.</w:t>
      </w:r>
    </w:p>
    <w:p>
      <w:pPr>
        <w:jc w:val="both"/>
        <w:ind w:left="540" w:right="14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285,030 shares, (b) 14,837 shares held by Christiana Trust a Division of Wilmington Savings Fund Society FSB TR Alan S. Roemer 2015 Family Trust (the “</w:t>
      </w:r>
      <w:r>
        <w:rPr>
          <w:rFonts w:ascii="Times New Roman" w:cs="Times New Roman" w:eastAsia="Times New Roman" w:hAnsi="Times New Roman"/>
          <w:sz w:val="16"/>
          <w:szCs w:val="16"/>
          <w:b w:val="1"/>
          <w:bCs w:val="1"/>
          <w:i w:val="1"/>
          <w:iCs w:val="1"/>
          <w:color w:val="auto"/>
        </w:rPr>
        <w:t>Family Trust</w:t>
      </w:r>
      <w:r>
        <w:rPr>
          <w:rFonts w:ascii="Times New Roman" w:cs="Times New Roman" w:eastAsia="Times New Roman" w:hAnsi="Times New Roman"/>
          <w:sz w:val="16"/>
          <w:szCs w:val="16"/>
          <w:color w:val="auto"/>
        </w:rPr>
        <w:t>”), (c) 331,500 shares underlying outstanding warrants that are immediately exercisable, and (d) 454,787 shares underlying outstanding options that are immediately exercisable or will be immediately exercisable within 60 days of February 16, 2025. Mr. Roemer disclaims beneficial ownership of the shares held by the Family Trust except to the extent of his pecuniary interest therein, if any.</w:t>
      </w:r>
    </w:p>
    <w:p>
      <w:pPr>
        <w:ind w:left="540" w:hanging="424"/>
        <w:spacing w:after="0" w:line="272"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61,984 shares underlying outstanding options that are immediately exercisable or will be immediately exercisable within 60 days of February 16, 2025. As described in footnote 1, Mr. Whitfill has agreed that he will hold certain equity-based awards granted to him on or prior to June 30, 2023 in connection with his services as a director. Mr. Whitfill disclaims beneficial ownership of the shares held by Bios except to the extent of his pecuniary interest therein. Mr. Whitfill has resigned from the Board effective as of May 9, 2025.</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vMerge w:val="restart"/>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98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98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8"/>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20" w:type="dxa"/>
            <w:vAlign w:val="bottom"/>
          </w:tcPr>
          <w:p>
            <w:pPr>
              <w:spacing w:after="0"/>
              <w:rPr>
                <w:sz w:val="12"/>
                <w:szCs w:val="12"/>
                <w:color w:val="auto"/>
              </w:rPr>
            </w:pPr>
          </w:p>
        </w:tc>
        <w:tc>
          <w:tcPr>
            <w:tcW w:w="18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73"/>
        </w:trPr>
        <w:tc>
          <w:tcPr>
            <w:tcW w:w="466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(a)(#)</w:t>
            </w:r>
          </w:p>
        </w:tc>
        <w:tc>
          <w:tcPr>
            <w:tcW w:w="198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(1)</w:t>
            </w:r>
          </w:p>
        </w:tc>
        <w:tc>
          <w:tcPr>
            <w:tcW w:w="600" w:type="dxa"/>
            <w:vAlign w:val="bottom"/>
          </w:tcPr>
          <w:p>
            <w:pPr>
              <w:spacing w:after="0"/>
              <w:rPr>
                <w:sz w:val="15"/>
                <w:szCs w:val="15"/>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1,355,568</w:t>
            </w:r>
          </w:p>
        </w:tc>
        <w:tc>
          <w:tcPr>
            <w:tcW w:w="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5.51</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jc w:val="right"/>
              <w:ind w:right="4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3,289,914</w:t>
            </w:r>
          </w:p>
        </w:tc>
        <w:tc>
          <w:tcPr>
            <w:tcW w:w="5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3.26</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7,449,923</w:t>
            </w:r>
          </w:p>
        </w:tc>
        <w:tc>
          <w:tcPr>
            <w:tcW w:w="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0.86</w:t>
            </w:r>
          </w:p>
        </w:tc>
        <w:tc>
          <w:tcPr>
            <w:tcW w:w="500" w:type="dxa"/>
            <w:vAlign w:val="bottom"/>
          </w:tcPr>
          <w:p>
            <w:pPr>
              <w:spacing w:after="0"/>
              <w:rPr>
                <w:sz w:val="18"/>
                <w:szCs w:val="18"/>
                <w:color w:val="auto"/>
              </w:rPr>
            </w:pPr>
          </w:p>
        </w:tc>
        <w:tc>
          <w:tcPr>
            <w:tcW w:w="1980" w:type="dxa"/>
            <w:vAlign w:val="bottom"/>
            <w:gridSpan w:val="3"/>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3,679,014</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81"/>
              </w:rPr>
              <w:t>— </w:t>
            </w:r>
          </w:p>
        </w:tc>
        <w:tc>
          <w:tcPr>
            <w:tcW w:w="1980" w:type="dxa"/>
            <w:vAlign w:val="bottom"/>
            <w:gridSpan w:val="3"/>
            <w:shd w:val="clear" w:color="auto" w:fill="CCEEFF"/>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787,812</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198"/>
        </w:trPr>
        <w:tc>
          <w:tcPr>
            <w:tcW w:w="4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12,095,405</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4,466,826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exercise price is calculated based solely on outstanding stock options.</w:t>
      </w:r>
    </w:p>
    <w:p>
      <w:pPr>
        <w:spacing w:after="0" w:line="26" w:lineRule="exact"/>
        <w:rPr>
          <w:rFonts w:ascii="Times New Roman" w:cs="Times New Roman" w:eastAsia="Times New Roman" w:hAnsi="Times New Roman"/>
          <w:sz w:val="16"/>
          <w:szCs w:val="16"/>
          <w:color w:val="auto"/>
        </w:rPr>
      </w:pPr>
    </w:p>
    <w:p>
      <w:pPr>
        <w:ind w:left="540" w:right="100" w:hanging="424"/>
        <w:spacing w:after="0" w:line="264"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adoption of the 2020 Plan, no additional stock awards have been or will be granted under the 2018 Equity Incentive Plan (“</w:t>
      </w:r>
      <w:r>
        <w:rPr>
          <w:rFonts w:ascii="Times New Roman" w:cs="Times New Roman" w:eastAsia="Times New Roman" w:hAnsi="Times New Roman"/>
          <w:sz w:val="16"/>
          <w:szCs w:val="16"/>
          <w:b w:val="1"/>
          <w:bCs w:val="1"/>
          <w:i w:val="1"/>
          <w:iCs w:val="1"/>
          <w:color w:val="auto"/>
        </w:rPr>
        <w:t>2018 Plan</w:t>
      </w:r>
      <w:r>
        <w:rPr>
          <w:rFonts w:ascii="Times New Roman" w:cs="Times New Roman" w:eastAsia="Times New Roman" w:hAnsi="Times New Roman"/>
          <w:sz w:val="16"/>
          <w:szCs w:val="16"/>
          <w:color w:val="auto"/>
        </w:rPr>
        <w:t>”). Following adoption of the 2023 Plan, no additional stock awards have been or will be granted under the 2020 Plan. Any shares becoming available under the 2018 Plan or 2020 Plan by repurchase, forfeiture, expiration or cancellation will become available for grant under the 2023 Plan.</w:t>
      </w:r>
    </w:p>
    <w:p>
      <w:pPr>
        <w:ind w:left="540" w:right="40" w:hanging="424"/>
        <w:spacing w:after="0" w:line="276"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2023 Plan will automatically increase on January 1 of each year by 5% of the total number of shares of our capital stock outstanding on December 31 of the preceding calendar year, or a lesser number of shares determined by our Board (which may be zero). On December 3, 2024, the Compensation Committee determined that there would be no increase to the share reserve under the 2023 Plan on January 1, 2025.</w:t>
      </w:r>
    </w:p>
    <w:p>
      <w:pPr>
        <w:spacing w:after="0" w:line="175" w:lineRule="exact"/>
        <w:rPr>
          <w:rFonts w:ascii="Times New Roman" w:cs="Times New Roman" w:eastAsia="Times New Roman" w:hAnsi="Times New Roman"/>
          <w:sz w:val="16"/>
          <w:szCs w:val="16"/>
          <w:color w:val="auto"/>
        </w:rPr>
      </w:pPr>
    </w:p>
    <w:p>
      <w:pPr>
        <w:ind w:left="540" w:right="40" w:hanging="424"/>
        <w:spacing w:after="0" w:line="276" w:lineRule="auto"/>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ESPP will automatically increase on January 1 of each year by the lesser of (i) 1% of the outstanding number of shares of common stock on the immediately preceding December 31 and (ii) 400,000, or such lesser number of shares as determined by our Board. On December 3, 2024, the Compensation Committee determined that there would be no increase to the share reserve under the ESPP on January 1, 2025.</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500" w:firstLine="2535"/>
        <w:spacing w:after="0" w:line="440" w:lineRule="auto"/>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 Policies and Procedures for Transactions with Related Persons</w:t>
      </w:r>
    </w:p>
    <w:p>
      <w:pPr>
        <w:spacing w:after="0" w:line="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in which all proposed related party transactions must be approved by either (i) our full Board in the case of executive officers and directors or (ii) with respect to all other related parties, our Nominating and Corporate Governance Committee. This review covers any transaction, arrangement or relationship, or any series of similar transactions, arrangements or relationships, in which we and any “related person” were or are participants involving an amount that exceeds or will exceed $120,000 or, during such time as we qualify as a “smaller reporting company,” the lesser of (a) $120,000 or (b) 1% of the average of our total assets for the last two completed fiscal years, and in which any related person had or will have a direct or indirect material interest. Transactions involving compensation for services provided to us as an employee, director, consultant or similar capacity by a related person are not covered by this policy. A “related party” is any person who is or was one of our executive officers, directors or director nominees or is a holder of more than 5% of our common stock, or their immediate family members or any entity owned or controlled by any of the foregoing persons.</w:t>
      </w:r>
    </w:p>
    <w:p>
      <w:pPr>
        <w:spacing w:after="0" w:line="18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including equity awards, provided to us as an employee, consultant or director will not be considered related person transactions under this policy. For more information regarding our compensation arrangements and equity awards granted to our directors and named executive officers, see the sections titled “Executive Officer and Director Compensation—Executive Compensation” and “Executive Officer and Director Compensation—Director Compensation.”</w:t>
      </w:r>
    </w:p>
    <w:p>
      <w:pPr>
        <w:spacing w:after="0" w:line="180"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below we describe transactions since January 1, 2023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2024 Private Placement</w:t>
      </w:r>
    </w:p>
    <w:p>
      <w:pPr>
        <w:spacing w:after="0" w:line="11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In September 2024, we entered into a securities purchase agreement (the “</w:t>
      </w:r>
      <w:r>
        <w:rPr>
          <w:rFonts w:ascii="Times New Roman" w:cs="Times New Roman" w:eastAsia="Times New Roman" w:hAnsi="Times New Roman"/>
          <w:sz w:val="18"/>
          <w:szCs w:val="18"/>
          <w:b w:val="1"/>
          <w:bCs w:val="1"/>
          <w:i w:val="1"/>
          <w:iCs w:val="1"/>
          <w:color w:val="auto"/>
        </w:rPr>
        <w:t>2024 Purchase Agreement</w:t>
      </w:r>
      <w:r>
        <w:rPr>
          <w:rFonts w:ascii="Times New Roman" w:cs="Times New Roman" w:eastAsia="Times New Roman" w:hAnsi="Times New Roman"/>
          <w:sz w:val="18"/>
          <w:szCs w:val="18"/>
          <w:color w:val="auto"/>
        </w:rPr>
        <w:t>”) with multiple investors (the “</w:t>
      </w:r>
      <w:r>
        <w:rPr>
          <w:rFonts w:ascii="Times New Roman" w:cs="Times New Roman" w:eastAsia="Times New Roman" w:hAnsi="Times New Roman"/>
          <w:sz w:val="18"/>
          <w:szCs w:val="18"/>
          <w:b w:val="1"/>
          <w:bCs w:val="1"/>
          <w:i w:val="1"/>
          <w:iCs w:val="1"/>
          <w:color w:val="auto"/>
        </w:rPr>
        <w:t>2024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pursuant to which we issued and sold an aggregate of 31,406,448 units comprising (i) (a) one share of common stock or (b)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pre-funded warrant to purchase one share of common stock (“</w:t>
      </w:r>
      <w:r>
        <w:rPr>
          <w:rFonts w:ascii="Times New Roman" w:cs="Times New Roman" w:eastAsia="Times New Roman" w:hAnsi="Times New Roman"/>
          <w:sz w:val="18"/>
          <w:szCs w:val="18"/>
          <w:b w:val="1"/>
          <w:bCs w:val="1"/>
          <w:i w:val="1"/>
          <w:iCs w:val="1"/>
          <w:color w:val="auto"/>
        </w:rPr>
        <w:t>PFWs</w:t>
      </w:r>
      <w:r>
        <w:rPr>
          <w:rFonts w:ascii="Times New Roman" w:cs="Times New Roman" w:eastAsia="Times New Roman" w:hAnsi="Times New Roman"/>
          <w:sz w:val="18"/>
          <w:szCs w:val="18"/>
          <w:color w:val="auto"/>
        </w:rPr>
        <w:t>”), and, in each case, (ii) one Series C ordinary warrant to purchase one share of common stock (“</w:t>
      </w:r>
      <w:r>
        <w:rPr>
          <w:rFonts w:ascii="Times New Roman" w:cs="Times New Roman" w:eastAsia="Times New Roman" w:hAnsi="Times New Roman"/>
          <w:sz w:val="18"/>
          <w:szCs w:val="18"/>
          <w:b w:val="1"/>
          <w:bCs w:val="1"/>
          <w:i w:val="1"/>
          <w:iCs w:val="1"/>
          <w:color w:val="auto"/>
        </w:rPr>
        <w:t>Series C Warrants</w:t>
      </w:r>
      <w:r>
        <w:rPr>
          <w:rFonts w:ascii="Times New Roman" w:cs="Times New Roman" w:eastAsia="Times New Roman" w:hAnsi="Times New Roman"/>
          <w:sz w:val="18"/>
          <w:szCs w:val="18"/>
          <w:color w:val="auto"/>
        </w:rPr>
        <w:t>”). In connection with the 2024 Private Placement, we issued an aggregate of 25,696,305 shares of common stock, 5,646,853 PFWs and 31,343,158 Series C Warrants. The PFWs have an exercise price of $0.0001 per share, are exercisable immediately and are exercisable until the PFW is exercised in full. The Series C Warrants have an exercise price of $0.27 per share, are exercisable immediately and will expire on October 4, 2027. The units were sold at a purchase price of $0.3950 per unit (or $0.3949 per unit with respect to units that include PFWs in lieu of Common Stock), for an aggregate initial net proceeds of $11.2 million, after deducting private placement fees and expenses. The closing of the 2024 Private Placement occurred on October 4, 2024.</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number of shares of our common stock and warrants purchased by our directors and officers and the holders of more than 5% of our common stock and affiliates in the 2024 Private Placement.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6480" w:type="dxa"/>
            <w:vAlign w:val="bottom"/>
            <w:gridSpan w:val="2"/>
            <w:vMerge w:val="continue"/>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AIGH Investment Partners, LP</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3,804,542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3,804,542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AIGH Series</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988,914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988,914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390,621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Optimized Equity Series</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269,838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269,838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106,586</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Hewlett Fund LP</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1,012,658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1,012,658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5,063,291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5,063,291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Bios Clinical Opportunity Fund,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709,040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709,040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Malcolm and Emily Charitable Remainder Unitrust 2010</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3,038,743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3,038,743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253,164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126,582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25,316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126,582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126,582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11,696,203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3,743,783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15,443,986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6,100,000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320" w:hanging="424"/>
        <w:spacing w:after="0" w:line="269" w:lineRule="auto"/>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AIGH Investment Partners, LP, WVP Emerging Manager Onshore Fund, LLC – AIGH Series, and WVP Emerging Manager Onshore Fund, LLC – Optimized Equity Series are affiliates of AIGH Capital Management, LLC.</w:t>
      </w:r>
    </w:p>
    <w:p>
      <w:pPr>
        <w:ind w:left="540" w:hanging="424"/>
        <w:spacing w:after="0"/>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Bios Clinical Opportunity Fund, LP is an affiliate of Bios Equity Partners, LP.</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Emily Fairbairn, a member of the Board, is a trustee of the Malcolm and Emily Charitable Remainder Unitrust 2010.</w:t>
      </w:r>
    </w:p>
    <w:p>
      <w:pPr>
        <w:spacing w:after="0" w:line="218"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Also in September 2024, we entered into a registration rights agreement (“</w:t>
      </w:r>
      <w:r>
        <w:rPr>
          <w:rFonts w:ascii="Times New Roman" w:cs="Times New Roman" w:eastAsia="Times New Roman" w:hAnsi="Times New Roman"/>
          <w:sz w:val="18"/>
          <w:szCs w:val="18"/>
          <w:b w:val="1"/>
          <w:bCs w:val="1"/>
          <w:i w:val="1"/>
          <w:iCs w:val="1"/>
          <w:color w:val="auto"/>
        </w:rPr>
        <w:t>2024 Registration Rights Agreement</w:t>
      </w:r>
      <w:r>
        <w:rPr>
          <w:rFonts w:ascii="Times New Roman" w:cs="Times New Roman" w:eastAsia="Times New Roman" w:hAnsi="Times New Roman"/>
          <w:sz w:val="18"/>
          <w:szCs w:val="18"/>
          <w:color w:val="auto"/>
        </w:rPr>
        <w:t>”) with the investors party to the 2024 Purchase Agreement pursuant to which we agreed to register for resale the shares of common stock issued pursuant to the 2024 Purchase Agreement and the common stock underlying the PFWs and Series C Warrants (the “</w:t>
      </w:r>
      <w:r>
        <w:rPr>
          <w:rFonts w:ascii="Times New Roman" w:cs="Times New Roman" w:eastAsia="Times New Roman" w:hAnsi="Times New Roman"/>
          <w:sz w:val="18"/>
          <w:szCs w:val="18"/>
          <w:b w:val="1"/>
          <w:bCs w:val="1"/>
          <w:i w:val="1"/>
          <w:iCs w:val="1"/>
          <w:color w:val="auto"/>
        </w:rPr>
        <w:t>2024 Registrable Securities</w:t>
      </w:r>
      <w:r>
        <w:rPr>
          <w:rFonts w:ascii="Times New Roman" w:cs="Times New Roman" w:eastAsia="Times New Roman" w:hAnsi="Times New Roman"/>
          <w:sz w:val="18"/>
          <w:szCs w:val="18"/>
          <w:color w:val="auto"/>
        </w:rPr>
        <w:t>”). Under the 2024 Registration Rights Agreement, we agreed to file a registration statement covering the resale of the 2024 Registrable Securities no later than 30 days following the closing of the 2024 Private Placement, which we filed in November 2024.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Series A Warrants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2024 Private Placement, we amended certain of our outstanding Series A Warrants (as defined below), representing approximately 11,714,076 shares of our Common Stock (the “Amended Series A Warrants”), including (i) 299,180 Series A Warrants held by our directors and officers and (ii) 6,291,946 Series A Warrants held by holders of more than 5% of our common stock and affiliates, to (a) reduce the exercise price from $1.25 to $0.45 per share and (b) extend the termination date of such Amended Series A warrants to October 4,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Reduction in Salary of Chief Executive Officer</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Also, in connection with the closing of the 2024 Private Placement, Mr. Ho agreed to a further reduction in his annual base salary from $544,680 to $397,800, which will remain in effect until December 31,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2023 Private Placement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2023, we entered into a securities purchase agreement (the “</w:t>
      </w:r>
      <w:r>
        <w:rPr>
          <w:rFonts w:ascii="Times New Roman" w:cs="Times New Roman" w:eastAsia="Times New Roman" w:hAnsi="Times New Roman"/>
          <w:sz w:val="18"/>
          <w:szCs w:val="18"/>
          <w:b w:val="1"/>
          <w:bCs w:val="1"/>
          <w:i w:val="1"/>
          <w:iCs w:val="1"/>
          <w:color w:val="auto"/>
        </w:rPr>
        <w:t>2023 Purchase Agreement</w:t>
      </w:r>
      <w:r>
        <w:rPr>
          <w:rFonts w:ascii="Times New Roman" w:cs="Times New Roman" w:eastAsia="Times New Roman" w:hAnsi="Times New Roman"/>
          <w:sz w:val="18"/>
          <w:szCs w:val="18"/>
          <w:color w:val="auto"/>
        </w:rPr>
        <w:t>”) with multiple investors (the “</w:t>
      </w:r>
      <w:r>
        <w:rPr>
          <w:rFonts w:ascii="Times New Roman" w:cs="Times New Roman" w:eastAsia="Times New Roman" w:hAnsi="Times New Roman"/>
          <w:sz w:val="18"/>
          <w:szCs w:val="18"/>
          <w:b w:val="1"/>
          <w:bCs w:val="1"/>
          <w:i w:val="1"/>
          <w:iCs w:val="1"/>
          <w:color w:val="auto"/>
        </w:rPr>
        <w:t>2023 Private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pursuant to which we issued and sold an aggregate of 11,823,829 units comprising (i) (a) one share of common stock or (b) one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pre-funded warrant to purchase one share of common stock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in each case, (ii) one Series A ordinary warrant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share of common stock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(iii) one Series B ordinary warrant to purchase one share of common stock (“</w:t>
      </w:r>
      <w:r>
        <w:rPr>
          <w:rFonts w:ascii="Times New Roman" w:cs="Times New Roman" w:eastAsia="Times New Roman" w:hAnsi="Times New Roman"/>
          <w:sz w:val="18"/>
          <w:szCs w:val="18"/>
          <w:b w:val="1"/>
          <w:bCs w:val="1"/>
          <w:i w:val="1"/>
          <w:iCs w:val="1"/>
          <w:color w:val="auto"/>
        </w:rPr>
        <w:t>Series 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In connection with the 2023 Private Placement, we issued an aggregate of 11,249,588 shares of common stock, 574,241 Pre-Funded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11,823,829 Series A Warrants and 11,823,829 Series B Warrants. The Pre-Funded Warrants have an exercise price of $0.0001 per share,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exercisable immediately and are exercisable until the Pre-Funded Warrant is exercised in full. The Series A Warrants had an initial exercise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$1.25 per share, are exercisable immediately and were set to expire on June 13, 2025. In connection with the closing of the 2024 Private Placement,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issued the Amended Series A Warrants. The Series B Warrants have an exercise price of $1.50 per share, are exercisable immediately and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 on December 13, 2028. The units were sold at a purchase price of $1.22 per unit, for an aggregate initial net proceeds of $13.5 million,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deducting private placement fees and expenses. The closing of the 2023 Private Placement occurred on December 13, 2023.</w:t>
      </w:r>
    </w:p>
    <w:p>
      <w:pPr>
        <w:spacing w:after="0" w:line="20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number of shares of our common stock and warrants purchased by our directors and officers and the holders of more than 5% of our common stock and affiliates in the 2023 Private Placement.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3"/>
            <w:vMerge w:val="continue"/>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5380" w:type="dxa"/>
            <w:vAlign w:val="bottom"/>
            <w:gridSpan w:val="3"/>
            <w:vMerge w:val="continue"/>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AIGH Investment Partners, LP</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3,079,496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3,079,496</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3,079,496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3,756,985.12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AIGH Series</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800,452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800,452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800,452</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976,551.44</w:t>
            </w:r>
          </w:p>
        </w:tc>
        <w:tc>
          <w:tcPr>
            <w:tcW w:w="0" w:type="dxa"/>
            <w:vAlign w:val="bottom"/>
          </w:tcPr>
          <w:p>
            <w:pPr>
              <w:spacing w:after="0"/>
              <w:rPr>
                <w:sz w:val="1"/>
                <w:szCs w:val="1"/>
                <w:color w:val="auto"/>
              </w:rPr>
            </w:pPr>
          </w:p>
        </w:tc>
      </w:tr>
      <w:tr>
        <w:trPr>
          <w:trHeight w:val="198"/>
        </w:trPr>
        <w:tc>
          <w:tcPr>
            <w:tcW w:w="5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WVP Emerging Manager Onshore Fund, LLC – Optimized Equity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3"/>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Series</w:t>
            </w:r>
            <w:r>
              <w:rPr>
                <w:rFonts w:ascii="Times New Roman" w:cs="Times New Roman" w:eastAsia="Times New Roman" w:hAnsi="Times New Roman"/>
                <w:sz w:val="26"/>
                <w:szCs w:val="26"/>
                <w:color w:val="auto"/>
                <w:vertAlign w:val="superscript"/>
              </w:rPr>
              <w:t>(1)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218,413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266,463.86</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Hewlett Fund LP</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819,672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999,999.84</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999,999.84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Bios Clinical Opportunity Fund, LP</w:t>
            </w:r>
            <w:r>
              <w:rPr>
                <w:rFonts w:ascii="Times New Roman" w:cs="Times New Roman" w:eastAsia="Times New Roman" w:hAnsi="Times New Roman"/>
                <w:sz w:val="25"/>
                <w:szCs w:val="25"/>
                <w:color w:val="auto"/>
                <w:vertAlign w:val="superscript"/>
              </w:rPr>
              <w:t>(2)</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700,516.60</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Corinne Epperly</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Trishna Goswami</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4,999.56</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2,499.78</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Lamb</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1,999.58</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20,492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25,000.24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12,295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14,999.90</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102,459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102,459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124,999.98</w:t>
            </w:r>
          </w:p>
        </w:tc>
        <w:tc>
          <w:tcPr>
            <w:tcW w:w="0" w:type="dxa"/>
            <w:vAlign w:val="bottom"/>
          </w:tcPr>
          <w:p>
            <w:pPr>
              <w:spacing w:after="0"/>
              <w:rPr>
                <w:sz w:val="1"/>
                <w:szCs w:val="1"/>
                <w:color w:val="auto"/>
              </w:rPr>
            </w:pPr>
          </w:p>
        </w:tc>
      </w:tr>
      <w:tr>
        <w:trPr>
          <w:trHeight w:val="223"/>
        </w:trPr>
        <w:tc>
          <w:tcPr>
            <w:tcW w:w="53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6,126,638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574,241</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6,700,879</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6,700,879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8,175,015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40" w:right="320" w:hanging="424"/>
        <w:spacing w:after="0" w:line="269"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AIGH Investment Partners, LP, WVP Emerging Manager Onshore Fund, LLC – AIGH Series, and WVP Emerging Manager Onshore Fund, LLC – Optimized Equity Series are affiliates of AIGH Capital Management, LLC.</w:t>
      </w:r>
    </w:p>
    <w:p>
      <w:pPr>
        <w:ind w:left="540" w:hanging="424"/>
        <w:spacing w:after="0"/>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Bios Clinical Opportunity Fund, LP is an affiliate of Bios Equity Partners, LP.</w:t>
      </w:r>
    </w:p>
    <w:p>
      <w:pPr>
        <w:spacing w:after="0" w:line="21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color w:val="auto"/>
        </w:rPr>
        <w:t>Also in December 2023, we entered into a registration rights agreement (“</w:t>
      </w:r>
      <w:r>
        <w:rPr>
          <w:rFonts w:ascii="Times New Roman" w:cs="Times New Roman" w:eastAsia="Times New Roman" w:hAnsi="Times New Roman"/>
          <w:sz w:val="18"/>
          <w:szCs w:val="18"/>
          <w:b w:val="1"/>
          <w:bCs w:val="1"/>
          <w:i w:val="1"/>
          <w:iCs w:val="1"/>
          <w:color w:val="auto"/>
        </w:rPr>
        <w:t>2023 Registration Rights Agreement</w:t>
      </w:r>
      <w:r>
        <w:rPr>
          <w:rFonts w:ascii="Times New Roman" w:cs="Times New Roman" w:eastAsia="Times New Roman" w:hAnsi="Times New Roman"/>
          <w:sz w:val="18"/>
          <w:szCs w:val="18"/>
          <w:color w:val="auto"/>
        </w:rPr>
        <w:t>”) with the investors party to the 2023 Purchase Agreement pursuant to which we agreed to register for resale the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shares of common stock issued pursuant to the 2023 Purchase Agreement and the common stock underlying the Pre-Funded Warrants, Series A Warrants and Series B Warrants (the “</w:t>
      </w:r>
      <w:r>
        <w:rPr>
          <w:rFonts w:ascii="Times New Roman" w:cs="Times New Roman" w:eastAsia="Times New Roman" w:hAnsi="Times New Roman"/>
          <w:sz w:val="18"/>
          <w:szCs w:val="18"/>
          <w:b w:val="1"/>
          <w:bCs w:val="1"/>
          <w:i w:val="1"/>
          <w:iCs w:val="1"/>
          <w:color w:val="auto"/>
        </w:rPr>
        <w:t>2023 Registrable Securities</w:t>
      </w:r>
      <w:r>
        <w:rPr>
          <w:rFonts w:ascii="Times New Roman" w:cs="Times New Roman" w:eastAsia="Times New Roman" w:hAnsi="Times New Roman"/>
          <w:sz w:val="18"/>
          <w:szCs w:val="18"/>
          <w:color w:val="auto"/>
        </w:rPr>
        <w:t>”). Under the 2023 Registration Rights Agreement, we agreed to file a registration statement covering the resale of the 2023 Registrable Securities no later than 30 days following the closing of the 2023 Private Placement, which we filed in January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have entered or intend to enter, and intend to continue to enter, into separate indemnification agreements with our directors and certain of our executive officers, in addition to the indemnification provided for in our certificate of incorporation and bylaws. These indemnification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00"/>
          </w:cols>
          <w:pgMar w:left="320" w:top="455" w:right="7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for the 2026 Annual Meeting of Stockholders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provide that, for stockholder director nominations or other proposals to be considered at an annual meeting, the stockholder must give timely notice thereof in writing to our Secretary at IN8bio, Inc., 350 5th Avenue, Suite 5330, New York, New York 10118. To be timely for the 2026 Annual Meeting of Stockholders, a stockholder’s notice must be delivered to or mailed and received by our Secretary at our principal executive offices between January 8, 2026 and February 7,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date of that annual meeting of stockholders is more than 30 days prior to or more than 60 days after the anniversary of the immediately preceding year’s annual meeting, we must receive the required notice no earlier than the close of business on the 120th day prior to the meeting date and not later than the close of business on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w:t>
      </w:r>
    </w:p>
    <w:p>
      <w:pPr>
        <w:spacing w:after="0" w:line="18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intended to be presented at the 2026 Annual Meeting of Stockholders must be received by us not later than November 17, 2025 in order to be considered for inclusion in our proxy materials for that meeting. In addition, stockholders who intend to solicit proxies in support of director nominees other than our nominees must also comply with the additional requirements of Rule 14a-19(b)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IN8bio, Inc. Direct your written request to IN8bio, Inc., 350 5th Avenue, Suite 5330, New York, New York 10118, Attn: Patrick McCall, Secretary, or email ir@IN8bio.com. Stockholders who currently receive multiple copies of the Notices of Internet Availability of Proxy Materials at their addresses and would like to request “householding” of their communications should contact their brokers.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43255" cy="420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17, 2025</w:t>
      </w:r>
    </w:p>
    <w:p>
      <w:pPr>
        <w:spacing w:after="0" w:line="22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2024 is available free of charge at the SEC’s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Stockholders can also access this proxy statement and our Annual Report on Form 10-K at</w:t>
      </w:r>
      <w:r>
        <w:rPr>
          <w:rFonts w:ascii="Times New Roman" w:cs="Times New Roman" w:eastAsia="Times New Roman" w:hAnsi="Times New Roman"/>
          <w:sz w:val="18"/>
          <w:szCs w:val="18"/>
          <w:b w:val="1"/>
          <w:bCs w:val="1"/>
          <w:i w:val="1"/>
          <w:iCs w:val="1"/>
          <w:color w:val="auto"/>
        </w:rPr>
        <w:t xml:space="preserve"> investors.in8bio.com</w:t>
      </w:r>
      <w:r>
        <w:rPr>
          <w:rFonts w:ascii="Times New Roman" w:cs="Times New Roman" w:eastAsia="Times New Roman" w:hAnsi="Times New Roman"/>
          <w:sz w:val="18"/>
          <w:szCs w:val="18"/>
          <w:b w:val="1"/>
          <w:bCs w:val="1"/>
          <w:color w:val="auto"/>
        </w:rPr>
        <w:t>. A copy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Annual Report on Form 10-K for the fiscal year ended December 31, 2024 is also available without charge upon written request to our Secretary at IN8bio, Inc., 350 5th Avenue, Suite 5330, New York, New York 10118 or via email at ir@in8bio.com.</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5" w:lineRule="exact"/>
        <w:rPr>
          <w:sz w:val="20"/>
          <w:szCs w:val="20"/>
          <w:color w:val="auto"/>
        </w:rPr>
      </w:pPr>
    </w:p>
    <w:p>
      <w:pPr>
        <w:jc w:val="center"/>
        <w:ind w:left="460" w:right="2580"/>
        <w:spacing w:after="0" w:line="27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IN8BIO, INC.</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IN8bio, Inc. (the “Corporation”), a corporation organized and existing under and by virtue of the provisions of the General Corporation Law of the State of Delaware (the “General Corporation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1.  The name of this Corporation is IN8bio, Inc. The original name of this corporation was Incysus Therapeutics, Inc., and the date of filing the original Certificate of Incorporation of this corporation with the Secretary of State of the State of Delaware was May 7, 2018.</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2.  A resolution was duly adopted by the Board of Directors of the Corporation pursuant to Sections 141 and 242 of the General Corporation Law proposing this amendment of the Corporation’s Amended and Restated Certificate of Incorporation and declaring the advisability of this amendment of the Amended and Restated Certificate of Incorporation, which resolution setting forth the proposed amendment is as follows:</w:t>
      </w:r>
    </w:p>
    <w:p>
      <w:pPr>
        <w:spacing w:after="0" w:line="68" w:lineRule="exact"/>
        <w:rPr>
          <w:sz w:val="20"/>
          <w:szCs w:val="20"/>
          <w:color w:val="auto"/>
        </w:rPr>
      </w:pPr>
    </w:p>
    <w:p>
      <w:pPr>
        <w:ind w:left="560" w:right="440"/>
        <w:spacing w:after="0" w:line="282" w:lineRule="auto"/>
        <w:rPr>
          <w:sz w:val="20"/>
          <w:szCs w:val="20"/>
          <w:color w:val="auto"/>
        </w:rPr>
      </w:pPr>
      <w:r>
        <w:rPr>
          <w:rFonts w:ascii="Times New Roman" w:cs="Times New Roman" w:eastAsia="Times New Roman" w:hAnsi="Times New Roman"/>
          <w:sz w:val="18"/>
          <w:szCs w:val="18"/>
          <w:color w:val="auto"/>
        </w:rPr>
        <w:t>RESOLVED, that Article IV of the Amended and Restated Certificate of Incorporation be amended by inserting into Article IV immediately following Section C the following:</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Effective as of the effective time of [5:00] p.m., Eastern Time, on [Date] (the “Effective Time”), each [fifteen (15) / sixteen (16) / seventeen</w:t>
      </w:r>
    </w:p>
    <w:p>
      <w:pPr>
        <w:spacing w:after="0" w:line="31" w:lineRule="exact"/>
        <w:rPr>
          <w:sz w:val="20"/>
          <w:szCs w:val="20"/>
          <w:color w:val="auto"/>
        </w:rPr>
      </w:pPr>
    </w:p>
    <w:p>
      <w:pPr>
        <w:ind w:left="560" w:hanging="4"/>
        <w:spacing w:after="0" w:line="242" w:lineRule="auto"/>
        <w:tabs>
          <w:tab w:leader="none" w:pos="90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eighteen (18) / nineteen (19) / twenty (20) / twenty-one (21) / twenty-two (22) / twenty-three (23) / twenty-four (24) / twenty-five (25) / twenty-six (26) / twenty-seven (27) / twenty-eight (28) / twenty-nine (29) / thirty (30)]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or the authorized number of shares of Common Stock (the “Reverse Split”); provided, however, that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w:t>
      </w:r>
    </w:p>
    <w:p>
      <w:pPr>
        <w:spacing w:after="0" w:line="11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These amendments approve the combination of any whole number of shares of Common Stock between and including fifteen (15) and thirty</w:t>
      </w:r>
    </w:p>
    <w:p>
      <w:pPr>
        <w:spacing w:after="0" w:line="5" w:lineRule="exact"/>
        <w:rPr>
          <w:rFonts w:ascii="Times New Roman" w:cs="Times New Roman" w:eastAsia="Times New Roman" w:hAnsi="Times New Roman"/>
          <w:sz w:val="18"/>
          <w:szCs w:val="18"/>
          <w:color w:val="auto"/>
        </w:rPr>
      </w:pPr>
    </w:p>
    <w:p>
      <w:pPr>
        <w:ind w:left="540" w:right="20" w:firstLine="8"/>
        <w:spacing w:after="0" w:line="252" w:lineRule="auto"/>
        <w:tabs>
          <w:tab w:leader="none" w:pos="88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one (1) share of Common Stock. By these amendments, the stockholders would approve each of the alternate amendments proposed by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-1000125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3.  Thereafter, pursuant to a resolution of the Board of Directors, this Certificate of Amendment was submitted to the stockholders of the Corporation for their approval and was duly adopted at an annual meeting of the stockholders of the Corporation, in accordance with the provisions of Section 242 of the General Corporation Law of the State of Delaware.</w:t>
      </w:r>
    </w:p>
    <w:p>
      <w:pPr>
        <w:spacing w:after="0" w:line="17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 authorized officer this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202  .</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-7620</wp:posOffset>
            </wp:positionV>
            <wp:extent cx="15138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217170</wp:posOffset>
            </wp:positionV>
            <wp:extent cx="3385820" cy="2322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5820" cy="232283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 xml:space="preserve">  </w:t>
      </w:r>
      <w:r>
        <w:rPr>
          <w:sz w:val="1"/>
          <w:szCs w:val="1"/>
          <w:color w:val="auto"/>
        </w:rPr>
        <w:drawing>
          <wp:inline distT="0" distB="0" distL="0" distR="0">
            <wp:extent cx="857250" cy="37719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0" cy="377190"/>
                    </a:xfrm>
                    <a:prstGeom prst="rect">
                      <a:avLst/>
                    </a:prstGeom>
                    <a:noFill/>
                    <a:ln>
                      <a:noFill/>
                    </a:ln>
                  </pic:spPr>
                </pic:pic>
              </a:graphicData>
            </a:graphic>
          </wp:inline>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P.O. BOX 8016, CARY, NC 27512-9903</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86BA56"/>
        </w:rPr>
        <w:t>IN8bio,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3642995"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42995" cy="283210"/>
                    </a:xfrm>
                    <a:prstGeom prst="rect">
                      <a:avLst/>
                    </a:prstGeom>
                    <a:noFill/>
                  </pic:spPr>
                </pic:pic>
              </a:graphicData>
            </a:graphic>
          </wp:anchor>
        </w:drawing>
      </w:r>
    </w:p>
    <w:p>
      <w:pPr>
        <w:spacing w:after="0" w:line="1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5"/>
          <w:szCs w:val="25"/>
          <w:b w:val="1"/>
          <w:bCs w:val="1"/>
          <w:color w:val="FFFFFF"/>
        </w:rPr>
        <w:t>Annual Meeting of Stockholders</w:t>
      </w:r>
    </w:p>
    <w:p>
      <w:pPr>
        <w:spacing w:after="0" w:line="3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For Stockholders of record as of March 12, 2025</w:t>
      </w:r>
    </w:p>
    <w:p>
      <w:pPr>
        <w:spacing w:after="0" w:line="26" w:lineRule="exact"/>
        <w:rPr>
          <w:sz w:val="20"/>
          <w:szCs w:val="20"/>
          <w:color w:val="auto"/>
        </w:rPr>
      </w:pPr>
    </w:p>
    <w:p>
      <w:pPr>
        <w:jc w:val="center"/>
        <w:ind w:left="120" w:right="280"/>
        <w:spacing w:after="0" w:line="276" w:lineRule="auto"/>
        <w:rPr>
          <w:sz w:val="20"/>
          <w:szCs w:val="20"/>
          <w:color w:val="auto"/>
        </w:rPr>
      </w:pPr>
      <w:r>
        <w:rPr>
          <w:rFonts w:ascii="Times New Roman" w:cs="Times New Roman" w:eastAsia="Times New Roman" w:hAnsi="Times New Roman"/>
          <w:sz w:val="16"/>
          <w:szCs w:val="16"/>
          <w:b w:val="1"/>
          <w:bCs w:val="1"/>
          <w:color w:val="86BA56"/>
        </w:rPr>
        <w:t>Thursday, May 8, 2025 9:00 AM, Eastern Time Annual Meeting to be held live via the internet—please visit www.proxydocs.com/INAB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36429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PLEASE VOTE BY: 9:00 AM, Eastern Time, May 8,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86BA56"/>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Internet: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6085"/>
        </w:rPr>
        <w:t>www.proxypush.com/INAB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-85725</wp:posOffset>
            </wp:positionV>
            <wp:extent cx="368300" cy="316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8300" cy="316865"/>
                    </a:xfrm>
                    <a:prstGeom prst="rect">
                      <a:avLst/>
                    </a:prstGeom>
                    <a:noFill/>
                  </pic:spPr>
                </pic:pic>
              </a:graphicData>
            </a:graphic>
          </wp:anchor>
        </w:drawing>
      </w:r>
    </w:p>
    <w:p>
      <w:pPr>
        <w:ind w:left="60"/>
        <w:spacing w:after="0" w:line="229" w:lineRule="auto"/>
        <w:rPr>
          <w:sz w:val="20"/>
          <w:szCs w:val="20"/>
          <w:color w:val="auto"/>
        </w:rPr>
      </w:pPr>
      <w:r>
        <w:rPr>
          <w:rFonts w:ascii="Times New Roman" w:cs="Times New Roman" w:eastAsia="Times New Roman" w:hAnsi="Times New Roman"/>
          <w:sz w:val="13"/>
          <w:szCs w:val="13"/>
          <w:color w:val="auto"/>
        </w:rPr>
        <w:t>●    Cast your vote online</w:t>
      </w:r>
    </w:p>
    <w:p>
      <w:pPr>
        <w:ind w:left="60"/>
        <w:spacing w:after="0" w:line="21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Have your Proxy Card ready</w:t>
      </w:r>
    </w:p>
    <w:p>
      <w:pPr>
        <w:ind w:left="60"/>
        <w:spacing w:after="0"/>
        <w:rPr>
          <w:sz w:val="20"/>
          <w:szCs w:val="20"/>
          <w:color w:val="auto"/>
        </w:rPr>
      </w:pPr>
      <w:r>
        <w:rPr>
          <w:rFonts w:ascii="Times New Roman" w:cs="Times New Roman" w:eastAsia="Times New Roman" w:hAnsi="Times New Roman"/>
          <w:sz w:val="13"/>
          <w:szCs w:val="13"/>
          <w:color w:val="auto"/>
        </w:rPr>
        <w:t>●    Follow the simple instructions to record your vote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Phone: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6085"/>
        </w:rPr>
        <w:t>1-866-601-1589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-97155</wp:posOffset>
            </wp:positionV>
            <wp:extent cx="248285" cy="36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8285" cy="3600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3"/>
          <w:szCs w:val="13"/>
          <w:color w:val="auto"/>
        </w:rPr>
        <w:t>●    Use any touch-tone telephone</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Have your Proxy Card ready</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2540</wp:posOffset>
            </wp:positionV>
            <wp:extent cx="351155" cy="351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1155" cy="3511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Mail:</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Mark, sign and date your Proxy Card</w:t>
      </w:r>
    </w:p>
    <w:p>
      <w:pPr>
        <w:ind w:left="60"/>
        <w:spacing w:after="0"/>
        <w:rPr>
          <w:sz w:val="20"/>
          <w:szCs w:val="20"/>
          <w:color w:val="auto"/>
        </w:rPr>
      </w:pPr>
      <w:r>
        <w:rPr>
          <w:rFonts w:ascii="Times New Roman" w:cs="Times New Roman" w:eastAsia="Times New Roman" w:hAnsi="Times New Roman"/>
          <w:sz w:val="12"/>
          <w:szCs w:val="12"/>
          <w:color w:val="auto"/>
        </w:rPr>
        <w:t>●    Fold and return your Proxy Card in the postage-paid envelope provided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“Alexa, Vote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-65405</wp:posOffset>
            </wp:positionV>
            <wp:extent cx="342900" cy="360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600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3"/>
          <w:szCs w:val="13"/>
          <w:color w:val="auto"/>
        </w:rPr>
        <w:t>●    Open Alexa app and browse skills</w:t>
      </w:r>
    </w:p>
    <w:p>
      <w:pPr>
        <w:ind w:left="60"/>
        <w:spacing w:after="0" w:line="216" w:lineRule="auto"/>
        <w:rPr>
          <w:sz w:val="20"/>
          <w:szCs w:val="20"/>
          <w:color w:val="auto"/>
        </w:rPr>
      </w:pPr>
      <w:r>
        <w:rPr>
          <w:rFonts w:ascii="Times New Roman" w:cs="Times New Roman" w:eastAsia="Times New Roman" w:hAnsi="Times New Roman"/>
          <w:sz w:val="13"/>
          <w:szCs w:val="13"/>
          <w:color w:val="auto"/>
        </w:rPr>
        <w:t>●    Search “Vote my Proxy”</w:t>
      </w:r>
    </w:p>
    <w:p>
      <w:pPr>
        <w:ind w:left="60"/>
        <w:spacing w:after="0"/>
        <w:rPr>
          <w:sz w:val="20"/>
          <w:szCs w:val="20"/>
          <w:color w:val="auto"/>
        </w:rPr>
      </w:pPr>
      <w:r>
        <w:rPr>
          <w:rFonts w:ascii="Times New Roman" w:cs="Times New Roman" w:eastAsia="Times New Roman" w:hAnsi="Times New Roman"/>
          <w:sz w:val="13"/>
          <w:szCs w:val="13"/>
          <w:color w:val="auto"/>
        </w:rPr>
        <w:t>●    Enable skill</w:t>
      </w:r>
    </w:p>
    <w:p>
      <w:pPr>
        <w:spacing w:after="0" w:line="156" w:lineRule="exact"/>
        <w:rPr>
          <w:sz w:val="20"/>
          <w:szCs w:val="20"/>
          <w:color w:val="auto"/>
        </w:rPr>
      </w:pPr>
    </w:p>
    <w:p>
      <w:pPr>
        <w:sectPr>
          <w:pgSz w:w="11900" w:h="16838" w:orient="portrait"/>
          <w:cols w:equalWidth="0" w:num="2">
            <w:col w:w="6120" w:space="720"/>
            <w:col w:w="4300"/>
          </w:cols>
          <w:pgMar w:left="320" w:top="455" w:right="439" w:bottom="1440" w:gutter="0" w:footer="0" w:header="0"/>
          <w:type w:val="continuous"/>
        </w:sectPr>
      </w:pPr>
    </w:p>
    <w:p>
      <w:pPr>
        <w:ind w:left="120" w:right="200"/>
        <w:spacing w:after="0" w:line="236" w:lineRule="auto"/>
        <w:rPr>
          <w:sz w:val="20"/>
          <w:szCs w:val="20"/>
          <w:color w:val="auto"/>
        </w:rPr>
      </w:pPr>
      <w:r>
        <w:rPr>
          <w:rFonts w:ascii="Times New Roman" w:cs="Times New Roman" w:eastAsia="Times New Roman" w:hAnsi="Times New Roman"/>
          <w:sz w:val="14"/>
          <w:szCs w:val="14"/>
          <w:color w:val="auto"/>
        </w:rPr>
        <w:t>The undersigned hereby appoints Alan Roemer and William Ho (the “Named Proxies”), and each or either of them, as the true and lawful attorneys of the undersigned, with full power of substitution and revocation, and authorizes them, and each of them, to vote all the shares of capital stock of IN8bio,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69" w:lineRule="exact"/>
        <w:rPr>
          <w:sz w:val="20"/>
          <w:szCs w:val="20"/>
          <w:color w:val="auto"/>
        </w:rPr>
      </w:pPr>
    </w:p>
    <w:p>
      <w:pPr>
        <w:ind w:left="120" w:right="280"/>
        <w:spacing w:after="0" w:line="241" w:lineRule="auto"/>
        <w:rPr>
          <w:sz w:val="20"/>
          <w:szCs w:val="20"/>
          <w:color w:val="auto"/>
        </w:rPr>
      </w:pPr>
      <w:r>
        <w:rPr>
          <w:rFonts w:ascii="Times New Roman" w:cs="Times New Roman" w:eastAsia="Times New Roman" w:hAnsi="Times New Roman"/>
          <w:sz w:val="14"/>
          <w:szCs w:val="14"/>
          <w:color w:val="auto"/>
        </w:rPr>
        <w:t>THE SHARES REPRESENTED BY THIS PROXY WILL BE VOTED AS DIRECTED OR, IF NO DIRECTION IS GIVEN, SHARES WILL BE VOTED FOR ALL NOMINEES FOR DIRECTOR IN PROPOSAL 1 AND FOR EACH OF PROPOSAL 2 AND PROPOSAL 3.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9"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PLEASE BE SURE TO SIGN AND DATE THIS PROXY CARD AND MARK ON THE REVERSE SIDE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BetaNXT, Inc. or its affiliates. All Rights Reserved</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86BA56"/>
        </w:rPr>
        <w:t>IN8bio,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857250"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0" cy="3771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491490</wp:posOffset>
            </wp:positionV>
            <wp:extent cx="1714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Please make your marks like this:</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THE BOARD OF DIRECTORS RECOMMENDS A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ALL NOMINEES FOR DIRECTOR IN PROPOSAL 1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OF PROPOSAL 2 AND PROPOSAL 3</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369050"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69050" cy="265430"/>
                    </a:xfrm>
                    <a:prstGeom prst="rect">
                      <a:avLst/>
                    </a:prstGeom>
                    <a:noFill/>
                  </pic:spPr>
                </pic:pic>
              </a:graphicData>
            </a:graphic>
          </wp:anchor>
        </w:drawing>
      </w:r>
    </w:p>
    <w:p>
      <w:pPr>
        <w:spacing w:after="0" w:line="22" w:lineRule="exact"/>
        <w:rPr>
          <w:sz w:val="20"/>
          <w:szCs w:val="20"/>
          <w:color w:val="auto"/>
        </w:rPr>
      </w:pPr>
    </w:p>
    <w:p>
      <w:pPr>
        <w:ind w:left="440" w:right="360" w:hanging="324"/>
        <w:spacing w:after="0" w:line="261" w:lineRule="auto"/>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three Class I directors named in the attached proxy statement, each to serve until our 2028 Annual Meeting of Stockholders.</w:t>
      </w:r>
    </w:p>
    <w:p>
      <w:pPr>
        <w:spacing w:after="0" w:line="203"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1.01 Emily Fairbairn</w:t>
      </w:r>
    </w:p>
    <w:p>
      <w:pPr>
        <w:spacing w:after="0" w:line="13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 Jeremy Graff</w:t>
      </w:r>
    </w:p>
    <w:p>
      <w:pPr>
        <w:spacing w:after="0" w:line="13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 Luba Greenwood</w:t>
      </w:r>
    </w:p>
    <w:p>
      <w:pPr>
        <w:spacing w:after="0" w:line="352" w:lineRule="exact"/>
        <w:rPr>
          <w:sz w:val="20"/>
          <w:szCs w:val="20"/>
          <w:color w:val="auto"/>
        </w:rPr>
      </w:pPr>
    </w:p>
    <w:p>
      <w:pPr>
        <w:ind w:left="440" w:right="320" w:hanging="323"/>
        <w:spacing w:after="0" w:line="261" w:lineRule="auto"/>
        <w:tabs>
          <w:tab w:leader="none" w:pos="420" w:val="left"/>
        </w:tabs>
        <w:rPr>
          <w:sz w:val="20"/>
          <w:szCs w:val="20"/>
          <w:color w:val="auto"/>
        </w:rPr>
      </w:pPr>
      <w:r>
        <w:rPr>
          <w:rFonts w:ascii="Times New Roman" w:cs="Times New Roman" w:eastAsia="Times New Roman" w:hAnsi="Times New Roman"/>
          <w:sz w:val="14"/>
          <w:szCs w:val="14"/>
          <w:color w:val="auto"/>
        </w:rPr>
        <w:t>2. </w:t>
        <w:tab/>
        <w:t>To ratify the selection of CohnReznick LLP as our independent registered public accounting firm for the fiscal year ending December 31, 2025.</w:t>
      </w:r>
    </w:p>
    <w:p>
      <w:pPr>
        <w:spacing w:after="0" w:line="68" w:lineRule="exact"/>
        <w:rPr>
          <w:sz w:val="20"/>
          <w:szCs w:val="20"/>
          <w:color w:val="auto"/>
        </w:rPr>
      </w:pPr>
    </w:p>
    <w:p>
      <w:pPr>
        <w:ind w:left="440" w:hanging="323"/>
        <w:spacing w:after="0" w:line="241" w:lineRule="auto"/>
        <w:tabs>
          <w:tab w:leader="none" w:pos="420" w:val="left"/>
        </w:tabs>
        <w:rPr>
          <w:sz w:val="20"/>
          <w:szCs w:val="20"/>
          <w:color w:val="auto"/>
        </w:rPr>
      </w:pPr>
      <w:r>
        <w:rPr>
          <w:rFonts w:ascii="Times New Roman" w:cs="Times New Roman" w:eastAsia="Times New Roman" w:hAnsi="Times New Roman"/>
          <w:sz w:val="14"/>
          <w:szCs w:val="14"/>
          <w:color w:val="auto"/>
        </w:rPr>
        <w:t>3. </w:t>
        <w:tab/>
        <w:t>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Borders>
              <w:right w:val="single" w:sz="8" w:color="585858"/>
            </w:tcBorders>
          </w:tcPr>
          <w:p>
            <w:pPr>
              <w:spacing w:after="0"/>
              <w:rPr>
                <w:sz w:val="11"/>
                <w:szCs w:val="11"/>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BOARD OF</w:t>
            </w:r>
          </w:p>
        </w:tc>
      </w:tr>
      <w:tr>
        <w:trPr>
          <w:trHeight w:val="122"/>
        </w:trPr>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Borders>
              <w:right w:val="single" w:sz="8" w:color="585858"/>
            </w:tcBorders>
          </w:tcPr>
          <w:p>
            <w:pPr>
              <w:spacing w:after="0"/>
              <w:rPr>
                <w:sz w:val="10"/>
                <w:szCs w:val="10"/>
                <w:color w:val="auto"/>
              </w:rPr>
            </w:pPr>
          </w:p>
        </w:tc>
        <w:tc>
          <w:tcPr>
            <w:tcW w:w="940" w:type="dxa"/>
            <w:vAlign w:val="bottom"/>
          </w:tcPr>
          <w:p>
            <w:pPr>
              <w:jc w:val="center"/>
              <w:ind w:left="75"/>
              <w:spacing w:after="0" w:line="122" w:lineRule="exact"/>
              <w:rPr>
                <w:sz w:val="20"/>
                <w:szCs w:val="20"/>
                <w:color w:val="auto"/>
              </w:rPr>
            </w:pPr>
            <w:r>
              <w:rPr>
                <w:rFonts w:ascii="Times New Roman" w:cs="Times New Roman" w:eastAsia="Times New Roman" w:hAnsi="Times New Roman"/>
                <w:sz w:val="11"/>
                <w:szCs w:val="11"/>
                <w:b w:val="1"/>
                <w:bCs w:val="1"/>
                <w:color w:val="auto"/>
                <w:w w:val="97"/>
              </w:rPr>
              <w:t>DIRECTORS</w:t>
            </w:r>
          </w:p>
        </w:tc>
      </w:tr>
      <w:tr>
        <w:trPr>
          <w:trHeight w:val="142"/>
        </w:trPr>
        <w:tc>
          <w:tcPr>
            <w:tcW w:w="380" w:type="dxa"/>
            <w:vAlign w:val="bottom"/>
          </w:tcPr>
          <w:p>
            <w:pPr>
              <w:spacing w:after="0"/>
              <w:rPr>
                <w:sz w:val="12"/>
                <w:szCs w:val="12"/>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YOUR VOTE</w:t>
            </w:r>
          </w:p>
        </w:tc>
        <w:tc>
          <w:tcPr>
            <w:tcW w:w="660" w:type="dxa"/>
            <w:vAlign w:val="bottom"/>
            <w:tcBorders>
              <w:right w:val="single" w:sz="8" w:color="585858"/>
            </w:tcBorders>
          </w:tcPr>
          <w:p>
            <w:pPr>
              <w:spacing w:after="0"/>
              <w:rPr>
                <w:sz w:val="12"/>
                <w:szCs w:val="12"/>
                <w:color w:val="auto"/>
              </w:rPr>
            </w:pP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w w:val="97"/>
              </w:rPr>
              <w:t>RECOMMENDS</w:t>
            </w:r>
          </w:p>
        </w:tc>
      </w:tr>
      <w:tr>
        <w:trPr>
          <w:trHeight w:val="576"/>
        </w:trPr>
        <w:tc>
          <w:tcPr>
            <w:tcW w:w="3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4"/>
              </w:rPr>
              <w:t>FOR</w:t>
            </w: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7"/>
              </w:rPr>
              <w:t>WITHHOLD</w:t>
            </w:r>
          </w:p>
        </w:tc>
        <w:tc>
          <w:tcPr>
            <w:tcW w:w="660" w:type="dxa"/>
            <w:vAlign w:val="bottom"/>
            <w:tcBorders>
              <w:right w:val="single" w:sz="8" w:color="585858"/>
            </w:tcBorders>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1"/>
                <w:szCs w:val="21"/>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83"/>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4"/>
                <w:szCs w:val="24"/>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97"/>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4"/>
                <w:szCs w:val="24"/>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85"/>
        </w:trPr>
        <w:tc>
          <w:tcPr>
            <w:tcW w:w="3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4"/>
              </w:rPr>
              <w:t>FOR</w:t>
            </w: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9"/>
              </w:rPr>
              <w:t>AGAINST</w:t>
            </w:r>
          </w:p>
        </w:tc>
        <w:tc>
          <w:tcPr>
            <w:tcW w:w="660" w:type="dxa"/>
            <w:vAlign w:val="bottom"/>
            <w:tcBorders>
              <w:right w:val="single" w:sz="8" w:color="585858"/>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ABSTAIN</w:t>
            </w:r>
          </w:p>
        </w:tc>
        <w:tc>
          <w:tcPr>
            <w:tcW w:w="940" w:type="dxa"/>
            <w:vAlign w:val="bottom"/>
          </w:tcPr>
          <w:p>
            <w:pPr>
              <w:spacing w:after="0"/>
              <w:rPr>
                <w:sz w:val="24"/>
                <w:szCs w:val="24"/>
                <w:color w:val="auto"/>
              </w:rPr>
            </w:pPr>
          </w:p>
        </w:tc>
      </w:tr>
      <w:tr>
        <w:trPr>
          <w:trHeight w:val="242"/>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405"/>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44"/>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Borders>
              <w:right w:val="single" w:sz="8" w:color="585858"/>
            </w:tcBorders>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-1585595</wp:posOffset>
            </wp:positionV>
            <wp:extent cx="300355" cy="334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0355" cy="33464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7820" w:space="260"/>
            <w:col w:w="3060"/>
          </w:cols>
          <w:pgMar w:left="320" w:top="455" w:right="439" w:bottom="1440" w:gutter="0" w:footer="0" w:header="0"/>
          <w:type w:val="continuous"/>
        </w:sectPr>
      </w:pPr>
    </w:p>
    <w:p>
      <w:pPr>
        <w:spacing w:after="0" w:line="110" w:lineRule="exact"/>
        <w:rPr>
          <w:sz w:val="20"/>
          <w:szCs w:val="20"/>
          <w:color w:val="auto"/>
        </w:rPr>
      </w:pPr>
    </w:p>
    <w:p>
      <w:pPr>
        <w:ind w:left="880" w:right="442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You must register to attend the meeting online and/or participate at www.proxydocs.com/INAB </w:t>
      </w:r>
      <w:r>
        <w:rPr>
          <w:rFonts w:ascii="Times New Roman" w:cs="Times New Roman" w:eastAsia="Times New Roman" w:hAnsi="Times New Roman"/>
          <w:sz w:val="14"/>
          <w:szCs w:val="14"/>
          <w:color w:val="auto"/>
        </w:rPr>
        <w:t>Authorized Signatures - Must be completed for your instructions to be executed.</w:t>
      </w:r>
    </w:p>
    <w:p>
      <w:pPr>
        <w:spacing w:after="0" w:line="1" w:lineRule="exact"/>
        <w:rPr>
          <w:sz w:val="20"/>
          <w:szCs w:val="20"/>
          <w:color w:val="auto"/>
        </w:rPr>
      </w:pPr>
    </w:p>
    <w:p>
      <w:pPr>
        <w:ind w:left="880" w:right="860"/>
        <w:spacing w:after="0" w:line="239" w:lineRule="auto"/>
        <w:rPr>
          <w:sz w:val="20"/>
          <w:szCs w:val="20"/>
          <w:color w:val="auto"/>
        </w:rPr>
      </w:pPr>
      <w:r>
        <w:rPr>
          <w:rFonts w:ascii="Times New Roman" w:cs="Times New Roman" w:eastAsia="Times New Roman" w:hAnsi="Times New Roman"/>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73" w:lineRule="exact"/>
        <w:rPr>
          <w:sz w:val="20"/>
          <w:szCs w:val="20"/>
          <w:color w:val="auto"/>
        </w:rPr>
      </w:pPr>
    </w:p>
    <w:p>
      <w:pPr>
        <w:ind w:left="120"/>
        <w:spacing w:after="0"/>
        <w:tabs>
          <w:tab w:leader="none" w:pos="4880" w:val="left"/>
          <w:tab w:leader="none" w:pos="5700" w:val="left"/>
          <w:tab w:leader="none" w:pos="10400" w:val="left"/>
        </w:tabs>
        <w:rPr>
          <w:sz w:val="20"/>
          <w:szCs w:val="20"/>
          <w:color w:val="auto"/>
        </w:rPr>
      </w:pPr>
      <w:r>
        <w:rPr>
          <w:rFonts w:ascii="Times New Roman" w:cs="Times New Roman" w:eastAsia="Times New Roman" w:hAnsi="Times New Roman"/>
          <w:sz w:val="14"/>
          <w:szCs w:val="14"/>
          <w:color w:val="auto"/>
        </w:rPr>
        <w:t>Signature (and Title if applicable)</w:t>
      </w:r>
      <w:r>
        <w:rPr>
          <w:sz w:val="20"/>
          <w:szCs w:val="20"/>
          <w:color w:val="auto"/>
        </w:rPr>
        <w:tab/>
      </w:r>
      <w:r>
        <w:rPr>
          <w:rFonts w:ascii="Times New Roman" w:cs="Times New Roman" w:eastAsia="Times New Roman" w:hAnsi="Times New Roman"/>
          <w:sz w:val="14"/>
          <w:szCs w:val="14"/>
          <w:color w:val="auto"/>
        </w:rPr>
        <w:t xml:space="preserve">Date       </w:t>
        <w:tab/>
        <w:t>  Signature (if held jointly)</w:t>
      </w:r>
      <w:r>
        <w:rPr>
          <w:sz w:val="20"/>
          <w:szCs w:val="20"/>
          <w:color w:val="auto"/>
        </w:rPr>
        <w:tab/>
      </w:r>
      <w:r>
        <w:rPr>
          <w:rFonts w:ascii="Times New Roman" w:cs="Times New Roman" w:eastAsia="Times New Roman" w:hAnsi="Times New Roman"/>
          <w:sz w:val="14"/>
          <w:szCs w:val="14"/>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3"/>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Roman"/>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3"/>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3"/>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2"/>
    </w:lvl>
  </w:abstractNum>
  <w:abstractNum w:abstractNumId="45">
    <w:nsid w:val="579478FE"/>
    <w:multiLevelType w:val="hybridMultilevel"/>
    <w:lvl w:ilvl="0">
      <w:lvlJc w:val="left"/>
      <w:lvlText w:val="(%1)"/>
      <w:numFmt w:val="decimal"/>
      <w:start w:val="6"/>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lvl w:ilvl="1">
      <w:lvlJc w:val="left"/>
      <w:lvlText w:val="(%2)"/>
      <w:numFmt w:val="decimal"/>
      <w:start w:val="17"/>
    </w:lvl>
  </w:abstractNum>
  <w:abstractNum w:abstractNumId="51">
    <w:nsid w:val="12E685FB"/>
    <w:multiLevelType w:val="hybridMultilevel"/>
    <w:lvl w:ilvl="0">
      <w:lvlJc w:val="left"/>
      <w:lvlText w:val="%1"/>
      <w:numFmt w:val="decimal"/>
      <w:start w:val="1"/>
    </w:lvl>
    <w:lvl w:ilvl="1">
      <w:lvlJc w:val="left"/>
      <w:lvlText w:val="(%2)"/>
      <w:numFmt w:val="decimal"/>
      <w:start w:val="30"/>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2025-03-17T15:19:56Z</dcterms:created>
  <dcterms:modified xsi:type="dcterms:W3CDTF">2025-03-17T15:19:56Z</dcterms:modified>
</cp:coreProperties>
</file>