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nab-20241231.htm"/>
      <w:bookmarkStart w:id="1" w:name="ksinab20241231"/>
      <w:bookmarkEnd w:id="0"/>
      <w:bookmarkEnd w:id="1"/>
      <w:r>
        <w:rPr/>
        <w:t> </w:t>
      </w:r>
    </w:p>
    <w:p>
      <w:pPr>
        <w:pStyle w:val="TextBody"/>
        <w:pBdr>
          <w:bottom w:val="double" w:sz="4" w:space="1" w:color="000000"/>
        </w:pBdr>
        <w:bidi w:val="0"/>
        <w:jc w:val="center"/>
        <w:rPr>
          <w:rFonts w:ascii="Times New Roman" w:hAnsi="Times New Roman"/>
          <w:sz w:val="20"/>
        </w:rPr>
      </w:pPr>
      <w:r>
        <w:rPr>
          <w:rFonts w:ascii="Times New Roman" w:hAnsi="Times New Roman"/>
          <w:b/>
          <w:color w:val="000000"/>
          <w:sz w:val="2"/>
        </w:rPr>
        <w:t>tm</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2024</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001-39692</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IN8BIO,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692" w:type="dxa"/>
        <w:jc w:val="left"/>
        <w:tblInd w:w="0" w:type="dxa"/>
        <w:tblLayout w:type="fixed"/>
        <w:tblCellMar>
          <w:top w:w="28" w:type="dxa"/>
          <w:left w:w="28" w:type="dxa"/>
          <w:bottom w:w="28" w:type="dxa"/>
          <w:right w:w="28" w:type="dxa"/>
        </w:tblCellMar>
      </w:tblPr>
      <w:tblGrid>
        <w:gridCol w:w="2446"/>
        <w:gridCol w:w="1246"/>
      </w:tblGrid>
      <w:tr>
        <w:trPr/>
        <w:tc>
          <w:tcPr>
            <w:tcW w:w="24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82-5462585</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4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350 5th Avenue, Suite 5330</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New York, New York</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10118</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(646) 600-6438</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15(d) of the Act. Yes ☐ No</w:t>
      </w:r>
      <w:r>
        <w:rPr>
          <w:rFonts w:ascii="Times New Roman" w:hAnsi="Times New Roman"/>
          <w:color w:val="000000"/>
          <w:sz w:val="20"/>
        </w:rPr>
        <w:t xml:space="preserve"> ☒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The aggregate market value of the voting and non-voting common equity held by non-affiliates of the Registrant, based on the closing price of $0.85 per share of the Registrant’s common stock as reported on the Nasdaq Stock Market LLC on June 28, 2024, the last business day of the Registrant’s most recently completed second quarter was $29.0</w:t>
      </w:r>
      <w:r>
        <w:rPr>
          <w:rFonts w:ascii="Times New Roman" w:hAnsi="Times New Roman"/>
          <w:color w:val="000000"/>
          <w:sz w:val="20"/>
        </w:rPr>
        <w:t xml:space="preserve"> </w:t>
      </w:r>
      <w:r>
        <w:rPr>
          <w:rFonts w:ascii="Times New Roman" w:hAnsi="Times New Roman"/>
          <w:color w:val="000000"/>
          <w:sz w:val="16"/>
        </w:rPr>
        <w:t>million. This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pStyle w:val="TextBody"/>
        <w:bidi w:val="0"/>
        <w:spacing w:before="40" w:after="283"/>
        <w:jc w:val="both"/>
        <w:rPr>
          <w:rFonts w:ascii="Times New Roman" w:hAnsi="Times New Roman"/>
          <w:sz w:val="20"/>
        </w:rPr>
      </w:pPr>
      <w:r>
        <w:rPr>
          <w:rFonts w:ascii="Times New Roman" w:hAnsi="Times New Roman"/>
          <w:color w:val="000000"/>
          <w:sz w:val="16"/>
        </w:rPr>
        <w:t>The number of shares of Registrant’s Common Stock outstanding as of March 10, 2025 was 81,258,763.</w:t>
      </w:r>
      <w:r>
        <w:rPr>
          <w:rFonts w:ascii="Times New Roman" w:hAnsi="Times New Roman"/>
          <w:color w:val="000000"/>
          <w:sz w:val="20"/>
        </w:rPr>
        <w:t xml:space="preserve"> </w:t>
      </w:r>
    </w:p>
    <w:p>
      <w:pPr>
        <w:pStyle w:val="TextBody"/>
        <w:bidi w:val="0"/>
        <w:spacing w:before="40" w:after="40"/>
        <w:jc w:val="center"/>
        <w:rPr>
          <w:rFonts w:ascii="Times New Roman" w:hAnsi="Times New Roman"/>
          <w:sz w:val="20"/>
        </w:rPr>
      </w:pPr>
      <w:r>
        <w:rPr>
          <w:rFonts w:ascii="Times New Roman" w:hAnsi="Times New Roman"/>
          <w:b/>
          <w:color w:val="000000"/>
          <w:sz w:val="17"/>
        </w:rPr>
        <w:t>DOCUMENTS INCORPORATED BY REFERENCE</w:t>
      </w:r>
      <w:r>
        <w:rPr>
          <w:rFonts w:ascii="Times New Roman" w:hAnsi="Times New Roman"/>
          <w:color w:val="000000"/>
          <w:sz w:val="20"/>
        </w:rPr>
        <w:t xml:space="preserve"> </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Portions of the definitive proxy statement for the 2025 Annual Meeting of Stockholders of the Registrant, or the Proxy Statement, are incorporated by reference into Part III of this Annual Report on Form 10-K. The Proxy Statement will be filed with the Securities and Exchange Commission within 120 days of the Registrant’s fiscal year ended December 31, 2024.</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left"/>
        <w:rPr>
          <w:rFonts w:ascii="Arial" w:hAnsi="Arial"/>
          <w:color w:val="000000"/>
          <w:sz w:val="14"/>
        </w:rPr>
      </w:pPr>
      <w:r>
        <w:rPr>
          <w:rFonts w:ascii="Arial" w:hAnsi="Arial"/>
          <w:color w:val="000000"/>
          <w:sz w:val="14"/>
        </w:rPr>
        <w:t>261071999 v3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181818"/>
                <w:sz w:val="20"/>
              </w:rPr>
            </w:pPr>
            <w:r>
              <w:rPr>
                <w:rFonts w:ascii="Times New Roman" w:hAnsi="Times New Roman"/>
                <w:color w:val="181818"/>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 this report, unless otherwise stated or the context otherwise indicates, the terms “IN8bio, Inc.,” “the company,” “we,” “us,” “our” and similar references refer to IN8bio, Inc. “IN8BIO,” “INEIGHTBIO,” “Cancer Zero,” the IN8BIO logo, DeltEx and other trademarks, trade names or service marks of IN8bio, Inc. appearing in this Annual Report are the property of IN8bio, Inc. All other trademarks, trade names and service marks appearing in this Annual Report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 The images found on pages 7, 9, 13, 19, 24, 26 and 27 of this Annual Report were created with biorender.com.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Annual Report on Form 10-K, or this Annual Report, contains statements that may constitute “forward-looking statements” within the meaning of Section 27A of the Securities Act of 1933, as amended, or the Securities Act, and Section 21E of the Securities Exchange Act of 1934, as amended, or the Exchange Act, that involve substantial risks and uncertainties. All statements contained in this Annual Report on Form 10-K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 These forward-looking statements include statements concerning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mitigate the substantial doubt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timing, progress and results of our current and future preclinical studies and clinical trials and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take advantage of abbreviated regulatory pathways for any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acquire or in-license additional product candidates on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and establish collaborations or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approval of our current and future product candidates, including our ability to file investigational new drug applications to commence additional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potential market size and the rate and degree of market acceptance of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continued reliance on third parties to conduct clinical trials of our product candidates, and for the manufacture of our product candidates for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intellectual property position and the duration of our patent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our intellectual property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government and third-party payor coverage and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in the markets we serve;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government operations, laws and regulations and liabilities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hire additional personnel and our ability to attract and retain such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relating to our competitors and our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impact of bank closures, international tariffs, public health crises and geopolitical tensions, such as the Russia-Ukraine and Israel-Hamas wars, on our business, our industry and the economy;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contribute to eliminate cancer and achieve cancer-free status in any or all patients;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that may impact our financial results.</w:t>
      </w:r>
    </w:p>
    <w:p>
      <w:pPr>
        <w:pStyle w:val="TextBody"/>
        <w:bidi w:val="0"/>
        <w:spacing w:before="120" w:after="283"/>
        <w:jc w:val="both"/>
        <w:rPr>
          <w:color w:val="000000"/>
        </w:rPr>
      </w:pPr>
      <w:r>
        <w:rPr>
          <w:color w:val="000000"/>
        </w:rPr>
        <w:t>​</w:t>
      </w:r>
      <w:r>
        <w:rPr>
          <w:rFonts w:ascii="Times New Roman" w:hAnsi="Times New Roman"/>
          <w:color w:val="000000"/>
          <w:sz w:val="20"/>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A summary of selected risks associated with our business are set forth below.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Annual Report.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160" w:after="283"/>
        <w:jc w:val="left"/>
        <w:rPr>
          <w:rFonts w:ascii="Times New Roman" w:hAnsi="Times New Roman"/>
          <w:sz w:val="20"/>
        </w:rPr>
      </w:pPr>
      <w:bookmarkStart w:id="3" w:name="item_1_business"/>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We are a clinical-stage biopharmaceutical company focused on the discovery, development and commercialization of gamma-delta T cell product candidates and T cell engagers ("TCEs") for cancer and autoimmune diseases. Gamma-delta T cells are a specialized population of T cells that possess unique properties. They are naturally occurring immune cells that can intrinsically regulate immune responses and to differentiate between healthy and diseased tissue. These cells serve as a functional bridge between innate and adaptive immunity to contribute to direct tumor-killing, as well as immune cell recruitment and activation to drive deeper and more comprehensive immune responses. Multiple studies have demonstrated the robust tumor-killing ability of gamma-delta T cells and superior outcomes in cancer patients demonstrating elevated levels of gamma-delta T cells. Recently published literature demonstrated that gamma-delta T cells are predictive of better survival outcomes even in melanoma patients being treated with checkpoint inhibitors and in leukemia patients being treated with chimeric antigen receptor T cell (“CAR-T”) therapies. The pivotal role of gamma-delta T cells in immune function and activation against diseases such as cancer, underscores their therapeutic potential across a wide range of solid and hematologic cancers.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We develop </w:t>
      </w:r>
      <w:r>
        <w:rPr>
          <w:rFonts w:ascii="Times New Roman" w:hAnsi="Times New Roman"/>
          <w:i/>
          <w:color w:val="000000"/>
          <w:sz w:val="20"/>
        </w:rPr>
        <w:t>ex vivo</w:t>
      </w:r>
      <w:r>
        <w:rPr>
          <w:rFonts w:ascii="Times New Roman" w:hAnsi="Times New Roman"/>
          <w:color w:val="000000"/>
          <w:sz w:val="20"/>
        </w:rPr>
        <w:t xml:space="preserve">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("iPSC"), genetically modified cell therapy approaches, and TCEs that are designed to effectively identify and eradicate tumor and targeted cells. We believe we are the most clinically advanced gamma-delta T cell-focused company and are utilizing our suite of DeltEx platform technologies to potentially eliminate cancer cells to achieve our mission of what we refer to as Cancer Zero ─ the safe elimination of all cancer cells in every patient battling the disease. We believe this lofty aspiration will one day be achievable, and that it is our responsibility to directly contribute to related global health efforts by pursuing scientific research that will advance the treatment of cancer and other diseases with unmet needs</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Our DeltEx platform is designed to overcome many of the challenges associated with the expansion, genetic engineering, and scalable manufacturing of gamma-delta T cells. This approach allows us to expand the cells </w:t>
      </w:r>
      <w:r>
        <w:rPr>
          <w:rFonts w:ascii="Times New Roman" w:hAnsi="Times New Roman"/>
          <w:i/>
          <w:color w:val="000000"/>
          <w:sz w:val="20"/>
        </w:rPr>
        <w:t>ex vivo</w:t>
      </w:r>
      <w:r>
        <w:rPr>
          <w:rFonts w:ascii="Times New Roman" w:hAnsi="Times New Roman"/>
          <w:color w:val="000000"/>
          <w:sz w:val="20"/>
        </w:rPr>
        <w:t xml:space="preserve"> to administer a potentially therapeutic dose to patients, harnessing the unique properties of gamma-delta T cells, including their ability to broadly recognize cellular stress signals on tumor cells. We believe that our unique corporate insights into the advanced manufacturing and biology of gamma-delta T cells provide us with an innovative platform to treating cancer that capitalizes on the particular properties of gamma-delta T cells. We currently have two novel programs in the clinic that have demonstrated durable complete tumor remissions. We have used our DeltEx platform to create our pipeline of innovative allogeneic, autologous, iPSC and/or genetically modified product candidates designed to effectively target and potentially eradicate disease and improve patient outcomes.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 date, we have conducted two main investigator-sponsored Phase 1 clinical trials to test our gamma-delta T cell technologies in cancer patients. INB-100 tests our DeltEx Allogeneic (“Allo”) gamma-delta T cells in older patients with high-risk leukemias undergoing haploidentical stem cell transplantation (“HSCT”) and INB-200 tested our DeltEx Drug Resistant Immunotherapy (“DRI”) in newly diagnosed glioblastoma (“GBM”) patients. Both trials have demonstrated long-term durable remissions with patients remaining alive and remission for greater than three years.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INB-100, our first allogeneic DeltEx product candidate, was developed to assess the safety and tolerability of donor-derived expanded and activated gamma-delta T cells that do not undergo additional genetic modification. The Phase 1 trial of INB-100 has completed primary enrollment and a recommended Phase 2 dose (“RP2D”) has been determined. We presented updated data at the 2025 Transplantation &amp; Cellular Therapy ("TCT") Meeting in February 2025, demonstrating that 100% of acute myeloid leukemia (“AML”) patients across both original and expansion cohorts remain in complete remission (“CR”), with a median follow-up of 20.1 months. Furthermore, these AML patients demonstrated one-year progression-free survival (“PFS”) and overall survival (“OS”) rates, exceeding real-world control groups obtained from both the Center for International Blood and Marrow Transplant Research (“CIBMTR”) and historical patient outcomes data from the Kansas University Cancer Center (“KUCC”) where the study is currently being conducted. Patients treated with INB-100 are demonstrating prolonged and durable remissions supported by gamma-delta T cell persistence beyond one year. In 2024, we held a meeting with the U.S. Food and Drug Administration (“FDA”) and received regulatory guidance on a Phase 2 trial of INB-100 for the treatment of AML with relapse-free survival as the primary endpoint in a randomized controlled trial. To further de-risk this registrational pathway, we are currently enrolling in an expansion cohort, with a target of up to 25 patients, to confirm the improvements in relapse free and OS observed to date. We expect to complete the enrollment of the expansion cohort in 2025, with long-term follow-up results anticipated in late 2025 and in 2026.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DeltEx DRI technology is an innovative and proprietary platform that genetically engineers gamma-delta T cells to allow synergistic combinations with conventional standard-of-care chemotherapies for the treatment of solid-tumor cancers. Our proprietary genetic engineering hijacks the tumor’s own resistance mechanism to a chemotherapy to protect our DRI gamma-delta T cells from the killing effects of such chemotherapies. This allows combination therapies in a manner to drive deeper tumor responses, with the potential for better patient outcomes. Our first indication is newly diagnosed GBM where patient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dosing in the investigator-sponsored Phase 1 trial of INB-200 (NCT04165941) has been completed and we continue to follow patients for PFS and OS. We presented an oral plenary presentation at the Society of Neuro-Oncology ("SNO") Annual Meeting in November 2024 where we provided longer-term patient follow-up. As of October 18, 2024, four patients remained alive and in remission with the longest remaining in remission for a duration exceeding 40.5 months. To date, patients who received repeated doses of INB-200 demonstrated a 79% increase in median PFS (12.4 months) as compared to the standard-of-care Stupp regimen (6.9 months) and an almost 50% increase in median PFS as compared to the 8.3 months in the three patients treated in Cohort 1 of this trial, each who received only a single dose of INB-200.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INB-400 is the corporate-sponsored investigational new drug application (“IND”) for the Phase 2, multi-center clinical trial for our DeltEx DRI technology for the treatment of newly diagnosed GBM. While the IND remains open and we continue to treat any enrolled patients, in September 2024, we implemented a pipeline prioritization by suspending enrollment in the Phase 2 Trial of INB-400. This trial sought to expand the assessment of genetically modified, DRI gamma-delta T cells in newly diagnosed GBM patients in multiple centers across the United States. We will continue to follow any treated patients for safety, PFS and OS with preliminary data to be reported in 2025. We believe our DeltEx DRI gamma-delta T cell therapeutic approach is demonstrating clinical activity and can be applied to multiple solid tumor types. We are seeking alternative funding sources and strategic opportunities to potentially partner this program. In April 2023, we received Orphan Drug Designation for the autologous and allogeneic INB-400 products from the FDA, covering a broad range of malignant glioma indications, including relapsed and newly diagnosed GBM.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Most recently we introduced INB-600, our proprietary and internally developed TCE platform. This platform represents a potentially revolutionary advancement in immunotherapy, harnessing the power of gamma-delta T cells through a distinctive mechanism that optimizes effector function and targeted cytotoxicity. To date, we have observed novel properties by facilitating the exponential expansion of activated gamma-delta T cells to potentially offer a sustained and potent anti-tumor response. This unique capability may not only enhance the immediate cytotoxic effects but can also build a more durable and long-lasting immune response, essential for combating both solid tumors and resistant leukemias/lymphomas as well as sustained target depletion for potential applications in autoimmune diseases. The dual activation and expansion of Vd1+ and Vd2+ gamma-delta T cell subsets further broadens our therapeutic potential, merging the rapid antigen processing of Vd2+ cells with the enduring stability and potential tissue penetrating properties of Vd1+ cells as an innate immune force multiplier. We believe INB-600 positions us with a promising candidate for a range of potential applications, from solid tumors to autoimmune diseases, with the goal of offering a comprehensive approach to immune system modulation and disease treatment. We have demonstrated that a CD19 targeted gamma-delta TCE can eliminate the targeted cells in a dose-dependent manner. We expect to present additional preliminary preclinical data at a medical meeting in spring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have a portfolio of preclinical programs in development. These include INB-300, which is applicable to both solid and liquid tumors using a targeted non-signaling gamma-delta T cell based chimeric antigen receptor (“nsCAR”) construct, and INB-500, which encompasses our ability to produce gamma-delta T cells from iPSCs. iPSCs represent a significant step toward next generation approaches of cellular manufacturing for true allogeneic and potentially "off-the-shelf" innate cell therapies. We presented additional preclinical data for INB-300, demonstrating our proof-of-concept in vitro studies, run in triplicate, against the leukemia antigen targets CD33 and CD123, at the American Association for Cancer Research ("AACR") Annual Meeting in 2024. These data demonstrated the ability of our nsCAR constructs to distinguish between tumor tissue and healthy tissue. We plan to continue to optimize the nsCAR construct for advancement towards animal models, IND enabling studies and opportunities for potential partnership.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statements have been prepared in conformity with generally accepted accounting principles which contemplate continuation of the Company on a going concern basis. The going concern basis assumes that assets are realized, and liabilities are extinguished in the ordinary course of business at amounts disclosed in the financial statements. We have not yet generated product sales and, as a result, have experienced operating losses since inception. 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The actual amount of cash that we will need to operate is subject to many factors. Based on our business strategy, we expect that our existing cash of $11.1 million as of December 31, 2024, along with net proceeds of $3.7 million from the issuance of equity under the ATM program in February 2025 and $0.4 million from the exercise of a portion of our Series C warrants, is not anticipated to fund the Company’s projected operating expenses and capital expenditure requirements for a period of at least 12 months from the date of issuance of these financial statements, and accordingly, there is substantial doubt about the Company’s ability to continue to operate as a going concern. We have taken measures to defer or reduce costs in the near term in order to preserve capital and increase financial flexibility. These cash preservation measures may impact our ability and the timing to execute our strategy, including our ability to achieve the anticipated milestones and the timing of patient enrollment and/or regulatory filings for our preclinical and clinical programs. For more information, see “Going Concern”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 II, “Item 7. Management’s Discussion and Analysis of Financial Condition and Results of Operations,” below, for a further discussion of our liquidity and the conditions that raise substantial doubt regarding our ability to continue as a going concern.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chart shows the developmental status and the next anticipated milestones of our clinical and preclinical product candidates, all of which are wholly owned. The timing of the next anticipated milestones below and the related discussion throughout this Business section are estimates based upon the receipt of additional capital to fund our programs. For more information, see “Going Concern” in Part II, “Item 7. Management’s Discussion and Analysis of Financial Condition and Results of Operations,” below.</w:t>
      </w:r>
    </w:p>
    <w:p>
      <w:pPr>
        <w:pStyle w:val="TextBody"/>
        <w:bidi w:val="0"/>
        <w:spacing w:before="120" w:after="283"/>
        <w:jc w:val="center"/>
        <w:rPr/>
      </w:pPr>
      <w:r>
        <w:rPr/>
        <w:drawing>
          <wp:inline distT="0" distB="0" distL="0" distR="0">
            <wp:extent cx="6486525" cy="3467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86525" cy="3467100"/>
                    </a:xfrm>
                    <a:prstGeom prst="rect">
                      <a:avLst/>
                    </a:prstGeom>
                  </pic:spPr>
                </pic:pic>
              </a:graphicData>
            </a:graphic>
          </wp:inline>
        </w:drawing>
      </w:r>
    </w:p>
    <w:p>
      <w:pPr>
        <w:pStyle w:val="TextBody"/>
        <w:bidi w:val="0"/>
        <w:jc w:val="both"/>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1. Pipeline Chart</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dedicated to leveraging our DeltEx platform to develop next generation gamma-delta T cell therapies that we believe can dramatically improve outcomes for cancer patients in our efforts to achieve our mission of Cancer Zero. To achieve this goal, our strategy is as follows, which is dependent on our ability to raise additional capital or successfully deploy other strategic options: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 xml:space="preserve">Continue advancing our clinical product candidate INB-100, while exploring partnership opportunities for our other candidates including INB-400. </w:t>
      </w:r>
      <w:r>
        <w:rPr>
          <w:rFonts w:ascii="Times New Roman" w:hAnsi="Times New Roman"/>
          <w:color w:val="000000"/>
          <w:sz w:val="20"/>
        </w:rPr>
        <w:t xml:space="preserve">We are conducting a Phase 1 dose escalation clinical trial of INB-100, our DeltEx Allo product candidate in patients with hematologic malignancies undergoing allogeneic HSCT. We currently expect to complete enrollment of the expansion cohort of the Phase 1 clinical trial in 2025, with updated results throughout 2025 and topline results in 2026. We have completed enrollment in INB-200 our autologous DeltEx DRI program that we initially developed for the treatment of newly diagnosed GBM and are now monitoring patients for long-term follow up. This Phase 1 dose-escalation clinical trial assessing single and multiple dosing schemas was conducted at UAB. We expect to present clinical updates and long-term follow-up in 2025. In September 2024, we paused enrollment in our Phase 2 multi-center clinical trial of INB-400, a company-sponsored clinical program using our autologous DeltEx DRI product candidate to treat newly diagnosed GBM. We will continue to monitor any patients that have been enrolled and have been treated in the INB-400 Phase 2 clinical trial and we expect to provide clinical updates and long-term follow-up throughout 2025, while we continue to explore potential partnership opportunities. </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Times New Roman" w:hAnsi="Times New Roman"/>
          <w:b/>
          <w:i/>
          <w:color w:val="000000"/>
          <w:sz w:val="20"/>
        </w:rPr>
        <w:t>Advance INB-300, INB-500, and INB-600 into clinical development, subject to additional funding or partnerships and receiving authorization from FDA pursuant to company-sponsored INDs.</w:t>
      </w:r>
      <w:r>
        <w:rPr>
          <w:color w:val="000000"/>
        </w:rPr>
        <w:t xml:space="preserve"> </w:t>
      </w:r>
      <w:r>
        <w:rPr>
          <w:rFonts w:ascii="Times New Roman" w:hAnsi="Times New Roman"/>
          <w:color w:val="000000"/>
          <w:sz w:val="20"/>
        </w:rPr>
        <w:t xml:space="preserve">INB-300 is a DeltEx nsCAR construct, for which we have tested various antigen recognition domains in our efforts to advance a program to IND enabling studies. We presented additional data demonstrating our progress and proof-of-concept for this program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2024 AACR Annual Meeting. INB-500 is the expansion of our DeltEx platform capabilities to include iPSC derived gamma-delta T cells. Our feeder cell and serum free expansion and directed differentiation protocols have demonstrated an ability to generate both Vd1+ and Vd2+ gamma-delta T cell subclones. These cells have high cytotoxicity against cancer cells, and we are exploring avenues for advancement and potential partnering. INB-600 is our proprietary and internally developed TCE platform. Gamma-delta T cells have demonstrated unique benefits against cancer in the clinic and our TCE program has unique features that we believe may be able to overcome some of the challenges with the development of gamma-delta T cell engagers. This program positions us with a promising candidate for a potential range of applications, from solid tumors to autoimmune diseases, offering a comprehensive approach to immune system modulation and disease treatment. We expect to present preliminary preclinical data at a medical meeting in spring 2025.</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Times New Roman" w:hAnsi="Times New Roman"/>
          <w:b/>
          <w:i/>
          <w:color w:val="000000"/>
          <w:sz w:val="20"/>
        </w:rPr>
        <w:t xml:space="preserve">Leverage our DeltEx platform for additional indications and product candidates. </w:t>
      </w:r>
      <w:r>
        <w:rPr>
          <w:rFonts w:ascii="Times New Roman" w:hAnsi="Times New Roman"/>
          <w:color w:val="000000"/>
          <w:sz w:val="20"/>
        </w:rPr>
        <w:t>We will continue to advance internal research including the application of our proprietary DeltEx platform technologies into diseases with significant unmet medical needs.</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Times New Roman" w:hAnsi="Times New Roman"/>
          <w:b/>
          <w:i/>
          <w:color w:val="000000"/>
          <w:sz w:val="20"/>
        </w:rPr>
        <w:t xml:space="preserve">Advance and continue to scale our manufacturing. </w:t>
      </w:r>
      <w:r>
        <w:rPr>
          <w:rFonts w:ascii="Times New Roman" w:hAnsi="Times New Roman"/>
          <w:color w:val="000000"/>
          <w:sz w:val="20"/>
        </w:rPr>
        <w:t>We have established an automated, closed-system, reproducible, scalable manufacturing platform. We will continue to focus on expanding manufacturing capacity and capabilities along with advanced manufacturing methods to support our ongoing and anticipated clinical development. In addition to using collaborators such as the Cellular Therapy Laboratory at UAB and the Dunbar CAR-T Cell Program at the University of Louisville, we plan to expand our internal manufacturing capabilities as we demonstrate clinical proof-of-concept, leveraging our company know-how and collaborators for product delivery, logistics and capacity expansion across our parallel processes.</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Times New Roman" w:hAnsi="Times New Roman"/>
          <w:b/>
          <w:i/>
          <w:color w:val="000000"/>
          <w:sz w:val="20"/>
        </w:rPr>
        <w:t xml:space="preserve">Independently develop and commercialize our product candidates where we believe we can maximize their value and benefit to patients. </w:t>
      </w:r>
      <w:r>
        <w:rPr>
          <w:rFonts w:ascii="Times New Roman" w:hAnsi="Times New Roman"/>
          <w:color w:val="000000"/>
          <w:sz w:val="20"/>
        </w:rPr>
        <w:t>Given the broad applicability of our DeltEx gamma-delta T cell technology pipeline across multiple cancer and autoimmune indications, we plan to maximize its value by retaining development and commercialization rights to the product candidates, indications, and geographies that we believe we can commercialize successfully on our own, pending regulatory approval. We plan to collaborate on candidates that show promising utility in disease indications, patient populations or geographies that we believe would be better served by the resources, specific expertise or commercial abilities of other biopharmaceutical companies or partners.</w:t>
      </w:r>
    </w:p>
    <w:p>
      <w:pPr>
        <w:pStyle w:val="TextBody"/>
        <w:bidi w:val="0"/>
        <w:spacing w:before="120" w:after="120"/>
        <w:jc w:val="both"/>
        <w:rPr>
          <w:color w:val="000000"/>
        </w:rPr>
      </w:pPr>
      <w:r>
        <w:rPr>
          <w:color w:val="000000"/>
        </w:rPr>
        <w:t>•</w:t>
      </w:r>
    </w:p>
    <w:p>
      <w:pPr>
        <w:pStyle w:val="TextBody"/>
        <w:bidi w:val="0"/>
        <w:spacing w:before="120" w:after="120"/>
        <w:jc w:val="both"/>
        <w:rPr/>
      </w:pPr>
      <w:r>
        <w:rPr>
          <w:rFonts w:ascii="Times New Roman" w:hAnsi="Times New Roman"/>
          <w:b/>
          <w:i/>
          <w:color w:val="000000"/>
          <w:sz w:val="20"/>
        </w:rPr>
        <w:t xml:space="preserve">Continue to build value through expansion and continuation of our intellectual property portfolio in relevant geographies. </w:t>
      </w:r>
      <w:r>
        <w:rPr>
          <w:rFonts w:ascii="Times New Roman" w:hAnsi="Times New Roman"/>
          <w:color w:val="000000"/>
          <w:sz w:val="20"/>
        </w:rPr>
        <w:t>As of December 31, 2024, our intellectual property portfolio consisted of 11 patent families that broadly protect our DeltEx platform and our product candidates, both through composition of matter and method of use. Our patents and pending applications broadly cover the use of allogeneic gamma-delta T cells in HSCT, including in the treatment of AML and other cancers. Our patents also broadly cover genetic modification to gamma-delta T cells that confers chemotherapy resistance. Our future product candidates could incorporate additional proprietary genetic alterations designed to make them resistant to other chemotherapies utilized to treat multiple types of solid tumor cancers. Our patents also cover the method of generating these genetically engineered cells from patients or donors and their use in multiple solid and liquid tumors. Finally, we have patent families that cover the composition of our CAR constructs in gamma-delta T cells, specifically in our DeltEx DRI cells, and their use in multiple solid and liquid tumors.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Gamma-Delta T Cells: Leveraging the Nexus of the Immune System</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Rise of Cell Therapy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has been significant innovation in the treatment of cancer, including novel cellular therapies, radiotherapies and TCEs. Immuno-oncology utilizes the immune system to identify and kill cancer and/or target cells. Such therapies can either prevent the tumor’s ability to suppress immune attack or to directly utilize immune cells to kill specifically targeted cells. The immune system consists of complex and highly evolved groups of cells that have the ability to target dangerous pathogens and damaged or sick tissue to keep the body safe. The system is generally comprised of two functional branches, the innate and the adaptive. Gamma-delta T cells are endowed with at least two independent recognition systems to sense tumor cells and to initiate anticancer killing by recruiting and activating multiple immune cell types.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innate and adaptive immune responses both play critical roles in the fight against cancer. While both systems possess critical functions, the most effective tumor-killing occurs when they work in concert. As shown in Figure 2 below, gamma-delta T cells sit at the nexus of the two systems and possess a powerful combination of both innate and adaptive cell properties. They can directly kill without prior antigen priming, similar to certain innate cells, such as NK cells, but can also function to present antigen directly to drive cytokine release and to target neoantigens through antigen mediated cell killing.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pPr>
      <w:r>
        <w:rPr/>
        <w:drawing>
          <wp:inline distT="0" distB="0" distL="0" distR="0">
            <wp:extent cx="5943600" cy="3314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147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 Gamma-Delta T Cells: Innate and Adaptive Immune System Characteristics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Most cell therapy approaches utilize either the adaptive immune system, such as alpha-beta T cells, or the innate immune system, such as NK cells. These approaches have certain inherent limitations, particularly against solid tumors. Taken together, the unique properties of gamma-delta T cells indicate that their therapeutic application can overcome many of these challenges. Simplistically, gamma-delta T cells are a combination of both worlds, with the memory and persistence features of the adaptive immune cells along with the recognition, killing and safety features of the innate immune cells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Inherent Limitations of Current Cell Therapy Approaches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common approach in cell therapy involves the use of genetically engineered CARs on a T or NK cell that enable it to recognize a specific protein or antigen that may be present on the surface of tumor cells. The CAR bypasses the normal biology of T and NK cells, by driving their activation through the binding of the CAR-directed antigen. While effective for direct antigen recognition, the inherent heterogeneity of many tumors means that it is unlikely that any single antigen will be expressed by all tumor cells.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2017, the FDA has approved multiple CAR-T and cellular therapies, which have been transformative in the treatment of certain hematological cancers and now estimated to generate over $4 billion in annual sales in 2024. Of late, as we have moved into more complex and difficult to treat cancers, multiple products in development have succumbed to significant toxicities and/or failed to demonstrate robust and durable tumor remissions. This general lack of efficacy in certain tumors underscores the limited therapeutic window and inherent challenges of CAR-T approaches. Many of the limitations of CAR-T cell therapies are related to the fundamental dynamics of complex, heterogeneous tumors and T cell biology. This includes (i) the potential inability to effectively target the entire tumor using a single antigen CAR due to tumor heterogeneity, (ii) the potential inability to effectively penetrate the tumor microenvironment ("TME"), due to physical barriers such as tumor bulk, (iii) the lack of tumor antigens, which are ubiquitously and uniquely expressed on tumor cells resulting in off-tumor toxicities, (iv) potential limited T cell function due to the immunosuppressive TME, including regulatory T cells ("Tregs"), and other immune-suppressive cells, (v) limited ability to efficiently deliver cells directly to the tumor site to generate a high effector to target ("E:T") ratio, and (vi) the inability to combine with effective chemotherapeutic regimens due to the chemosensitivity of immune cells. Additional challenges that have potentially hampered widespread adoption of existing CAR-T technologies include scalability, safety and cost.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recent years, multiple programs have also attempted to leverage natural killer CAR based therapies ("CAR-NK") to amplify the innate immune response to cancer with limited success. NK cells are innate immune cells that possess the ability to detect and kill cancer cells by recognizing common antigens without highly selective adapted receptors towards specific antigens. Their cytotoxicity is mainly dependent on the balance between activating and inhibitory signals, such as killer cell immunoglobulin-like receptors ("KIRs"), which can be overcome with the addition of CARs to allow for their use in cell therapy. CAR-NKs are attractive over alpha-beta CARs for two primary reasons: (i) CAR-NKs do not express the cytokine IL-6, one of the major drivers of cytokine release syndrome ("CRS"), which can lead to substantial morbidity and mortality with immune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CAR-T therapies; and (ii) CAR-NKs are not major histocompatibility complex ("MHC"), restricted and can be infused from a donor to a patient without complex and expensive genetic engineering to prevent graft versus host disease ("GvHD").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Despite these advantages, the development of CAR-NKs has faced several key challenges — in particular, manufacturing difficulties and limited scalability, their sensitivity to cryopreservation leading to a loss of viability and cytotoxicity, a limited ability to efficiently introduce genetic modifications, and lower cell persistence. Importantly, against solid tumors, the addition of a CAR to overcome KIR inhibition in an NK cell overrides their endogenous ability to target multiple receptors and results in a single antigen targeting CAR with the same limitation towards relapse due to tumor heterogeneity and ultimately antigen escape as a traditional CAR-T. In recent years, CAR-NK cell clinical data proved to be disappointing due to the lack of persistence of NK cell based cellular therapies and their durability of response. Data published in a major journal in early 2024 demonstrated that NK cells that enter the solid tumor microenvironment can be rapidly reprogramed into dysfunctional tissue resident cells that lack effector function and anti-tumor activity. These observations have resulted in significant pipeline changes and the termination of multiple programs by major biotechnology and pharmaceutical companies developing NK or iNK cell therapies over the past few years.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inherent and engineered limitations of these therapies, particularly in the solid tumor setting, creates substantial opportunity for improved and differentiated cell therapies for cancer and autoimmune disease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Why Gamma-Delta T Cells?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Gamma-delta T cells are a unique subset of immune cells that sit at the nexus of the innate and adaptive immune systems and possess properties of both, performing diverse immune functions including protection against tumors. This combination of features conveys functional abilities that make them ideally suited for use in cell therapy against cancer. They typically account for up to 10% of T cells but can undergo rapid activation and expansion in response to diseased or damaged tissue. As gamma-delta T cells bridge between the innate and adaptive immune response, they are thought to have greater persistence than NK cells. Our own histopathological data from the INB-200 clinical trial has repeatedly demonstrated both an increase in the number gamma-delta T cells and their continued presence in the TME, following infusion(s) of our DeltEx DRI modified gamma-delta T cells. The University of Pennsylvania published data in the journal Nature in February 2022 that demonstrated decade-long leukemia remissions in two patients with chronic lymphocytic leukemia. The data showed persistence of highly activated CD4+ CAR-T cells including a large population of gamma-delta CAR-T cells that prominently expanded in one patient along with CD8+ CAR T cells. Surprising data from our own INB-100 program in leukemia patients undergoing HSCT had demonstrated for the first time the </w:t>
      </w:r>
      <w:r>
        <w:rPr>
          <w:rFonts w:ascii="Times New Roman" w:hAnsi="Times New Roman"/>
          <w:i/>
          <w:color w:val="000000"/>
          <w:sz w:val="20"/>
        </w:rPr>
        <w:t>in vivo</w:t>
      </w:r>
      <w:r>
        <w:rPr>
          <w:rFonts w:ascii="Times New Roman" w:hAnsi="Times New Roman"/>
          <w:color w:val="000000"/>
          <w:sz w:val="20"/>
        </w:rPr>
        <w:t xml:space="preserve"> expansion and long-term persistence of allogeneic gamma-delta T cells for as long as 365 days.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Gamma-delta T cells are multifunctional with a complex receptor repertoire including the semi-invariant T cell receptor ("TCR") which allows them to distinguish between healthy and diseased or stressed tissue. This distinct mode of antigen recognition is a critical feature that distinguishes them from not only alpha-beta T cells but also B cells and NK cells. Gamma-delta T cells can kill effectively, both by direct cellular killing as well as the recruitment of additional immune cell types to induce killing. Importantly, gamma-delta T cells can kill in situations where other immune cells cannot, such as alpha-beta T cells through the downregulation of MHC expression or NK cells through inhibition by matched KIR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pPr>
      <w:r>
        <w:rPr/>
        <w:drawing>
          <wp:inline distT="0" distB="0" distL="0" distR="0">
            <wp:extent cx="6486525" cy="332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86525" cy="3324225"/>
                    </a:xfrm>
                    <a:prstGeom prst="rect">
                      <a:avLst/>
                    </a:prstGeom>
                  </pic:spPr>
                </pic:pic>
              </a:graphicData>
            </a:graphic>
          </wp:inline>
        </w:drawing>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3. “Nature’s CAR-T Cell”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Gamma-delta T cells have been referred to as “Nature’s CAR-T cells” because their complex antigen recognition allows them to naturally and effectively target and eliminate diseased tissues, such as tumor tissue. As shown in Figure 3, their diverse receptor repertoire may enable them to recognize and target the array of heterogeneous antigens expressed by solid tumors, which has been a significant challenge to existing single-antigen targeting CAR technologies using NK and alpha-beta T cells.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Gamma-delta T cells also have the inherent ability to recognize a broad array of cellular stress signals, leading to both direct tumor cell killing as well as activation of a multifaceted immune response. Gamma-delta T cells have been observed to directly recognize and respond to a variety of MHC-like stress-induced self-antigens expressed by malignant cells without previously having the antigen presented, similar to NK cells. This recognition of stress antigens is achieved through a combination of gamma-delta TCRs, natural killer receptors ("NKRs"), such as NKG2D, DNAM-1, and toll-like receptors ("TLRs"). This diversity of receptors is central to gamma-delta T cells’ ability to identify healthy versus diseased tissue and may also contribute to their ability to effectively target cells, such as tumor cells with high variability and/or heterogeneity, thereby reducing antigen escape as shown in Figure 4.</w:t>
      </w:r>
    </w:p>
    <w:p>
      <w:pPr>
        <w:pStyle w:val="TextBody"/>
        <w:bidi w:val="0"/>
        <w:spacing w:before="0" w:after="160"/>
        <w:jc w:val="center"/>
        <w:rPr/>
      </w:pPr>
      <w:r>
        <w:rPr/>
        <w:drawing>
          <wp:inline distT="0" distB="0" distL="0" distR="0">
            <wp:extent cx="6486525" cy="2819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86525" cy="28194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4. Innate Immune Cell Receptors of Gamma-Delta T Cells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highlights key potential advantages of gamma-delta T cells in comparison to other cell therapies for cancer:</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Differentiate between healthy and cancer cells</w:t>
      </w:r>
      <w:r>
        <w:rPr>
          <w:rFonts w:ascii="Times New Roman" w:hAnsi="Times New Roman"/>
          <w:i/>
          <w:color w:val="000000"/>
          <w:sz w:val="20"/>
        </w:rPr>
        <w:t>.</w:t>
      </w:r>
      <w:r>
        <w:rPr>
          <w:color w:val="000000"/>
        </w:rPr>
        <w:t xml:space="preserve"> </w:t>
      </w:r>
      <w:r>
        <w:rPr>
          <w:rFonts w:ascii="Times New Roman" w:hAnsi="Times New Roman"/>
          <w:color w:val="000000"/>
          <w:sz w:val="20"/>
        </w:rPr>
        <w:t>By using a combination of signaling receptors, including gamma-delta TCR, NKG2D, DNAM-1, and TLR, among others, gamma-delta T cells can safely distinguish between safe and dangerous tissues, such as cancerous tissues, within the body.</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Broad tumor recognition overcomes surface antigen heterogeneity</w:t>
      </w:r>
      <w:r>
        <w:rPr>
          <w:rFonts w:ascii="Times New Roman" w:hAnsi="Times New Roman"/>
          <w:i/>
          <w:color w:val="000000"/>
          <w:sz w:val="20"/>
        </w:rPr>
        <w:t>.</w:t>
      </w:r>
      <w:r>
        <w:rPr>
          <w:color w:val="000000"/>
        </w:rPr>
        <w:t xml:space="preserve"> </w:t>
      </w:r>
      <w:r>
        <w:rPr>
          <w:rFonts w:ascii="Times New Roman" w:hAnsi="Times New Roman"/>
          <w:color w:val="000000"/>
          <w:sz w:val="20"/>
        </w:rPr>
        <w:t>The tumor contains cells that express a variety of antigen targets at different levels of expression. The complex and polyclonal binding abilities of gamma-delta TCR and NKG2D receptor allow them to broadly target diseased tissue and cover the heterogeneity of the tumor.</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Recruit and activate additional immune effector cells</w:t>
      </w:r>
      <w:r>
        <w:rPr>
          <w:rFonts w:ascii="Times New Roman" w:hAnsi="Times New Roman"/>
          <w:color w:val="000000"/>
          <w:sz w:val="20"/>
        </w:rPr>
        <w:t>. Gamma-delta T cells broaden the immune response both through secretion of effector cytokines and chemokines that recruit and stimulate immune cells at the tumor. Gamma-delta T cells can elicit dendritic cell ("DC") maturation by conveying danger associated molecular patterns ("DAMPs"), and pathogen associated molecular patterns ("PAMPs") to such cells. Certain subtypes of gamma-delta T cells also function directly as professional antigen presenting cells ("APCs"), that activate and instruct alpha-beta T cells, similar to other innate immune cells like DCs, in order to elicit a potent and selective adaptive immune response.</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i/>
          <w:color w:val="000000"/>
          <w:sz w:val="20"/>
        </w:rPr>
        <w:t>Safety advantages over other cell therapies</w:t>
      </w:r>
      <w:r>
        <w:rPr>
          <w:rFonts w:ascii="Times New Roman" w:hAnsi="Times New Roman"/>
          <w:color w:val="000000"/>
          <w:sz w:val="20"/>
        </w:rPr>
        <w:t>. Gamma-delta T cells do not recognize allogeneic MHC restricted antigens and thereby can be obtained from a partially matched or even unmatched donor, which may allow these cells to be used "off-the-shelf". Gamma-delta T cells also do not significantly secrete IL-6, a driver of CRS, which has been a fatal complication in CAR-T and CD3 TCEs in acute leukemias.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How Gamma-Delta T Cells Kill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biology of gamma-delta T cells is complex, with multiple mechanistic approaches to effectively recognize, target and directly kill tumor cells, as shown in Figure 5 below. This allows them to drive towards deeper immune responses through immune cell recruitment and activation, cytokine release and antigen presentation:</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Induction of cellular apoptosis</w:t>
      </w:r>
      <w:r>
        <w:rPr>
          <w:rFonts w:ascii="Times New Roman" w:hAnsi="Times New Roman"/>
          <w:i/>
          <w:color w:val="000000"/>
          <w:sz w:val="20"/>
        </w:rPr>
        <w:t>.</w:t>
      </w:r>
      <w:r>
        <w:rPr>
          <w:color w:val="000000"/>
        </w:rPr>
        <w:t xml:space="preserve"> </w:t>
      </w:r>
      <w:r>
        <w:rPr>
          <w:rFonts w:ascii="Times New Roman" w:hAnsi="Times New Roman"/>
          <w:color w:val="000000"/>
          <w:sz w:val="20"/>
        </w:rPr>
        <w:t>Fas ligand ("CD95L") and tumor necrosis factor-related apoptosis-inducing ligand ("TRAIL") are both well-known triggers of cell death. These proteins are expressed on gamma-delta T cells, which allows them to engage the death receptors on target cells, leading to the direct destruction of cancer and/or targeted cells.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Secretion of cell-killing enzymes and proteins</w:t>
      </w:r>
      <w:r>
        <w:rPr>
          <w:rFonts w:ascii="Times New Roman" w:hAnsi="Times New Roman"/>
          <w:i/>
          <w:color w:val="000000"/>
          <w:sz w:val="20"/>
        </w:rPr>
        <w:t>.</w:t>
      </w:r>
      <w:r>
        <w:rPr>
          <w:color w:val="000000"/>
        </w:rPr>
        <w:t xml:space="preserve"> </w:t>
      </w:r>
      <w:r>
        <w:rPr>
          <w:rFonts w:ascii="Times New Roman" w:hAnsi="Times New Roman"/>
          <w:color w:val="000000"/>
          <w:sz w:val="20"/>
        </w:rPr>
        <w:t>Gamma-delta T cells secrete granzymes, cell killing enzymes, that are typical of killer cells and cytotoxic T cells, and perforin, a protein that opens a hole in the target cell, allowing for the entry of granzymes. This can lead to apoptosis, or programmed cell death, in the same manner as NK cells.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Antibody-dependent cellular cytotoxicity</w:t>
      </w:r>
      <w:r>
        <w:rPr>
          <w:rFonts w:ascii="Times New Roman" w:hAnsi="Times New Roman"/>
          <w:i/>
          <w:color w:val="000000"/>
          <w:sz w:val="20"/>
        </w:rPr>
        <w:t>.</w:t>
      </w:r>
      <w:r>
        <w:rPr>
          <w:color w:val="000000"/>
        </w:rPr>
        <w:t xml:space="preserve"> </w:t>
      </w:r>
      <w:r>
        <w:rPr>
          <w:rFonts w:ascii="Times New Roman" w:hAnsi="Times New Roman"/>
          <w:color w:val="000000"/>
          <w:sz w:val="20"/>
        </w:rPr>
        <w:t>Antibody-dependent cellular cytotoxicity ("ADCC"), is cell-mediated cell killing, an efficient killing mechanism employed by the immune system. ADCC is triggered by the recognition of tumor-targeting antibodies through the CD16 expressed on gamma-delta T cells, similar to NK cells. This mechanism could allow the combination of gamma-delta T cell therapy with FDA-approved monoclonal antibody therapeutics, such as Rituxan, designed to enhance the effect of the antibody.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pPr>
      <w:r>
        <w:rPr/>
        <w:drawing>
          <wp:inline distT="0" distB="0" distL="0" distR="0">
            <wp:extent cx="4638675" cy="2771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638675" cy="2771775"/>
                    </a:xfrm>
                    <a:prstGeom prst="rect">
                      <a:avLst/>
                    </a:prstGeom>
                  </pic:spPr>
                </pic:pic>
              </a:graphicData>
            </a:graphic>
          </wp:inline>
        </w:drawing>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5. Multiple Cell-Killing Mechanisms of Activated Gamma-Delta T Cells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Opportunities for Gamma-Delta T Cells in Cancer</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The therapeutic potential of gamma-delta T cells is supported by observations over 30 years demonstrating a significant clinical correlation between naturally occurring high levels of gamma-delta T cells and better survival outcomes in both hematologic and solid tumor cancers. Our scientific founder and Chief Scientific Officer, Dr. Lamb, was the first person to report an association between levels of gamma-delta T cells and improved survival in leukemia patients undergoing allogeneic HSCT. His work, published in </w:t>
      </w:r>
      <w:r>
        <w:rPr>
          <w:rFonts w:ascii="Times New Roman" w:hAnsi="Times New Roman"/>
          <w:i/>
          <w:color w:val="000000"/>
          <w:sz w:val="20"/>
        </w:rPr>
        <w:t>J. Hematotherapy</w:t>
      </w:r>
      <w:r>
        <w:rPr>
          <w:rFonts w:ascii="Times New Roman" w:hAnsi="Times New Roman"/>
          <w:color w:val="000000"/>
          <w:sz w:val="20"/>
        </w:rPr>
        <w:t xml:space="preserve"> in 1996, and expanded on in a publication in </w:t>
      </w:r>
      <w:r>
        <w:rPr>
          <w:rFonts w:ascii="Times New Roman" w:hAnsi="Times New Roman"/>
          <w:i/>
          <w:color w:val="000000"/>
          <w:sz w:val="20"/>
        </w:rPr>
        <w:t>Cytotherapy</w:t>
      </w:r>
      <w:r>
        <w:rPr>
          <w:rFonts w:ascii="Times New Roman" w:hAnsi="Times New Roman"/>
          <w:color w:val="000000"/>
          <w:sz w:val="20"/>
        </w:rPr>
        <w:t xml:space="preserve"> in 1999, found that the disease-free survival rate of HSCT patients who received T cell depleted ("TCD"), grafts from a partially matched donor increased in those with high levels of gamma-delta T cells. These findings have been supported by reported studies from other scientists. In 2007, Dr. Lamb and his collaborators found that the association between post-transplant gamma-delta T cells and survival as depicted in Figure 6 below, extended to at least seven years, and that 71% of patients with high levels of gamma-delta T cells survived up to seven years compared to 20% of patients with low levels of gamma-delta T cells.</w:t>
      </w:r>
    </w:p>
    <w:p>
      <w:pPr>
        <w:pStyle w:val="TextBody"/>
        <w:bidi w:val="0"/>
        <w:spacing w:before="0" w:after="160"/>
        <w:jc w:val="center"/>
        <w:rPr/>
      </w:pPr>
      <w:r>
        <w:rPr/>
        <w:drawing>
          <wp:inline distT="0" distB="0" distL="0" distR="0">
            <wp:extent cx="5562600" cy="3429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62600" cy="34290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6. Correlation of Naturally Occurring Gamma</w:t>
        <w:noBreakHyphen/>
        <w:t>Delta T cells and Long</w:t>
        <w:noBreakHyphen/>
        <w:t>Term Survival in Leukemia</w:t>
      </w:r>
    </w:p>
    <w:p>
      <w:pPr>
        <w:pStyle w:val="TextBody"/>
        <w:bidi w:val="0"/>
        <w:jc w:val="both"/>
        <w:rPr>
          <w:rFonts w:ascii="Times New Roman" w:hAnsi="Times New Roman"/>
          <w:color w:val="000000"/>
          <w:sz w:val="20"/>
        </w:rPr>
      </w:pPr>
      <w:r>
        <w:rPr>
          <w:rFonts w:ascii="Times New Roman" w:hAnsi="Times New Roman"/>
          <w:color w:val="000000"/>
          <w:sz w:val="20"/>
        </w:rPr>
        <w:t>A Stanford University analysis of tumor-infiltrating immune cells in approximately 18,000 human tumor samples found that among all the subtypes of immune cells analyzed, the presence of gamma-delta T cells as tumor infiltrating lymphocytes ("TILs"), was the most highly correlated with overall survival, as shown in Figure 7 below. Patients with solid tumors containing gamma-delta T cells were significantly more likely to improve and potentially survive than those without gamma-delta T cells present.</w:t>
      </w:r>
    </w:p>
    <w:p>
      <w:pPr>
        <w:pStyle w:val="TextBody"/>
        <w:bidi w:val="0"/>
        <w:spacing w:before="240" w:after="160"/>
        <w:jc w:val="center"/>
        <w:rPr/>
      </w:pPr>
      <w:r>
        <w:rPr/>
        <w:drawing>
          <wp:inline distT="0" distB="0" distL="0" distR="0">
            <wp:extent cx="5362575" cy="4057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362575" cy="405765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7. Prognostic Association of Tumor Infiltrating Lymphocytes and Survival Outcomes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More recent studies continue to support these historical observations even when the primary therapy is another modality such as checkpoint inhibitors or CAR-T therapy. In 2024, a paper published in Nature Cancer demonstrated that gamma-delta T cells were associated with better responses in melanoma patients being treated with immune checkpoint inhibitors, especially in those patients that had low neoantigen levels. This is contrary to conventional dogma whereby checkpoint inhibitors are thought to have greater efficacy in those cancers with high neoantigen load and mutational burden. The authors postulate that gamma-delta T cells are probably an important constituent of tumor-infiltrating lymphocyte populations, allowing surveillance of tumors and are associated with a better prognosis. In a separate study published in Cell Reports Medicine, the authors utilized single-cell analysis to examine cellular dynamics in patients treated with CD19 CAR-T cells. It was validated that CAR+ gamma-delta T cell expansion is correlated with treatment efficacy in both B-ALL and DLBCL. The authors noted that two patients who experienced a “massive” </w:t>
      </w:r>
      <w:r>
        <w:rPr>
          <w:rFonts w:ascii="Times New Roman" w:hAnsi="Times New Roman"/>
          <w:i/>
          <w:color w:val="000000"/>
          <w:sz w:val="20"/>
        </w:rPr>
        <w:t>in vivo</w:t>
      </w:r>
      <w:r>
        <w:rPr>
          <w:rFonts w:ascii="Times New Roman" w:hAnsi="Times New Roman"/>
          <w:color w:val="000000"/>
          <w:sz w:val="20"/>
        </w:rPr>
        <w:t xml:space="preserve"> expansion of CAR+ gamma-delta T cells had a more sustained clinical response and that these trends were also observed for CAR- gamma-delta T cells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While gamma-delta T cells have demonstrated clinical association with specific tumor responses, there have been significant hurdles to developing them as cell therapies and TCEs, particularly for solid tumors. Gamma-delta T cells comprise less than 10% of all lymphocytes found in the body, and as such have been challenging to manufacture or target </w:t>
      </w:r>
      <w:r>
        <w:rPr>
          <w:rFonts w:ascii="Times New Roman" w:hAnsi="Times New Roman"/>
          <w:i/>
          <w:color w:val="000000"/>
          <w:sz w:val="20"/>
        </w:rPr>
        <w:t>in vivo</w:t>
      </w:r>
      <w:r>
        <w:rPr>
          <w:rFonts w:ascii="Times New Roman" w:hAnsi="Times New Roman"/>
          <w:color w:val="000000"/>
          <w:sz w:val="20"/>
        </w:rPr>
        <w:t xml:space="preserve">, or in the body, in quantities sufficient to meet the significant levels generally required for efficacious therapies. In addition, as cancer progresses, the levels of gamma-delta T cells are further reduced, making it challenging to engage them </w:t>
      </w:r>
      <w:r>
        <w:rPr>
          <w:rFonts w:ascii="Times New Roman" w:hAnsi="Times New Roman"/>
          <w:i/>
          <w:color w:val="000000"/>
          <w:sz w:val="20"/>
        </w:rPr>
        <w:t>in vivo</w:t>
      </w:r>
      <w:r>
        <w:rPr>
          <w:rFonts w:ascii="Times New Roman" w:hAnsi="Times New Roman"/>
          <w:color w:val="000000"/>
          <w:sz w:val="20"/>
        </w:rPr>
        <w:t>. Finally, gamma-delta T cells are critical in identifying stress antigens on diseased tissue, such as tumor cells. These signals can be dramatically upregulated by chemotherapy, which stresses both the chemotherapy-sensitive and chemotherapy-resistant tumor cells, making them readily identifiable by gamma-delta T cells. Chemotherapy can both kill the immuno-suppressive cells and induce tumor cell death to “de-bulk” the tumor. This opens the TME to effector cells, such as gamma-delta T cells. However, chemotherapy also depletes and damages immune cells, including gamma-delta T cells, limiting their ability to seek and kill tumor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Preclinical Studies Have Demonstrated a Role for Gamma-Delta T Cells in Cancer</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The clinical observations described above are supported by a broad base of preclinical research. Gamma-delta T cells have been shown to play a significant role in tumor immunosurveillance. Preclinical studies have demonstrated that genetically engineered mice deficient in gamma-delta T cells were highly susceptible to carcinogen-induced skin cancers. Similarly, prostate cancer growth was accelerated in mice deficient for gamma-delta T cells compared to fully immunocompetent mice. Gamma-delta T cells have been detected in a variety of human tumor types, including GBM, neuroblastoma and lung cancer, demonstrating that gamma-delta T cells infiltrated such solid tumors and thus may have an important correlation with anti-cancer activity. Prior data, including our own unpublished studies, have indicated that levels of gamma-delta T cells were diminished as cancer progresses and were depleted in end-stage disease.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Approach</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develop gamma-delta T cell therapies based upon our deep expertise in gamma-delta T cell biology, proprietary genetic engineering, and cell-type specific manufacturing capabilities, which we refer to collectively as our DeltEx platform. Our platform is designed to overcome many of the challenges associated with expansion, genetic engineering, scalable manufacturing and targeting of gamma-delta T cells. This allows us to expand the cells </w:t>
      </w:r>
      <w:r>
        <w:rPr>
          <w:rFonts w:ascii="Times New Roman" w:hAnsi="Times New Roman"/>
          <w:i/>
          <w:color w:val="000000"/>
          <w:sz w:val="20"/>
        </w:rPr>
        <w:t>ex vivo</w:t>
      </w:r>
      <w:r>
        <w:rPr>
          <w:rFonts w:ascii="Times New Roman" w:hAnsi="Times New Roman"/>
          <w:color w:val="000000"/>
          <w:sz w:val="20"/>
        </w:rPr>
        <w:t xml:space="preserve"> to administer a potentially therapeutic dose to patients, harnessing the unique properties of gamma-delta T cells, including their ability to broadly recognize cellular stress signals on tumor cells. DeltEx has enabled our deep pipeline of innovative allogeneic, autologous, iPSC, genetically modified product candidates, and/or TCEs that are designed to effectively target and potentially eradicate disease to improve patient outcomes. Key elements of our platform include: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Expertise in ex vivo-expanded activated gamma-delta T cells.</w:t>
      </w:r>
      <w:r>
        <w:rPr>
          <w:color w:val="000000"/>
        </w:rPr>
        <w:t xml:space="preserve"> </w:t>
      </w:r>
      <w:r>
        <w:rPr>
          <w:rFonts w:ascii="Times New Roman" w:hAnsi="Times New Roman"/>
          <w:color w:val="000000"/>
          <w:sz w:val="20"/>
        </w:rPr>
        <w:t xml:space="preserve">Gamma-delta T cells, while critical to immune function and disease response, account for only a small percentage of our immune cells. Our approach leverages our scientific expertise in gamma-delta T cell biology, encompassing the work of our scientific founder Dr. Lamb, to perform precise cell-type specific </w:t>
      </w:r>
      <w:r>
        <w:rPr>
          <w:rFonts w:ascii="Times New Roman" w:hAnsi="Times New Roman"/>
          <w:i/>
          <w:color w:val="000000"/>
          <w:sz w:val="20"/>
        </w:rPr>
        <w:t>ex vivo</w:t>
      </w:r>
      <w:r>
        <w:rPr>
          <w:color w:val="000000"/>
        </w:rPr>
        <w:t xml:space="preserve"> </w:t>
      </w:r>
      <w:r>
        <w:rPr>
          <w:rFonts w:ascii="Times New Roman" w:hAnsi="Times New Roman"/>
          <w:color w:val="000000"/>
          <w:sz w:val="20"/>
        </w:rPr>
        <w:t>expansion. This enables us to take peripheral blood from the patient and selectively expand the low numbers of gamma-delta T cells to generate a sufficient dose for treatment of solid tumors. Our expertise allows us to expand the desired subtypes of the gamma-delta T cell population, perform specific genetic modifications, and complete a quality review of these cells before returning precisely controlled doses to patients. This precision, control and quality provides significant advantages and we believe it uniquely enables us to potentially develop therapeutic cellular therapy candidates at scale.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Intelligent gamma-delta T cell genetic engineering.</w:t>
      </w:r>
      <w:r>
        <w:rPr>
          <w:color w:val="000000"/>
        </w:rPr>
        <w:t xml:space="preserve"> </w:t>
      </w:r>
      <w:r>
        <w:rPr>
          <w:rFonts w:ascii="Times New Roman" w:hAnsi="Times New Roman"/>
          <w:color w:val="000000"/>
          <w:sz w:val="20"/>
        </w:rPr>
        <w:t>We have developed proprietary methods of engineering gamma-delta T cells that are designed to take advantage of their inherent biology. Our engineering is designed to increase their ability to survive chemotherapy or to identify cancer cells while maintaining their natural ability to broadly recognize, engage and kill these cells while preserving healthy tissue. This enables the cells to be delivered concurrently with chemotherapies that activate the DNA damage response ("DDR"), pathway to generate an immune signal that should be expressed on all cells throughout the tumor and recognized by gamma-delta T cells. This intelligent engineering is broadly applicable across multiple solid tumor indications. Our approaches have overcome the historical problems in genetically modifying gamma-delta T cells, and we were the first company to advance a Phase 1 clinical trial using genetically modified gamma-delta T cells.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Next generation gamma-delta T cell manufacturing</w:t>
      </w:r>
      <w:r>
        <w:rPr>
          <w:rFonts w:ascii="Times New Roman" w:hAnsi="Times New Roman"/>
          <w:color w:val="000000"/>
          <w:sz w:val="20"/>
        </w:rPr>
        <w:t>. We have devoted significant time and resources to process development and manufacturing to improve the quality and reproducibility of our processes. Through our intellectual property and scientific know-how, we have designed and implemented a manufacturing process, including proprietary programs, which is designed to be reliable and scalable. We have automated our manufacturing processes, which are currently operating at clinical scale, in systems designed to minimize touchpoints and potential contamination and increase throughput. Our cell-type specific manufacturing platform is designed to support rapid development of our DeltEx product candidates through clinical trials and the regulatory approval process. Our manufacturing allows us to scale, while maintaining quality controls, which would be challenging with manual lab-scale processes. We have optimized transduction and cell expansion in processes we believe can be rapidly scaled for commercial supply in a controlled environment at a reasonable cost, if any of our product candidates are successfully developed and approved by the FDA. We have also demonstrated successful cryopreservation and delivery of our thawed product candidates to patients in our clinical trials, while maintaining cell viability and functionality.</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0"/>
        </w:rPr>
        <w:t>Unique T cell engager properties.</w:t>
      </w:r>
      <w:r>
        <w:rPr>
          <w:color w:val="000000"/>
        </w:rPr>
        <w:t xml:space="preserve"> </w:t>
      </w:r>
      <w:r>
        <w:rPr>
          <w:rFonts w:ascii="Times New Roman" w:hAnsi="Times New Roman"/>
          <w:color w:val="000000"/>
          <w:sz w:val="20"/>
        </w:rPr>
        <w:t xml:space="preserve">We have developed a unique gamma-delta T cell based TCE that possesses properties that have not previously been demonstrated by others to our knowledge. We believe our TCEs have the ability to eliminate specifically targeted cells but can overcome the challenges of low gamma-delta T cell numbers through the significant expansion of gamma-delta T cells </w:t>
      </w:r>
      <w:r>
        <w:rPr>
          <w:rFonts w:ascii="Times New Roman" w:hAnsi="Times New Roman"/>
          <w:i/>
          <w:color w:val="000000"/>
          <w:sz w:val="20"/>
        </w:rPr>
        <w:t>in vivo</w:t>
      </w:r>
      <w:r>
        <w:rPr>
          <w:rFonts w:ascii="Times New Roman" w:hAnsi="Times New Roman"/>
          <w:color w:val="000000"/>
          <w:sz w:val="20"/>
        </w:rPr>
        <w:t xml:space="preserve">. Our TCE is a pan-gamma-delta TCE that engages both the Vd1+ and Vd2+ TCR populations. The unique properties of these cells may allow for deeper responses, and potentially better safety as gamma-delta T cells secrete lower amounts of IL-6 and may reduce the incidence of CRS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is common with both alpha-beta CAR-T and CD3-based TCEs. Ultimately, TCEs have a simpler manufacturing process, with lower costs, allow for repeat dosing and avoid lymphodepleting chemotherapies, which would be important in autoimmune indications.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Scientific Basis for Vd2+ Versus Vd1+ Gamma-Delta T Cells as Therapy for Solid Tumors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are several diverse subsets of gamma-delta T cells. The most predominant circulating subsets are the Vd2+, and the Vd1+. These cell types have specific features that impact their therapeutic potential across different indications. Vd2+ cells comprise approximately 2 to 10% of the circulating cell population. The Vd1+ cells are a minor (&lt;2%) circulating subset, but abundant in specific tissues, such as the intestines and the skin. While both subsets express NKG2D receptors that recognize stress ligands, only the Vd2+ subset can function as a professional APC, which can process and present antigens, recruit and activate additional immune cell types, a function that has not been documented for the Vd1+ T cell compartment and may make the Vg9Vd2 subset more attractive for use in solid tumor cancers. Our early clinical programs focused on developing therapeutic candidates using Vd2+ cells, due to certain advantages over the Vd1+ subset in certain indications, but there is a utility for the Vd1+ subset as well. Vd1+ cells have previously shown lower predisposition towards exhaustion and greater persistence in the autologous setting, this increased persistence in the allogeneic setting (other than allogeneic HSCT) may be irrelevant as host immune system recovery could result in their rejection by host NK cells which recover following lymphodepletion within approximately 15 to 30 days. Additionally, Th1 effector Vd1+ cells can be reprogrammed to a tumor promoting Th17, or IL-17 secreting, subtype after entering the microenvironment of certain tumors. While current </w:t>
      </w:r>
      <w:r>
        <w:rPr>
          <w:rFonts w:ascii="Times New Roman" w:hAnsi="Times New Roman"/>
          <w:i/>
          <w:color w:val="000000"/>
          <w:sz w:val="20"/>
        </w:rPr>
        <w:t>ex vivo</w:t>
      </w:r>
      <w:r>
        <w:rPr>
          <w:rFonts w:ascii="Times New Roman" w:hAnsi="Times New Roman"/>
          <w:color w:val="000000"/>
          <w:sz w:val="20"/>
        </w:rPr>
        <w:t xml:space="preserve"> expansion methods for Vd1+ cells have not resulted in pro-tumorigenic Th17-type responses to date, the potential for reprogramming of therapeutic Vd1+ cells within the TME remains a possibility. In contrast, Vd2+ cells are not known to produce Th17 or pro-tumoral subtypes.</w:t>
      </w:r>
    </w:p>
    <w:p>
      <w:pPr>
        <w:pStyle w:val="TextBody"/>
        <w:bidi w:val="0"/>
        <w:spacing w:before="120" w:after="360"/>
        <w:jc w:val="both"/>
        <w:rPr>
          <w:rFonts w:ascii="Times New Roman" w:hAnsi="Times New Roman"/>
          <w:color w:val="000000"/>
          <w:sz w:val="20"/>
        </w:rPr>
      </w:pPr>
      <w:r>
        <w:rPr>
          <w:rFonts w:ascii="Times New Roman" w:hAnsi="Times New Roman"/>
          <w:color w:val="000000"/>
          <w:sz w:val="20"/>
        </w:rPr>
        <w:t>We are a gamma-delta T cell company and are agnostic to Vd2+ versus Vd1+ subtypes. We believe each has a role and indications in which they may make sense based on the tumor biology and desired cellular mechanism of action. Our CSO, Dr. Lamb was in fact the first to publish a protocol for the expansion and manufacturing of Vd1+ gamma-delta T cells in 2001. We are currently advancing programs utilizing both Vd2+ and Vd1+ cells, using our cell-type specific expansion protocols and through TCEs. For the first time that we are aware of, our INB-600 TCE program has the potential to target both the Vd1+ and Vd2+ subpopulations simultaneously. We have developed our DeltEx platform to enable us to expand, activate and genetically modify gamma-delta T cells at scale, producing cells which are viable, functional and can be cryopreserved while maintaining their cytotoxicity.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Product Candidates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INB-100 for the Treatment of Patients with Hematological Malignancies Undergoing HSCT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INB-100 is an allogeneic DeltEx product candidate created from healthy donors, consisting of allogeneic, expanded activated gamma-delta T cells, with the goal of testing the safety of allogeneic gamma-delta T cells, reducing relapse, and improving overall survival in patients with hematological malignancies who have undergone allogeneic HSCT.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Hematological Malignancies Overview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Hematological malignancies are characterized by an abnormal and excessive proliferation of malignant hematopoietic cells in the marrow. In some patients, these cancerous cells proliferate rapidly, requiring urgent treatment. These include AML, ALL, chronic myeloid leukemia ("CML") in blast phase and myelodysplastic syndromes ("MDS"). There are few curative treatment options for these patients once they have progressed on standard-of-care first line therapies. One of the most effective is allogeneic HSCT, where the patient’s blood forming cells, including cancerous cells, are first destroyed using chemotherapy, radiation or a combination of both. The patient then receives new bone marrow stem cells from a healthy donor to "reset" and repopulate their hematopoietic system. Unfortunately, residual leukemic cells often exist, resulting in a leukemic relapse rate of approximately 25% within the first 100 days and up to 50% at one year.</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Our Solution — INB-100 for the Treatment of Patients with Hematological Malignancies Undergoing HSCT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Multiple retrospective studies of leukemia patients treated with alpha-beta TCD allogeneic HSCT showed that high levels of gamma-delta T cells were associated with a significantly higher rate of disease-free survival. In a foundational study led by Dr. Lamb, patients with high levels of gamma-delta T cells had a disease-free survival rate at seven years of over 70% compared to less than 20% for patients with low levels of gamma-delta T cells, which has been supported by subsequent studies. The majority of this effect was observed within six months of treatment. The primary cause of death for patients with low or normal levels of gamma-delta T cells was leukemic relapse. Often, leukemic relapse is due to a loss of MHC in any residual cancerous cells and gamma-delta T cells may offer a solution as their killing through stress signaling is independent of MHC. Approximately 60% of the patients with elevated gamma-delta T cells who relapsed were still surviving at the time of the publication compared to only 2%, or one patient, with low levels of gamma-delta T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INB-100 is an allogeneic DeltEx product candidate created from healthy donors, consisting of allogeneic, expanded activated gamma-delta T cells, with the goal of testing the safety of allogeneic gamma-delta T cells to boost gamma-delta T cell levels and improve overall survival in patients with hematological malignancies who have undergone allogeneic HSCT. We believe that supplementing the patient’s immune system with allogeneic gamma-delta T cells will lead to reduced incidence of relapse and improved survival in these patients as we are now achieving blood levels of gamma-delta T cells that have previously been demonstrated to be associated with higher rates of overall survival.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Phase 1 Clinical Trial of INB-100</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are collaborating with Joseph McGuirk, D.O. and the team at the University of Kansas Cancer Center, to conduct an investigator-sponsored Phase 1 dose escalation clinical trial of INB-100 to assess the safety and tolerability of INB-100 in patients with hematologic malignancies who are undergoing allogeneic haploidentical HSCT. The primary endpoints of this trial are safety and tolerability, and secondary endpoints include rates of acute and chronic GvHD, relapse rate and overall survival. Following completion of the dose escalation phase in 2023, a decision was made to declare dose level 2 our RP2D and add an expansion cohort of up to an additional 15 patients, for a total of up to 25 treated patients.</w:t>
      </w:r>
    </w:p>
    <w:p>
      <w:pPr>
        <w:pStyle w:val="TextBody"/>
        <w:bidi w:val="0"/>
        <w:jc w:val="both"/>
        <w:rPr>
          <w:rFonts w:ascii="Times New Roman" w:hAnsi="Times New Roman"/>
          <w:color w:val="000000"/>
          <w:sz w:val="20"/>
        </w:rPr>
      </w:pPr>
      <w:r>
        <w:rPr>
          <w:rFonts w:ascii="Times New Roman" w:hAnsi="Times New Roman"/>
          <w:color w:val="000000"/>
          <w:sz w:val="20"/>
        </w:rPr>
        <w:t>INB-100 is prepared from donor peripheral blood cells, while in parallel, patients undergo HSCT using donor bone marrow. INB-100 cells are administered post-engraftment with the goal of providing immunity during the period of immune cell reconstitution and long-term residual gamma-delta T cells that can scavenge any residual leukemic cells that may remain.</w:t>
      </w:r>
    </w:p>
    <w:p>
      <w:pPr>
        <w:pStyle w:val="TextBody"/>
        <w:bidi w:val="0"/>
        <w:jc w:val="both"/>
        <w:rPr/>
      </w:pPr>
      <w:r>
        <w:rPr/>
        <w:t> </w:t>
      </w:r>
    </w:p>
    <w:p>
      <w:pPr>
        <w:pStyle w:val="TextBody"/>
        <w:bidi w:val="0"/>
        <w:jc w:val="center"/>
        <w:rPr/>
      </w:pPr>
      <w:r>
        <w:rPr/>
        <w:drawing>
          <wp:inline distT="0" distB="0" distL="0" distR="0">
            <wp:extent cx="6486525" cy="3714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486525" cy="3714750"/>
                    </a:xfrm>
                    <a:prstGeom prst="rect">
                      <a:avLst/>
                    </a:prstGeom>
                  </pic:spPr>
                </pic:pic>
              </a:graphicData>
            </a:graphic>
          </wp:inline>
        </w:drawing>
      </w:r>
    </w:p>
    <w:p>
      <w:pPr>
        <w:pStyle w:val="TextBody"/>
        <w:bidi w:val="0"/>
        <w:jc w:val="both"/>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8. INB-100 Administration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depicted in Figure 8 above, patients are initially treated using a standard HSCT protocol, originally developed at Johns Hopkins University (the "Hopkins protocol"), under which these patients undergo non-myeloablative or reduced intensity conditioning ("RIC") regimen using chemotherapeutic agents that destroy their tumor cells as well as their healthy immune cells and post-transplant cyclophosphamide to reduce GvHD. They then undergo allogeneic bone marrow transplant. Prior to the bone marrow transplant, donors undergo leukapheresis to provide the starting material for INB-100 at least seven days prior to transplant. The INB-100 starting material will then be manufactured and cryopreserved. After approximately 15 to 20 days, hematopoietic stem cells from the donor engraft in the patient’s bone marrow and begin reconstituting the immune system. While the Hopkins protocol has decreased the risk of GvHD, there is also a reduced anti-leukemic effect. Accordingly, the rate of leukemic relapse is approximately 25% within the first 100 days and up to 50% at one year and even greater in those patients with high-risk and/or complex cytogenetics. More recent data presented at the American Society of Hematology (“ASH") 2023 annual meeting, in a 2,200 patient study by the EBMT demonstrates that leukemic relapse in AML patients receiving haploidentical stem cell transplantation with post-transplant cyclophosphamide continues to fall between 40-50%. Within five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days of neutrophil engraftment, our INB-100 product candidate is thawed and administered as a single weight-based dose, leading to an increase in the levels of gamma-delta T cells and potentially providing greater anti-leukemic effect and delaying relapse.</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The swimmers plot in Figure 9 below depicts the patient outcomes in the INB-100 Phase 1 trial. We believe the relapse free survival data as of January 17, 2025 (the "Cutoff Date"), which was presented at the 2025 TCT Meeting in February 2025, combined with the tolerability profile of INB-100, are encouraging for the treatment of older, high-risk leukemia patients with complex disease. Enrollment in the expansion cohort is ongoing to confirm the improvements in relapse free and overall survival observed to date. To further de-risk a future registrational randomized control trial, we are also seeking to add a parallel observational cohort to the Phase 1 trial to prospectively assess leukemia patients and enable comparison between patients receiving INB-100 to those who only receive standard haplotransplantation with RIC. As of the Cutoff Date, 100% of patients with AML remain relapse-free after receiving their dose of INB-100 after a median follow-up of 20.1 months. A total of 17 patients with leukemic diagnoses were enrolled as of the Cutoff Date and as previously reported, three patients had relapsed and, of those, two had died due to disease progression. The patients who relapsed to date, included other leukemic diagnoses (ALL, MDS, and MDS/MPN overlap with concurrent TP53 mutations). Across the initial 10 patient cohort, median morphologic CR was 18.8 months across all patients and 23.3 months for AML patients as of the Cutoff Date. Further, gamma-delta T cells demonstrated </w:t>
      </w:r>
      <w:r>
        <w:rPr>
          <w:rFonts w:ascii="Times New Roman" w:hAnsi="Times New Roman"/>
          <w:i/>
          <w:color w:val="000000"/>
          <w:sz w:val="20"/>
        </w:rPr>
        <w:t>in vivo</w:t>
      </w:r>
      <w:r>
        <w:rPr>
          <w:rFonts w:ascii="Times New Roman" w:hAnsi="Times New Roman"/>
          <w:color w:val="000000"/>
          <w:sz w:val="20"/>
        </w:rPr>
        <w:t xml:space="preserve"> expansion and long-term persistence through 365 days, a first for any donor-derived, allogeneic cellular therapy product. Along with our investigators, we believe patient outcomes in the trial to date are surpassing that of similar leukemia patients, including those with AML undergoing haploidentical transplantation without receiving INB-100. We expect to complete the enrollment of the expansion cohort in 2025, with long-term follow-up results anticipated in late 2025 and in 2026. </w:t>
      </w:r>
    </w:p>
    <w:p>
      <w:pPr>
        <w:pStyle w:val="TextBody"/>
        <w:bidi w:val="0"/>
        <w:jc w:val="center"/>
        <w:rPr/>
      </w:pPr>
      <w:r>
        <w:rPr/>
        <w:drawing>
          <wp:inline distT="0" distB="0" distL="0" distR="0">
            <wp:extent cx="6486525" cy="2990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486525" cy="2990850"/>
                    </a:xfrm>
                    <a:prstGeom prst="rect">
                      <a:avLst/>
                    </a:prstGeom>
                  </pic:spPr>
                </pic:pic>
              </a:graphicData>
            </a:graphic>
          </wp:inline>
        </w:drawing>
      </w:r>
    </w:p>
    <w:p>
      <w:pPr>
        <w:pStyle w:val="TextBody"/>
        <w:bidi w:val="0"/>
        <w:jc w:val="both"/>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9. Summary of Patients Treated in INB-100 Phase 1 Trial</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As shown in Figure 10 below, this compares favorably with real world data from AML patients retrieved from the Center for International Blood &amp; Marrow Transplant Research (“CIBMTR”) national database demonstrating a 32.2% relapse rate (n=679) and 25.3% mortality rate (n=684) at one-year and comparative data from the University of Kansas Cancer Center demonstrating a one-year 42.6% relapse rate (n=31) and 33.3% mortality (n=36, 2016-2024). We believe the high relapse and mortality rates at University of Kansas Cancer Center compared to the CIBMTR data as it is a center of excellence for transplantation and is a major tertiary referral center for the Midwest region. Patients referred to and treated at the center are likely sicker and have more complex disease.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pPr>
      <w:r>
        <w:rPr/>
        <w:drawing>
          <wp:inline distT="0" distB="0" distL="0" distR="0">
            <wp:extent cx="6486525" cy="2552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486525" cy="25527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10. Summary of Patients Treated in INB-100 vs. Real World Data</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As of January 17, 2025, there were eight AML patients in this INB-100 trial who have remained in CR for periods greater than one year, four for greater than two years and one nearing their five-year anniversary in remission. Notably, at the 2024 ASH Annual Meeting held in December 2024, data was presented that demonstrated that patients in both Cohorts 1 and 2 had </w:t>
      </w:r>
      <w:r>
        <w:rPr>
          <w:rFonts w:ascii="Times New Roman" w:hAnsi="Times New Roman"/>
          <w:i/>
          <w:color w:val="000000"/>
          <w:sz w:val="20"/>
        </w:rPr>
        <w:t>in vivo</w:t>
      </w:r>
      <w:r>
        <w:rPr>
          <w:rFonts w:ascii="Times New Roman" w:hAnsi="Times New Roman"/>
          <w:color w:val="000000"/>
          <w:sz w:val="20"/>
        </w:rPr>
        <w:t xml:space="preserve"> expansion and persistence of gamma-delta T cells that resulted in elevated gamma-delta T cell levels up to one-year post-transplant as shown in Figure 11 below. </w:t>
      </w:r>
    </w:p>
    <w:p>
      <w:pPr>
        <w:pStyle w:val="TextBody"/>
        <w:bidi w:val="0"/>
        <w:spacing w:before="240" w:after="160"/>
        <w:jc w:val="center"/>
        <w:rPr/>
      </w:pPr>
      <w:r>
        <w:rPr/>
        <w:drawing>
          <wp:inline distT="0" distB="0" distL="0" distR="0">
            <wp:extent cx="5038725" cy="3667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038725" cy="366712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11. Summary of Patients Treated in INB-100 gamma-delta T cell persistence and expansion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INB-100 continues to demonstrate a manageable safety profile to-date, with no dose-limiting toxicities, no treatment-related Grade 3 or greater adverse events, and no CRS, or immune effector cell-associated neurotoxicity syndrome (“ICANS”). Approximately 56% of patients across all time points have sustained steroid responsive Grade 1/2 GvHD that has been mostly resolved with steroids therapy. No events of Grade 3 or greater GvHD, CRS or ICANS has been observed. Three patients have reported mild chronic GvHD.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2024 we held a Type B meeting with the FDA and received regulatory guidance to advance INB-100 as a post-transplant maintenance therapy for AML, with relapse-free survival designated as the primary endpoint. AML represents one of the most common leukemias, with approximately 21,000 newly diagnosed patients annually, which is also widely treated with allogeneic HSCT. To validate the observed improvements in relapse-free and overall survival and further de-risk a future registrational randomized controlled trial, we are seeking to add a parallel observational cohort as a control. This parallel cohort will try to prospectively assess leukemia patients undergoing haploidentical transplantation without receiving INB-100, enabling comparison with patients treated with INB-100. Along with our investigators, we believe patient outcomes in the trial to date are surpassing that of similar leukemia patients, including those with AML undergoing haploidentical transplantation without receiving INB-100. The expansion cohort is currently enrolling and we expect to complete this additional expansion cohort in 2025, with long-term follow-up results anticipated in late 2025 and in 2026.</w:t>
      </w:r>
    </w:p>
    <w:p>
      <w:pPr>
        <w:pStyle w:val="TextBody"/>
        <w:bidi w:val="0"/>
        <w:spacing w:before="240" w:after="120"/>
        <w:jc w:val="left"/>
        <w:rPr>
          <w:rFonts w:ascii="Times New Roman" w:hAnsi="Times New Roman"/>
          <w:sz w:val="20"/>
        </w:rPr>
      </w:pPr>
      <w:r>
        <w:rPr>
          <w:rFonts w:ascii="Times New Roman" w:hAnsi="Times New Roman"/>
          <w:b/>
          <w:i/>
          <w:color w:val="000000"/>
          <w:sz w:val="20"/>
        </w:rPr>
        <w:t>INB-100 Preclinical Studies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Animal studies and indirect evidence from human allogeneic transplant studies suggest that gamma-delta T cells can facilitate engraftment, which may translate into faster reconstitution of the immune system. In a murine allogeneic transplant model, donor gamma-delta T cells facilitated the engraftment of TCD donor bone marrow. When TCD donor marrow was supplemented with up to 3x10</w:t>
      </w:r>
      <w:r>
        <w:rPr>
          <w:rFonts w:ascii="Times New Roman" w:hAnsi="Times New Roman"/>
          <w:color w:val="000000"/>
          <w:sz w:val="13"/>
        </w:rPr>
        <w:t>6</w:t>
      </w:r>
      <w:r>
        <w:rPr>
          <w:rFonts w:ascii="Times New Roman" w:hAnsi="Times New Roman"/>
          <w:color w:val="000000"/>
          <w:sz w:val="20"/>
        </w:rPr>
        <w:t xml:space="preserve"> gamma-delta T cells prior to infusion into mismatched recipients, donor chimerism increased by approximately 40%. A separate study revealed similar findings in MHC-mismatched mice, and later demonstrated that the gamma-delta T cell dose necessary to facilitate engraftment did not result in lethal murine GvHD. Improved engraftment was also observed in lethally irradiated rats reconstituted with 1x10</w:t>
      </w:r>
      <w:r>
        <w:rPr>
          <w:rFonts w:ascii="Times New Roman" w:hAnsi="Times New Roman"/>
          <w:color w:val="000000"/>
          <w:sz w:val="13"/>
        </w:rPr>
        <w:t>8</w:t>
      </w:r>
      <w:r>
        <w:rPr>
          <w:rFonts w:ascii="Times New Roman" w:hAnsi="Times New Roman"/>
          <w:color w:val="000000"/>
          <w:sz w:val="20"/>
        </w:rPr>
        <w:t xml:space="preserve"> alpha-beta T cell depleted bone marrow, suggesting that gamma-delta T cells are able to facilitate improved engraftment even in the absence of alpha-beta T cells. In this study, all rats engrafted with a mean of 92% (± 4%) donor cells and showed no clinical evidence of GvHD. Studies comparing patients who received alpha-beta TCD grafts with those receiving pan-TCD grafts also show a positive association between the number of gamma-delta T cells in the graft and less time to engraftment.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Both murine and human studies suggest that gamma-delta T cells are not primary initiators of GvHD and may in fact modulate the GvHD activity of alpha-beta T cells. Indeed, large doses of expanded gamma-delta T cells have been infused into lethally irradiated MHC-disparate mice without causing GvHD. Although it has been observed that gamma-delta T cells have activated GvHD response, the investigators reporting this study found no direct evidence that GvHD was initiated by gamma-delta T cells. In two separate human trials, it was observed that gamma-delta T cells were not substantially activated in the </w:t>
      </w:r>
      <w:r>
        <w:rPr>
          <w:rFonts w:ascii="Times New Roman" w:hAnsi="Times New Roman"/>
          <w:i/>
          <w:color w:val="000000"/>
          <w:sz w:val="20"/>
        </w:rPr>
        <w:t>in vitro</w:t>
      </w:r>
      <w:r>
        <w:rPr>
          <w:rFonts w:ascii="Times New Roman" w:hAnsi="Times New Roman"/>
          <w:color w:val="000000"/>
          <w:sz w:val="20"/>
        </w:rPr>
        <w:t xml:space="preserve"> allogeneic mixed lymphocyte culture. Several studies post-HSCT have shown transient increases in gamma-delta T cells, but have not associated this finding with GvHD. Studies comparing outcomes of patients that received alpha-beta T cell depleted grafts with pan-T cell depleted grafts all showed a lower incidence of GvHD in the alpha-beta T cell depleted group, suggesting that infusion of gamma-delta T cells in the graft does not subject the recipient to increased risk of GvHD. Whether gamma-delta T cells are truly less likely to contribute to the development of GvHD or the contribution of any residual alpha-beta T cells in the graft remains untested. However, from the above reasoning, it is logical to propose that in future studies, gamma-delta T cells might indeed be introduced in the setting of allogeneic HSCT, specifically to provide innate anti-tumor effect with only minimal risk of GvHD.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INB-200 and 400 for the Treatment of Solid Tumors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INB-200 is a genetically modified, autologous gamma-delta T cell product to be administered in combination with the current standard-of-care chemotherapy in newly diagnosed GBM, where median PFS has remained at 6 to 7 months since 2005. We engineered INB-200 to be resistant from being killed by certain types of alkylating chemotherapies. Alkylating chemotherapies function by creating DNA damage and strand breaks that lead to cell suicide or apoptosis. The protein O-6-Methylguanine-DNA Methyltransferase ("MGMT"), is a primary DNA repair protein capable of repairing damage to DNA caused by certain chemotherapies that prevents cell death. Through the introduction of a gene encoding MGMT into gamma-delta T cells, these genetically modified DeltEx DRI cells are designed to survive concurrent dosing with chemotherapy and remain functional. In preclinical studies in patient-derived xenografts, published in the Nature portfolio journal Scientific Reports in October 2021, INB-200 demonstrated antitumor activity, including long-term survival and eradication of the tumor as evidenced by histopathology. We initially developed INB-200 to treat newly diagnosed patients with GBM during the maintenance phase following resection and initial radiation and chemotherapy. The fully enrolled INB-200 investigator-sponsored Phase 1 clinical trial is a dose escalation protocol for newly diagnosed GBM patients conducted at the Heersink School of Medicine and O’Neal Comprehensive Cancer Center at the University of Alabama at Birmingham ("UAB"). The protocol is designed to evaluate single and multi-dose schedules of a fixed number cell dose of the DeltEx DRI gamma-delta T cell therapy. We have completed enrollment and expect to provide clinical updates and long-term follow-up throughout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September 2024, while the IND remains open and we continue to treat enrolled patients, we suspended enrollment of additional patients in our Phase 2 multi-center clinical trial of INB-400, for the treatment of newly diagnosed GBM. This trial sought to expand the assessment of genetically modified, DRI gamma-delta T cells in newly diagnosed GBM patients in specialized centers across the United States. We will continue to follow any enrolled patients for safety, PFS and OS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preliminary data to be reported in 2025. We have completed patient dosing in the investigator-sponsored Phase 1 trial of INB-200 (NCT04165941) in newly diagnosed GBM patients. We presented an oral plenary presentation at the SNO Annual Meeting in November 2024 where we provided longer-term follow-up and additional data supporting the activity of our DRI gamma-delta T cell approach from the Phase 1 trial of INB-200. As of October 18, 2024, the clinical data demonstrates that 50% of patients who received repeated doses (n=10) remained alive and in remission beyond the expected median OS from standard-of-care ("Stupp regimen") with temozolomide (“TMZ”), while none of the patients who received a single dose (n=3) achieved this outcome. As of that date, 92% of evaluable patients treated in the investigator-sponsored trial exceeded the median PFS of 6.9 typically months achieved by the Stupp regimen, with a majority exceeding their expected PFS based on their age and the MGMT status of their tumors. Patients who received repeated doses of INB-200 demonstrated a 79% increase in median PFS (12.4 months) as compared to the Stupp regimen and an almost 50% increase in median PFS as compared to the 8.3 months in the three patients treated who received only a single dose of INB-200 in Cohort 1. One patient with an IDH-mutant glioma remains alive and progression free at over 40.5 months. In recently updated clinical trial results of another experimental therapy, IDH-mutant patients demonstrated a median PFS of 11.4 months in the control arm with all patients having relapsed by 31 months in the control arm (n=163 patients). We believe our DRI gamma-delta T cell therapeutic approach can be applied to multiple solid tumor types and plan to seek strategic alternatives and to potentially partner this program. In April 2023, we received Orphan Drug Designation for the autologous and allogeneic INB-400 products from the FDA, covering a broad range of malignant glioma indications, including relapsed and newly diagnosed GBM.</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GBM Overview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GBM is a particularly aggressive form of brain cancer, in which tumor cells invade the surrounding neural tissue, rendering a cure with surgical resection and chemotherapy unlikely. The incidence of GBM in the United States is estimated to be approximately 3.5 in 100,000 individuals, with almost 14,500 new cases having been estimated in 2023 by the National Brain Tumor Society ("NDTS"). Surgical resection followed by radiation and TMZ has been the current standard-of-care since 2005, but it is only able to control tumor growth in approximately 30% of patients. Based on current standard-of-care, tumor recurrence typically occurs within six or seven months after initial diagnosis and treatment. A third-party trial published in 2017 indicated that older newly diagnosed GBM patients with unmethylated MGMT treated with radiation therapy and TMZ had median progression free survival of only 4.8 months (95% CI (4.3-5.6)) while median overall survival for GBM patients remains about 16 months irrespective of tumor methylation status. Ultimately, virtually all patients will relapse, creating a significant unmet medical need with a potential global market opportunity greater than $4 billion.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Our Solution — INB-200 and INB-400 for the Treatment of Newly Diagnosed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Chemotherapy, a mainstay of solid tumor treatment, can deplete and damage immune cells, limiting their ability to seek and kill tumors. Despite these limitations, chemotherapy continues to be used in standard-of-care regimens because of its ability to rapidly and directly kill tumors. Chemotherapy, however, can also result in the selection of residual tumor cells that are chemotherapy resistant and lead to disease recurrence. Studies show that the injury response to DNA damage from chemotherapy in tumor cells can promote anti-tumor immune activity and impact subsequent tumor rejection. These positive immune effects are obstructed by the lymphodepleting properties of chemotherapy, which can severely reduce the number of immune cells, such as gamma-delta T cells, that can seek out and kill the residual tumor cells. We have leveraged our proprietary genetic modifications of gamma-delta T cells to protect the cells from chemotherapy-induced damage, allowing for their concurrent delivery with chemotherapy. This could potentially enable our candidates to recognize and kill residual tumor cells, including chemotherapy-resistant cells and cancer stem-cells, by attacking at the time when the tumor is experiencing maximum chemotherapy-induced stress and vulnerability.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engineered INB-200 and INB-400 using a lentiviral vector to introduce the gene for MGMT, which is the primary protein capable of repairing DNA damage caused by alkylating chemotherapeutic drugs, such as TMZ. Tumor cells that over-express MGMT are resistant to TMZ and the current standard-of-care in GBM. By introducing MGMT into our DeltEx gamma-delta T cells, these genetically modified cells are designed to avoid TMZ-induced cell death. There is also considerable preclinical support for the use of gamma-delta T cells for the treatment of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is a significant unmet need as most patients with GBM die within 15 to 16 months of diagnosis and the five-year survival rate is approximately 5%. Over 80% of treated GBM patients recur within 2cm of the original resection site, suggesting that recurrence is not due to metastases, but due to local microscopic residual tumor cells that were not surgically resectable and that may be resistant to radiotherapy and chemotherapy. We believe that to have a clinically meaningful impact to patient outcomes, we must be able to target three categories of cells within the tumor: (i) cells sensitive to radiotherapy and chemotherapy; (ii) cells resistant to chemotherapy and (iii) cancer stem-like cells that are able to avoid immune detection and continue seeding tumor persistence.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gamma-delta T cell technology has the potential to be a more durable therapy due to limited resistance mechanisms developed in response to it. By combining our DeltEx DRI therapeutic candidate concurrently with alkylating chemotherapies,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approach can promote the upregulation of stress ligands across all three of these categories, making the GBM cells identifiable by our gamma-delta T cells. CAR-T therapies or any targeted therapy that targets a single antigen is prone to loss of efficacy over time as tumor cells lose, downregulate, or shed the tumor target in response to persistent stimulation. Unlike other CAR-T therapies that are reliant on a single tumor target to ensure tumor cell engagement, our technology generates a stressor that upregulates ligands, i.e., NKG2D ligands, that then activate the gamma-delta T cells. These ligands comprise an intrinsic stress mechanism that is upregulated with hypoxia, DNA instability or any condition that generates circumstances that may limit cell viability. Therefore, there is less likelihood of loss of NKG2D ligands as it is impossible to eliminate all stressors that lead to upregulation of NKG2D ligands that activate gamma-delta T cells. Our unique approach seeks to increase tumor antigen density on the surface of tumor cells to drive activation of immune responses and via an antigen that is tumor agnostic. By pairing our therapy with TMZ we are harnessing the ability of TMZ to upregulate multiple NKG2D ligands to ensure the gamma-delta T cells have the appropriate activation signals already in place to maximize their activity.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believe newly diagnosed GBM may be the ideal indication to assess the potential of INB-200 and INB-400 to drive clinical antitumor activity due to the intrinsic role that TMZ plays in its therapy and with the ability to ensure targeted therapeutic delivery to the tumor site. A third-party paper analyzing the impact of pre-conditioning on the TME to enhance solid tumor CAR-T cell therapy indicated that single-antigen targeting CAR-Ts have been hampered by tumor antigen escape, immune suppression, and lack of T cell trafficking. The inability to infiltrate the tumor site by intravenously delivered CAR-T was due largely to the trapping of adoptively transferred cells in first-pass tissues, such as the lung and liver rather than trafficking to the targeted tumor sites. We believe our approach minimizes the risk of tumor antigen escape because TMZ causes the upregulation of cellular stress signals, consisting of multiple polyclonal ligands that can be recognized by the gamma-delta T cell. Furthermore, our DeltEx DRI approach in newly diagnosed GBM was specifically designed to overcome challenges of systemic T cell localization. The administration of DeltEx DRI cells in INB-200 and INB-400, through an intracranial catheter, directly to the tumor resection site ensures access of the cells to the tumor site and may increase the E:T ratio, and permits localizing the therapy to the specific target area, improving the antitumor activity of cell therapies over intravenous delivery. In the past, other novel modalities, such as treatment with adeno-associated virus ("siRNAs"), demonstrated early clinical response by also targeting locally deliverable organ systems such as the eye or liver. Newly diagnosed GBM patients have a more intact immune system that does not have the immune suppression resulting from multiple rounds of earlier chemotherapy and/or radiation as do relapsed populations in whom the CAR-T therapies have been assessed. All immune therapies require an adequate baseline immune activity to maximize their effect. Hence, introducing this therapy in a newly diagnosed population may ensure that the patients have more robust immune systems available to fully mobilize upon tumor cell destruction caused by gamma-delta cell therapy.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INB-200 — Phase 1 Clinical Trial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conducted an investigator-sponsored Phase 1 repeat dose escalation trial of INB-200 at UAB. We have completed enrollment and patient dosing of the Phase 1 trial with 13 patients evaluable for dose-limiting toxicity with newly diagnosed GBM who have completed standard induction therapy with TMZ chemotherapy and radiotherapy and are eligible to initiate maintenance therapy with TMZ. We believe that the survival data along with histopathology and radiographic data are indicative of positive treatment effects, which highlight the potential of our genetically modified, chemotherapy-resistant gamma-delta T cells as a potential first-in-class therapy for patients with solid tumor cancers such as GBM.</w:t>
      </w:r>
    </w:p>
    <w:p>
      <w:pPr>
        <w:pStyle w:val="TextBody"/>
        <w:bidi w:val="0"/>
        <w:spacing w:before="0" w:after="120"/>
        <w:jc w:val="both"/>
        <w:rPr>
          <w:rFonts w:ascii="Times New Roman" w:hAnsi="Times New Roman"/>
          <w:sz w:val="20"/>
        </w:rPr>
      </w:pPr>
      <w:r>
        <w:rPr>
          <w:rFonts w:ascii="Times New Roman" w:hAnsi="Times New Roman"/>
          <w:color w:val="000000"/>
          <w:sz w:val="20"/>
        </w:rPr>
        <w:t>The primary endpoint of this trial is to assess the safety and tolerability of expanded and activated autologous MGMT genetically modified gamma-delta T cell infusion. Safety will be assessed with single and multiple infusions of 1x10</w:t>
      </w:r>
      <w:r>
        <w:rPr>
          <w:rFonts w:ascii="Times New Roman" w:hAnsi="Times New Roman"/>
          <w:color w:val="000000"/>
          <w:sz w:val="13"/>
        </w:rPr>
        <w:t>7</w:t>
      </w:r>
      <w:r>
        <w:rPr>
          <w:rFonts w:ascii="Times New Roman" w:hAnsi="Times New Roman"/>
          <w:color w:val="000000"/>
          <w:sz w:val="20"/>
        </w:rPr>
        <w:t xml:space="preserve"> DeltEx DRI gamma-delta T cells administered through a fenestrated intracranial catheter placed in the resection cavity of the tumor. Secondary endpoints include overall survival, time to progression and response. We also assess biologic activity, including serum and cellular cytokines, immune cell composition, biomarkers, and cell-free DNA both peripherally and from the cerebral spinal fluid, if available. This clinical strategy takes advantage of maximizing gamma-delta T cell cytotoxicity by administering it along with TMZ chemotherapy. The tumor is experiencing maximum stress, increased immunogenicity and expressing high levels of NKG2D ligands required to stimulate the gamma-delta T cells as a result of treatment with TMZ. Further, the natural lymphodepletion achieved by standard-of-care TMZ ensures that the chemo-resistant gamma-delta cells remain enriched in the vicinity of tumor to eliminate or slow growth of residual tumor.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Eligible patients receive standard-of-care therapy, which includes surgical resection of the GBM tumor, post-surgical induction TMZ and radiation therapy, followed by maintenance TMZ in combination with INB-200, as shown in Figure 10 below. During resection, an intracranial catheter (Rickham catheter) is placed for injection of the INB-200 product. Blood cells for genetic modification are taken from the patient by leukapheresis several weeks following resection, after the patient’s immune system has been allowed to recover from the immunosuppressive environment created by resident tumor. Gamma-delta T cells are then isolated, genetically modified and expanded into the INB-200 product candidate, and then cryopreserved. No more than six weeks post-surgery, patients are treated with induction therapy consisting of daily radiation and TMZ for six weeks followed by a four-week break. Following the four-week period, corticosteroid use is usually tapered, and the patient begins a maintenance phase of TMZ for the first five days of each 28-day cycle for up to six cycles.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INB-400 (Autologous and Allogeneic): Phase 2 Clinical Trials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Enrollment in the INB-400 Phase 2 trial was suspended in September 2024 as part of our cash conservation efforts. We are working to identify potential alternative sources of funding and with advisors to seek potential partnership opportunities for this asset. INB-400 was designed to assess the relative risk-benefit ratio of allogeneic versus autologously derived genetically modified gamma-delta T cells for treatment patients with GBM, including patients with newly diagnosed GBM. The trial was also designed to assess the activity of allogeneic cells in the relapsed setting in a potentially registrational arm. The IND remains open as a number of patients have been enrolled from multiple centers and patients continue to undergo treatment. We will follow these patients for safety, progression-free and overall survival with preliminary data expected to be reported in 2025. </w:t>
      </w:r>
    </w:p>
    <w:p>
      <w:pPr>
        <w:pStyle w:val="TextBody"/>
        <w:bidi w:val="0"/>
        <w:jc w:val="center"/>
        <w:rPr/>
      </w:pPr>
      <w:r>
        <w:rPr/>
        <w:t> </w:t>
      </w:r>
    </w:p>
    <w:p>
      <w:pPr>
        <w:pStyle w:val="TextBody"/>
        <w:bidi w:val="0"/>
        <w:spacing w:before="0" w:after="120"/>
        <w:jc w:val="center"/>
        <w:rPr/>
      </w:pPr>
      <w:r>
        <w:rPr/>
        <w:drawing>
          <wp:inline distT="0" distB="0" distL="0" distR="0">
            <wp:extent cx="5381625" cy="304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381625" cy="30480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12. INB-200 and INB-400 Administration Protocol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decision to combine DeltEx DRI gamma-delta T cells in the newly diagnosed GBM setting as an adjunct to standard-of-care therapy was driven by biology, data, and the desire to overcome challenges as outlined above. In this trial, we sought to attack any residual tumor cells when they are most vulnerable with immune cells that are as healthy as possible. By combining DeltEx DRI gamma-delta T cells with maintenance TMZ, we sought to deepen responses achieved by induction chemoradiation by further eliminating residual tumor and driving prolonged immune responses. In addition, introducing gamma-delta T cells in a newly diagnosed population of patients ensures that these patients’ immune systems are as robust and active as feasible to take advantage of tumor elimination created by the gamma-delta T cells. Patients are dosed with INB-200 via intracranial catheter injection, as shown in Figure 12 above, within four hours of receiving intravenous dosing with TMZ on day one of the maintenance cycle. Standard-of-care oral dosing of TMZ continues for the four subsequent days during each 28-day treatment cycle, as shown in Figure 13 below. Depending on which dose cohort they are enrolled in, patients were administered either one, three or six injections of INB-200.</w:t>
      </w:r>
    </w:p>
    <w:p>
      <w:pPr>
        <w:pStyle w:val="TextBody"/>
        <w:bidi w:val="0"/>
        <w:spacing w:before="0" w:after="160"/>
        <w:jc w:val="center"/>
        <w:rPr/>
      </w:pPr>
      <w:r>
        <w:rPr/>
        <w:drawing>
          <wp:inline distT="0" distB="0" distL="0" distR="0">
            <wp:extent cx="6486525" cy="1962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486525" cy="196215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13. Treatment and Manufacturing Timeline of the INB-200 Phase 1 Trial</w:t>
      </w:r>
    </w:p>
    <w:p>
      <w:pPr>
        <w:pStyle w:val="TextBody"/>
        <w:bidi w:val="0"/>
        <w:spacing w:before="120" w:after="120"/>
        <w:jc w:val="both"/>
        <w:rPr>
          <w:rFonts w:ascii="Times New Roman" w:hAnsi="Times New Roman"/>
          <w:sz w:val="20"/>
        </w:rPr>
      </w:pPr>
      <w:r>
        <w:rPr>
          <w:rFonts w:ascii="Times New Roman" w:hAnsi="Times New Roman"/>
          <w:color w:val="000000"/>
          <w:sz w:val="20"/>
        </w:rPr>
        <w:t>In 2024, we provided multiple clinical updates for INB-200 including a plenary oral presentation at the 2024 SNO Annual Meeting in November 2024 and, a poster presentation at the 2024 ASCO Annual Meeting. At SNO, we indicated that as of October 18, 2024, 23 patients with newly diagnosed GBM have been enrolled in this trial and a total of 13 patients have been treated with INB-200, including three patients in Cohort 1, four patients in Cohort 2 and six patients in Cohort 3. All Cohorts had completed dosing as of December 31, 2024 and continue to be monitored. The trial assessed the administration of 1x10</w:t>
      </w:r>
      <w:r>
        <w:rPr>
          <w:rFonts w:ascii="Times New Roman" w:hAnsi="Times New Roman"/>
          <w:color w:val="000000"/>
          <w:sz w:val="13"/>
        </w:rPr>
        <w:t>7</w:t>
      </w:r>
      <w:r>
        <w:rPr>
          <w:rFonts w:ascii="Times New Roman" w:hAnsi="Times New Roman"/>
          <w:color w:val="000000"/>
          <w:sz w:val="20"/>
        </w:rPr>
        <w:t xml:space="preserve"> cells per dose across three different dosing regimens increasing from a single dose in Cohort 1, three doses in Cohort 2, and six doses in Cohort 3. No infusion reactions, CRS, neurotoxicity, or other dose limiting toxicities ("DLTs"), or treatment-related series adverse events ("SAEs"), or treatment-emergent adverse events ("AEs"), were observed in Cohorts 1 2, or 3 to date. 50% of patients who received repeated doses (n=10) remained alive and in remission beyond the expected median OS from standard-of-care Stupp regimen while none of the patients who received a single dose (n=3) achieved this outcome. As of that date, 92% of evaluable patients treated with INB-200 for GBM surpassed a median standard-of-care Stupp regimen PFS of 6.9 months, with a majority exceeding their expected PFS based on their age and the MGMT status of their tumors and five patients remain alive with one IDH-mutation patient, with a grade 4 brain tumor, remaining progression free at 40.5 months post treatment. In 2023, Novocure announced the final results of the Phase 2 TOP study of TTFields (Optune) plus Merck’s pembrolizumab plus maintenance TMZ in patients with newly diagnosed GBM. In 26 GBM patients with a median age of 60.5 years, 73% with MGMT-unmethylated GBM, and 11.5% with an IDH-mutation, median PFS was reported as 12 months, surpassing the 5.8 months of a case-matched control cohort.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treatment, all patients are monitored for biologic correlates, time to disease progression and overall survival. The most common AEs were Grade 1/2 events including fatigue, asthenia, urinary tract infection, nausea, headache, platelet and white blood cell count decreased, balance disorders, decreased appetite, hydrocephalus, attributable to TMZ, radiotherapy or disease. One subject had Grade 3 treatment of unrelated AEs of urinary tract infection, dehydration, and thrombocytopenia. There were no treatment related deaths, any reports "ICANs, or CRS and repeat dosing has not changed the toxicity profile of this agent as of October 18, 2024.</w:t>
      </w:r>
    </w:p>
    <w:p>
      <w:pPr>
        <w:pStyle w:val="TextBody"/>
        <w:bidi w:val="0"/>
        <w:jc w:val="both"/>
        <w:rPr/>
      </w:pPr>
      <w:r>
        <w:rPr/>
        <w:t> </w:t>
      </w:r>
    </w:p>
    <w:p>
      <w:pPr>
        <w:pStyle w:val="TextBody"/>
        <w:bidi w:val="0"/>
        <w:jc w:val="center"/>
        <w:rPr/>
      </w:pPr>
      <w:r>
        <w:rPr/>
        <w:drawing>
          <wp:inline distT="0" distB="0" distL="0" distR="0">
            <wp:extent cx="6486525" cy="3105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486525" cy="3105150"/>
                    </a:xfrm>
                    <a:prstGeom prst="rect">
                      <a:avLst/>
                    </a:prstGeom>
                  </pic:spPr>
                </pic:pic>
              </a:graphicData>
            </a:graphic>
          </wp:inline>
        </w:drawing>
      </w:r>
    </w:p>
    <w:p>
      <w:pPr>
        <w:pStyle w:val="TextBody"/>
        <w:bidi w:val="0"/>
        <w:jc w:val="both"/>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14. Summary of Patients Enrolled in INB-200 Phase 1 Trial</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Figure 14 above depicts treatment outcomes for patients treated as of October 18, 2024. These data demonstrate that patients have exceeded expected PFS based on their age and tumor MGMT status and have exceeded the median PFS predicted of this patient population (6-7 months). Of the three patients who received a single dose of INB-200 median PFS was 8.3 months and across all patients (n=10) who received multiple doses, median PFS increased by almost 50% to 12.4 months, surpassing the median PFS results reported by Novocure above. Biopsy results are confirming the infiltration and persistence of gamma-delta T cells along with CD3+ and CD8+ T cells within the brain tumor microenvironment in patients following treatment with INB-200. In one patient (022), we demonstrate histopathology from paired biopsies at first diagnoses and upon relapse after a receiving six doses of DeltEx DRI gamma-delta T cells (brown stain) in Figure 15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pPr>
      <w:r>
        <w:rPr/>
        <w:drawing>
          <wp:inline distT="0" distB="0" distL="0" distR="0">
            <wp:extent cx="6486525" cy="2352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486525" cy="2352675"/>
                    </a:xfrm>
                    <a:prstGeom prst="rect">
                      <a:avLst/>
                    </a:prstGeom>
                  </pic:spPr>
                </pic:pic>
              </a:graphicData>
            </a:graphic>
          </wp:inline>
        </w:drawing>
      </w:r>
    </w:p>
    <w:p>
      <w:pPr>
        <w:pStyle w:val="TextBody"/>
        <w:bidi w:val="0"/>
        <w:jc w:val="both"/>
        <w:rPr/>
      </w:pPr>
      <w:r>
        <w:rPr/>
        <w:t> </w:t>
      </w:r>
    </w:p>
    <w:p>
      <w:pPr>
        <w:pStyle w:val="TextBody"/>
        <w:bidi w:val="0"/>
        <w:spacing w:before="240" w:after="120"/>
        <w:jc w:val="both"/>
        <w:rPr/>
      </w:pPr>
      <w:r>
        <w:rPr/>
        <w:t> </w:t>
      </w:r>
    </w:p>
    <w:p>
      <w:pPr>
        <w:pStyle w:val="TextBody"/>
        <w:bidi w:val="0"/>
        <w:spacing w:before="240" w:after="120"/>
        <w:jc w:val="both"/>
        <w:rPr/>
      </w:pPr>
      <w:r>
        <w:rPr/>
        <w:drawing>
          <wp:inline distT="0" distB="0" distL="0" distR="0">
            <wp:extent cx="6486525" cy="304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486525" cy="30480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15. Gamma-Delta T cells, CD3+ and CD8+ T Cells Infiltrating and Persisting in Brain Tissue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completed enrollment and we expect to provide clinical updates and long-term follow-up at medical meetings throughout 2025.</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INB-200 — Preclinical Studies in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Malignant high-grade GBM in both humans and mice express stress ligands that are known to activate NKG2D and are targets for gamma-delta T cell attack. In preclinical testing, gamma-delta T cells exhibited strong cytotoxic activity against several GBM cell lines and primary explant cultures. Normal human brain cells do not express these stress ligands and are not affected.</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To assess the antitumor activity of exogenous gamma-delta T cells in GBM as an initial proof-of-concept, it was observed that </w:t>
      </w:r>
      <w:r>
        <w:rPr>
          <w:rFonts w:ascii="Times New Roman" w:hAnsi="Times New Roman"/>
          <w:i/>
          <w:color w:val="000000"/>
          <w:sz w:val="20"/>
        </w:rPr>
        <w:t>ex vivo-</w:t>
      </w:r>
      <w:r>
        <w:rPr>
          <w:rFonts w:ascii="Times New Roman" w:hAnsi="Times New Roman"/>
          <w:color w:val="000000"/>
          <w:sz w:val="20"/>
        </w:rPr>
        <w:t>expanded and activated human gamma-delta T cells prevented emergence of tumors in a U251 GBM model in immunocompromised mice, leading to increased overall survival.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immunocompetent mice, we found that implantation of GL261 GBM cell line tumors led to a significant increase in levels of endogenous gamma-delta T cells, however these levels decreased over time coincident with tumor progression. Previous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clinical studies in GBM and in extracranial malignancies have shown that this decrease is likely a result of T cell exhaustion due to their continuous stimulation by a large and highly aggressive tumor. Indeed, in this study we showed that the increased peripheral blood gamma-delta T cells seen in response to the tumor were already expressing the pre-apoptotic marker Annexin V. Exogenous administration of gamma-delta T cells into the brain immediately after tumor implantation increased overall survival in this model, however these results were not statistically significant.</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Improved Antitumor Activity in Combination with Chemotherapy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on several years of peer-reviewed and published preclinical work, as well as early human cancer trials, we believe that INB-200 can work in synergy with chemotherapy by causing changes in cancer cells that result in increased expression of activating ligands of gamma-delta T cell and NK cell function, such as NKG2D. In preclinical studies, treatment of TMZ-resistant GBM cells derived from the U87 human GBM cell line with TMZ led to transient increases in a broad panel of stress ligands recognized by the NKG2D receptor, as shown in Figure 16 below.</w:t>
      </w:r>
    </w:p>
    <w:p>
      <w:pPr>
        <w:pStyle w:val="TextBody"/>
        <w:bidi w:val="0"/>
        <w:spacing w:before="0" w:after="240"/>
        <w:jc w:val="center"/>
        <w:rPr/>
      </w:pPr>
      <w:r>
        <w:rPr/>
        <w:drawing>
          <wp:inline distT="0" distB="0" distL="0" distR="0">
            <wp:extent cx="5400675" cy="26955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400675" cy="269557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16. Increased NKG2D Ligand Expression Observed on TMZ-Resistant Tumor Cells Treated with TMZ</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shown in Figure 17 below, additional studies in glioma cells have demonstrated that NKG2D ligands are also expressed on cancer stem cells, considered as cells that express factors, such as Klf-4, Oct-4, Sox-2, Nanog and Musashi-1. </w:t>
      </w:r>
    </w:p>
    <w:p>
      <w:pPr>
        <w:pStyle w:val="TextBody"/>
        <w:bidi w:val="0"/>
        <w:spacing w:before="0" w:after="240"/>
        <w:jc w:val="center"/>
        <w:rPr/>
      </w:pPr>
      <w:r>
        <w:rPr/>
        <w:drawing>
          <wp:inline distT="0" distB="0" distL="0" distR="0">
            <wp:extent cx="5267325" cy="13049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267325" cy="130492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17. Cancer Stem-Like Cells Co-Express Stem-Cell Markers and NKG2D Ligands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Treatment with TMZ demonstrated that NKG2D ligand expression can also be upregulated several fold on GBM stem-like cells, as depicted in Figure 18 below. This increase in stress ligand expression, even in TMZ-resistant and stem-like cancer cells, has the potential to increase the vulnerability of tumor cells to gamma-delta T cell targeting during the period of pharmacokinetic activity of TMZ.</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drawing>
          <wp:inline distT="0" distB="0" distL="0" distR="0">
            <wp:extent cx="3781425" cy="2895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781425" cy="28956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18. Increased NKG2D Ligand Expression in Glioma Stem Cells Treated with TMZ</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are two principal challenges to clinical application of TMZ treatment in conjunction with gamma-delta T cells: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TMZ is cytotoxic to immune cells, including gamma-delta T cells;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increased expression of stress ligands is transient due to resistance mechanisms of the tumor.</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Therefore, we believe the ideal gamma-delta T cell exposure would occur when TMZ is still pharmacokinetically active. We developed INB-200 in a way that could enable it to overcome both of these challenges by engineering the cells that make up INB-200 to be resistant to TMZ, an approach we refer to as DeltEx DRI. Treatment of GBM using TMZ increases the levels of NKG2D stress ligands expressed on the tumor cells leading to activation of INB-200. The introduction of the drug-resistant genes is designed to allow INB-200 to survive even when it is administered while TMZ is present even in concentrations above the clinical range. As depicted in in Figure 19 below, concurrent treatment with TMZ causes the direct killing of some tumor cells and immunosuppressive cells while activating gamma-delta T cells, which could lead to stimulating the antitumor activity of INB-200.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drawing>
          <wp:inline distT="0" distB="0" distL="0" distR="0">
            <wp:extent cx="5876925" cy="396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876925" cy="39624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19. DeltEx DRI Mechanism of Action Targeting the DNA Damage Response (DDR)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developed a process to genetically modify gamma-delta T cells in order to add a gene that codes for MGMT production. MGMT, a primary DNA repair protein, prevents cell death by repairing the DNA double-stranded breaks caused by alkylating chemotherapy, such as TMZ. Introduction of the gene encoding MGMT into gamma-delta T cells using a lentiviral vector decreased the sensitivity of these modified gamma-delta T cells to TMZ by approximately six-fold. We observed that this gene modification did not alter other properties of these gamma-delta T cells, including their cytotoxicity against target cells.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Our preclinical studies supporting the clinical development of DRI and the submission of an IND to the FDA was peer-reviewed and published online in the Nature portfolio journal </w:t>
      </w:r>
      <w:r>
        <w:rPr>
          <w:rFonts w:ascii="Times New Roman" w:hAnsi="Times New Roman"/>
          <w:i/>
          <w:color w:val="000000"/>
          <w:sz w:val="20"/>
        </w:rPr>
        <w:t>Scientific Reports</w:t>
      </w:r>
      <w:r>
        <w:rPr>
          <w:rFonts w:ascii="Times New Roman" w:hAnsi="Times New Roman"/>
          <w:color w:val="000000"/>
          <w:sz w:val="20"/>
        </w:rPr>
        <w:t xml:space="preserve"> in October 2021. In preclinical studies of INB-200 in GBM patient-derived xenograft models, we observed that the combined dosing of TMZ and treatment with our DeltEx DRI gamma-delta T cells led to a statistically significant (p-value ≤ 0.05) increase in overall survival in primary GBM xenograft tumors, as compared to mice treated separately with either chemotherapy or gamma-delta T cells. Unmodified gamma-delta cells showed no survival benefit. Subsequent histopathological analysis demonstrated no visible residual tumors in INB-200-treated animals at 150 days, as shown in Figure 20 below. This is important since xenograft models convey the heterogeneity of a human-derived tumor and not the monotonous population of a cell line used in syngeneic models.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drawing>
          <wp:inline distT="0" distB="0" distL="0" distR="0">
            <wp:extent cx="5124450" cy="2733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124450" cy="273367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20. Improved Survival Observed in Both TMZ-Sensitive and TMZ-Resistant GBM Models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Separately, we also examined the potential for sequencing chemotherapy and cell therapy, separating gamma-delta T cells from TMZ therapy by 24 hours (condition 1) and outside the effective concentration of TMZ. As shown in Figure 21 below, we observed that in TMZ-sensitive tumors treated with the sequenced regimen, delivery of the DeltEx DRI gamma-delta T cells led to modest improvement in median overall survival of 75 days compared to 60 days with TMZ alone but with no overall survival benefit over TMZ. Conversely, as discussed above, the combined and concomitant delivery of TMZ and DeltEx DRI gamma-delta T cell regimen (condition 2) resulted in 80% of mice surviving beyond 150 days. These results are consistent with our observations in cell lines, in which we observed that treatment with TMZ led to transient increase in the levels of NKG2D stress ligands. We believe the increased expression of these stress ligands, in turn, led to increased cytotoxic activity of the DeltEx DRI gamma-delta T cells. In preclinical studies, we observed that, even in TMZ-resistant tumors, administration of MGMT-modified gamma-delta T cells led to an increase in median and overall survival while sequencing TMZ and gamma-delta T cells showed no benefit.</w:t>
      </w:r>
    </w:p>
    <w:p>
      <w:pPr>
        <w:pStyle w:val="TextBody"/>
        <w:bidi w:val="0"/>
        <w:spacing w:before="0" w:after="240"/>
        <w:jc w:val="center"/>
        <w:rPr/>
      </w:pPr>
      <w:r>
        <w:rPr/>
        <w:drawing>
          <wp:inline distT="0" distB="0" distL="0" distR="0">
            <wp:extent cx="5705475" cy="2476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05475" cy="2476500"/>
                    </a:xfrm>
                    <a:prstGeom prst="rect">
                      <a:avLst/>
                    </a:prstGeom>
                  </pic:spPr>
                </pic:pic>
              </a:graphicData>
            </a:graphic>
          </wp:inline>
        </w:drawing>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21. Histopathology Demonstrates No Residual GBM in Mice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Additional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also developing a broad portfolio of preclinical programs utilizing the unique biology of gamma-delta T cells in our efforts to achieve our mission of Cancer Zero. INB-300 is a preclinical program focused on developing unique nsCAR-enabled DeltEx product candidates with which we expect to target difficult liquid tumors and extracranial solid tumors. The current generation of CAR-T products on the market and in development seek to destroy specific antigen targets such as CD19, CD20, BCMA, CD33, and CD123 among others and are designed to eliminate tissues expressing the target irrespective of whether they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are tumor or healthy tissues. Data from these CD19 CAR-Ts demonstrated that they drive aplasia of the normal and malignant B-cell compartment. This becomes problematic as many selected antigen targets are also expressed on healthy tissues that are crucial for the continuation of life, especially in solid tumor cancers. Our gamma-delta based nsCAR technology is focused on addressing this challenge of preserving healthy tissue in various solid and liquid tumors. Our nsCAR platform uses the innate immune recognition of gamma-delta T cells to distinguish between tumor and healthy tissue, offering a targeted and potentially less toxic approach. These constructs utilize the CAR to localize to the target tumor cells and T cell activation is triggered by the endogenous receptors of the gamma-delta T cell including NKG2D, CD16, toll-like receptors, and gamma-delta TCR among others to actually induce killing of the target tumor cells. The nsCAR platform has demonstrated a greater than 15x difference in killing between leukemic cells and healthy B cells (E:T ratio=2:1, 79.7% versus 5.2%) when both express the CD19 target antigen. The nsCAR platform can also be engineered to express the cytokine interleukin-15 (IL-15) to enhance cellular persistence and the ability to target and kill tumor cells over time. At the AACR Annual Meeting in 2024, we presented data of an nsCAR targeting CD33 and co-expressing IL-15 for AML. Initial cytotoxicity data demonstrated ns33CAR+IL-15 killing of approximately 9.5% against normal CD34+ hematopoietic progenitor cells ("HPCs") versus an average of approximately 63.2% killing against the MOLM-13 AML cell line, a 6.7x difference at an E:T ratio of 8:1. We believe that the platform has the potential to broaden the utilization of CAR technology for previously “undruggable” solid and liquid tumor targets. Additional internal programs are focused on advanced manufacturing methodologies such as iPSCs and on logical combinations with other therapies approved by the FDA.</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INB-300: Non-Signaling CAR Gamma-Delta T Cells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INB-300 is our DeltEx nsCAR gamma-delta T cell preclinical product candidates that combine our expertise in gamma-delta T cells and a novel CAR directed against novel antigen targets. While we have developed a classical signaling CAR-T construct which is cytotoxic, we have also designed novel nsCAR constructs that omit the CD3z signaling domain. This nsCAR allows the modified gamma-delta cells to better traffic to the tumor cells expressing an antigen targeting receptor but maintains their endogenous receptors that recognize cellular stress ligands. This enables the cells to utilize their full range of antitumor killing receptors to recognize and kill tumor cells, rather than over-riding these functions and restricting them to recognizing a single antigen transmitted through the CAR, which is typical in a classical signaling CAR. This non-signaling strategy also incorporates a significant safety advantage in that off-target CAR binding of cells that are not expressing high levels of NKG2D or TCR antigens, i.e., healthy normal tissue, would not result in activated cell killing and thus avoid an unintended cytotoxic response as shown in Figure 22 below, published in the Nature.com article “T cells without limitation” in March 2023.</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240"/>
        <w:jc w:val="center"/>
        <w:rPr/>
      </w:pPr>
      <w:r>
        <w:rPr/>
        <w:drawing>
          <wp:inline distT="0" distB="0" distL="0" distR="0">
            <wp:extent cx="5838825"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838825" cy="20574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22. INB-300, a DeltEx Non-Signaling CAR Constructs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Additionally, this CAR construct can also incorporate the gene for MGMT from our DeltEx DRI candidate or designed to also secrete cytokines such as IL-15. Thus, such nsCAR constructs can be designed to confer chemotherapy-resistance, cytokine secretion and tumor-targeting capability to transduce gamma-delta T cells. Early data show that our new constructs are capable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serial killing of cancer cells, generated synergies with significantly greater CD69 activation than expected from the activity of a single antigen binding domain as well as increased persistence as shown in Figure 23 below.</w:t>
      </w:r>
    </w:p>
    <w:p>
      <w:pPr>
        <w:pStyle w:val="TextBody"/>
        <w:bidi w:val="0"/>
        <w:spacing w:before="240" w:after="240"/>
        <w:jc w:val="both"/>
        <w:rPr/>
      </w:pPr>
      <w:r>
        <w:rPr/>
        <w:drawing>
          <wp:inline distT="0" distB="0" distL="0" distR="0">
            <wp:extent cx="6486525" cy="35337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486525" cy="353377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23. INB-300 – ns-dCAR-mb15 Enhanced Cytotoxicity against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created nsCAR constructs against antigens, including the peptide chlorotoxin ("CLTX"), which is expressed on GBM and other solid tumors, and the leukemia antigen targets CD19 and CD33. Early proof-of-concept data demonstrating the ability of our nsCAR constructs to distinguish between tumors and healthy tissue were presented at the AACR Annual Meeting in 2023 and at our R&amp;D Day in October 2023. The nsCAR platform has demonstrated a greater than 15x difference in killing between leukemic cells and healthy B cells (E:T ratio=2:1, 79.7% versus 5.2%) when both express the CD19 target antigen as shown below in Figure 24. </w:t>
      </w:r>
    </w:p>
    <w:p>
      <w:pPr>
        <w:pStyle w:val="TextBody"/>
        <w:bidi w:val="0"/>
        <w:spacing w:before="240" w:after="283"/>
        <w:jc w:val="center"/>
        <w:rPr/>
      </w:pPr>
      <w:r>
        <w:rPr/>
        <w:drawing>
          <wp:inline distT="0" distB="0" distL="0" distR="0">
            <wp:extent cx="5391150" cy="3219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391150" cy="3219450"/>
                    </a:xfrm>
                    <a:prstGeom prst="rect">
                      <a:avLst/>
                    </a:prstGeom>
                  </pic:spPr>
                </pic:pic>
              </a:graphicData>
            </a:graphic>
          </wp:inline>
        </w:drawing>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Figure 24. INB-300 – ns19CAR γδ T vs. Leukemias: Normalized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our R&amp;D Day and at the 2024 AACR conference in April 2024, we presented the initial data of an nsCAR targeting CD33 and co-expressing IL-15 for AML, as shown in Figure 25 below. Initial cytotoxicity data demonstrated ns33CAR+IL-15 killing of approximately 3% against CD34+ HPCs versus an average of approximately 65% killing against three separate AML cell lines at an E:T ratio of 8:1. </w:t>
      </w:r>
    </w:p>
    <w:p>
      <w:pPr>
        <w:pStyle w:val="TextBody"/>
        <w:bidi w:val="0"/>
        <w:jc w:val="both"/>
        <w:rPr/>
      </w:pPr>
      <w:r>
        <w:rPr/>
        <w:t> </w:t>
      </w:r>
    </w:p>
    <w:p>
      <w:pPr>
        <w:pStyle w:val="TextBody"/>
        <w:bidi w:val="0"/>
        <w:jc w:val="center"/>
        <w:rPr/>
      </w:pPr>
      <w:r>
        <w:rPr/>
        <w:drawing>
          <wp:inline distT="0" distB="0" distL="0" distR="0">
            <wp:extent cx="6486525" cy="25050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486525" cy="2505075"/>
                    </a:xfrm>
                    <a:prstGeom prst="rect">
                      <a:avLst/>
                    </a:prstGeom>
                  </pic:spPr>
                </pic:pic>
              </a:graphicData>
            </a:graphic>
          </wp:inline>
        </w:drawing>
      </w:r>
    </w:p>
    <w:p>
      <w:pPr>
        <w:pStyle w:val="TextBody"/>
        <w:bidi w:val="0"/>
        <w:jc w:val="both"/>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25. INB-300 – ns33CAR-CAR-γδ T vs. AML and Healthy donor CD34+ HSPCs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INB-500: Induced Pluripotent Stem Cell (iPSC) Derived Gamma-Delta T cells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May 2022, we unveiled the expansion of our DeltEx platform capabilities to include induced pluripotent stem cell derived gamma-delta T cells. iPSCs represent a significant step toward next generation approaches of cellular manufacturing for true allogeneic and potentially "off-the-shelf" innate cell therapies. Allogeneic cell therapies offer two distinct and mutually exclusive potential benefits: (i) the ability to treat a cancer patient with cells derived from a younger, healthy individual that likely has greater killing ability, or cytotoxicity, and (ii) the potential ability to replicate multiple billions of cells to treat multiple patients from a single clone derived from a single donor that can be stored and delivered “off-the-shelf.” We are testing these potential benefits separately. While our INB-100 program will test and compare the activity of autologous versus allogeneic cells, there remain limits to the expansion capabilities of primary derived gamma-delta T cells due to telomere shortening with every replication cycle. To overcome these limits, we have advanced INB-500, our gamma-delta T cell program based on cells derived from iPSCs.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Cell expansion and therapeutic doses are generally limited by total starting cell count available from a donor, body mass of the recipient, T cell exhaustion during expansion, biologic replication limits due to the Hayflick phenomenon and telomere shortening and limits imposed by regulators due to the potential for cellular transformation. Pharmaceutical guidelines exist to track in vitro cell age as there are phenotypic and genotypic changes that occur with increasing cellular passages and population doubling cycles. Sponsors are required to establish criteria for an upper limit to population doubling level of cells used for production for clinical use. By re-programing cells into a pluripotent, stem-like state, they gain the potential for near unlimited replication. Such cells can be replicated and subsequently differentiated into specific cell lineages, including gamma-delta T cells. To date, we are one of only two companies to have publicly demonstrated an ability to produce gamma-delta T cells from iPSCs. In addition, we believe we are the only company to have demonstrated the ability to derive both Vdelta1+ and Vdelta2+ gamma-delta T cells from iPSCs. We have demonstrated a reproducible expansion process and the ability to genetically engineer our iPSC derived gamma-delta T cells. iPSC derived gamma-delta T cells enable the ability to genetically edit cells and pick specific clones with nearly 100% of cells expressing the gene of interest and to avoid random insertions and/or deletions that can potentially occur with lentivector transductions. Our processes are cell and serum free, and we continue to further develop our expansion capabilities of each subclone and the characterization of such cells.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INB-600: Gamma-Delta T Cell Engager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proprietary and internally developed gamma-delta TCE recognizes pan gamma-delta T cell and is not limited to a single gamma-delta T cell subset. INB-600 has the potential to expand and activate gamma-delta T cells broadly, including both the Vd1+ and Vd2+ subsets. This combines the advantages of Vd2-mediated antigen presentation and immunosurveillance, along with the long-term durability and potential tissue resident characteristics of Vd1+ T cells. This potentially maximizes both immediate and sustained immune responses, leveraging the natural cytotoxic properties of gamma-delta T cells as represented in Figure 26 below. In March 2025 we announced a preliminary preclinical program in INB-619, a gamma-delta TCE targeting CD19 for both oncology and autoimmune diseases. We have demonstrated that a CD19 targeted gamma-delta TCE can eradicate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 cells in preclinical models, maintaining depletion as gamma-delta T cells expand in response to TCE stimulation. This program potentially fulfills a significant unmet need for a therapy that provides deep B cell depletion, ease of delivery with no required lymphodepletion and one with improved safety and tolerability. We expect to present additional preliminary preclinical data at a medical meeting in spring 2025. </w:t>
      </w:r>
    </w:p>
    <w:p>
      <w:pPr>
        <w:pStyle w:val="TextBody"/>
        <w:bidi w:val="0"/>
        <w:spacing w:before="0" w:after="160"/>
        <w:jc w:val="center"/>
        <w:rPr/>
      </w:pPr>
      <w:r>
        <w:rPr/>
        <w:drawing>
          <wp:inline distT="0" distB="0" distL="0" distR="0">
            <wp:extent cx="4895850" cy="38290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895850" cy="3829050"/>
                    </a:xfrm>
                    <a:prstGeom prst="rect">
                      <a:avLst/>
                    </a:prstGeom>
                  </pic:spPr>
                </pic:pic>
              </a:graphicData>
            </a:graphic>
          </wp:inline>
        </w:drawing>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Figure 26. INB-600 – Gamma-delta T Cell Engager</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Exclusive License Agreement with Emory University, Children’s Healthcare of Atlanta, Inc. and The UAB Research Foundation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June 2016, we entered into an Exclusive License Agreement with the Emory University, Children’s Healthcare of Atlanta, Inc. and The UAB Research Foundation ("UABRF"), as amended from time to time, which we refer to as the Emory license agreement. We amended the Emory license agreement in October 2017 and July 2020. Under the Emory license agreement, we obtained an exclusive worldwide license under certain immunotherapy-related patents and know-how related to gamma-delta T cells developed by the Emory University, Children’s Healthcare of Atlanta, Inc. and UABRF’s affiliate, UAB,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pStyle w:val="TextBody"/>
        <w:bidi w:val="0"/>
        <w:spacing w:before="0" w:after="120"/>
        <w:jc w:val="both"/>
        <w:rPr>
          <w:rFonts w:ascii="Times New Roman" w:hAnsi="Times New Roman"/>
          <w:sz w:val="20"/>
        </w:rPr>
      </w:pPr>
      <w:r>
        <w:rPr>
          <w:rFonts w:ascii="Times New Roman" w:hAnsi="Times New Roman"/>
          <w:color w:val="000000"/>
          <w:sz w:val="20"/>
        </w:rPr>
        <w:t>In consideration of the license granted to us under the Emory license agreement, we paid Emory a nominal upfront payment. We are required to pay Emory development milestones totaling up to an aggregate of $1.4 million, low-single-digit to mid-single-digit tiered running royalties on the net sales of the licensed products, including an annual minimum royalty of $0.5 million beginning in the third year following the first sale of a licensed product, increasing to $1.0 million in the fourth year and $1.5 million in the fifth year and thereafter. In addition, we are also required to pay Emory between 1% and 15% of any fees or payments we may receive from our sublicensees, depending on when the sublicense executed. In the event no milestone payments have been paid in certain years, we will be required to pay an annual license maintenance fee: prior to the 78</w:t>
      </w:r>
      <w:r>
        <w:rPr>
          <w:rFonts w:ascii="Times New Roman" w:hAnsi="Times New Roman"/>
          <w:color w:val="000000"/>
          <w:sz w:val="13"/>
        </w:rPr>
        <w:t>th</w:t>
      </w:r>
      <w:r>
        <w:rPr>
          <w:rFonts w:ascii="Times New Roman" w:hAnsi="Times New Roman"/>
          <w:color w:val="000000"/>
          <w:sz w:val="20"/>
        </w:rPr>
        <w:t>-month anniversary of the agreement, $250,000; prior to the 90</w:t>
      </w:r>
      <w:r>
        <w:rPr>
          <w:rFonts w:ascii="Times New Roman" w:hAnsi="Times New Roman"/>
          <w:color w:val="000000"/>
          <w:sz w:val="13"/>
        </w:rPr>
        <w:t>th</w:t>
      </w:r>
      <w:r>
        <w:rPr>
          <w:rFonts w:ascii="Times New Roman" w:hAnsi="Times New Roman"/>
          <w:color w:val="000000"/>
          <w:sz w:val="20"/>
        </w:rPr>
        <w:t>-month anniversary of the agreement, $0.5 million; and on or after the eight-year anniversary of the agreement, $1.0 million. The Emory license agreement also requires us to reimburse Emory for the cost of the prosecution and maintenance of the licensed patents.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Emory license agreement, we are required to use our best efforts to develop, manufacture and commercialize the licensed product, and are obligated to meet certain specified deadlines in the development of the licensed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 of the Emory license agreement will continue until 15 years after the first commercial sale of the licensed product, or the expiration of the relevant licensed patents, whichever is later. We may terminate the Emory license agreement at will at any time upon prior written notice to Emory. Emory has the right to terminate the Emory license agreement if we materially breach the agreement (including failure to meet our diligence obligations) and fail to cure such breach within specified cure period, if we become bankrupt or insolvent or decide to cease development and commercialization of the licensed product, or if we challenge the validity or enforceability of any licensed patents. For more information related to the intellectual property acquired pursuant to the Emory license agreement, see the section titled “Business—Intellectual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Exclusive License Agreement with UABRF</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March 2016, we entered into an Exclusive License Agreement with UABRF, as amended from time to time, which we refer to as the UABRF license agreement. We amended the UABRF license agreement in December 2016, January 2017, June 2017 and November 2018. Under the UABRF license agreement, we obtained an exclusive worldwide license under certain immunotherapy-related patents related to the use of gamma-delta T cells, certain CAR-T cells and combination treatments for cell therapies developed by UAB and owned by UABRF to develop, make, have made, use, sell, import and otherwise commercialize products that are covered by such patents. Such exclusive license is subject to certain rights retained by UABRF and also the U.S. government.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consideration of the license granted to us under the UABRF license agreement, we paid UABRF a nominal upfront payment and issued 91,250 shares of our common stock to UABRF, which were subject to certain antidilution rights. The antidilution provision required us to issue additional shares of common stock such that UABRF maintained a 2.5% ownership interest in the company until we raised at least $20.0 million through one or more rounds of investment. As of August 2020, we raised an aggregate of $36.6 million through the sale of our securities. Between March 2017 and August 2020, we issued UABRF an additional 151,382 shares of our common stock in satisfaction of this antidilution provision. Accordingly, beginning in September 2020, the shares held by UABRF may be diluted only upon the same terms and conditions of certain founders until the completion of our initial public offering.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are required to pay UABRF development milestones totaling up to an aggregate of $1.4 million, lump sum royalties on cumulative net sales totaling up to an aggregate of $22.5 million, mid-single-digit running royalties on our net sales of the licensed products, low single-digit running royalties on net sales of the licensed products by our sublicensees, and a share of certain non-royalty income ranging between 2.5% to 25%, depending on the status of certain clinical trials, that we may receive, including from any sublicensees. The UABRF license agreement also requires us to reimburse UABRF for the cost of the prosecution and maintenance of the licensed patents.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UABRF license agreement, we are required to use good faith reasonable commercial efforts to develop, manufacture and commercialize the licensed product.</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The term of the UABRF license agreement will continue until the expiration of the licensed patents. We may terminate the UABRF license agreement at will at any time upon prior written notice to UABRF. UABRF has the right to terminate the UABRF license agreement if we materially breach the agreement and fail to cure such breach within a specified cure period, if we fail to diligently undertake development and commercialization activities as set forth in the development and commercialization plan, if we underreport our payment obligations or underpay by more than a specified threshold, if we challenge the validity or enforceability of any licensed patents, or if we become bankrupt or insolvent. For more information related to the intellectual property acquired pursuant to the UABRF license agreement, see the section titled “Business—Intellectual Property.”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Given our stage of development, we have not yet established a commercial organization or distribution capabilities. We plan to build focused capabilities in the United States to commercialize our development programs focused on allogeneic or autologous, genetically modified gamma-delta T cell therapies for the treatment of cancer, where the patient populations and medical specialists for the indications we are targeting are sufficiently concentrated to allow us to effectively promote our products, if approved for commercial sale, with a targeted sales team. In other markets for which commercialization may be less capital efficient for us, we may selectively pursue strategic collaborations with third parties in order to maximize the commercial potential of our product candidates.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our current product candidates. We currently rely on third-party contract manufacturers for all of our required raw materials, manufacturing devices, active pharmaceutical ingredients, lentiviral vectors and finished product for our preclinical research and clinical trials. We have agreements with multiple GMP cell therapy laboratory facilities to manufacture product candidates for our Phase 1 and Phase 2/3 clinical trials. The multi-year agreements allow our medical technologists direct access to the facilities to assist and operate alongside the GMP facility staff. The agreements provide for manufacturing on a per-patient basis. We intend to enter into agreements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third-party manufacturers and/or facilities for future production. We are analyzing the feasibility and costs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biotechnology industry is characterized by intense and dynamic competition to develop new technologies and proprietary therapies. Any product candidates that we successfully develop and commercialize will have to compete with existing therapies and new therapies that may become available in the future. We believe that our proprietary gamma-delta T cell platform and our product candidates, strategic collaborations and scientific and clinical expertise may provide us with competitive advantages. However, we face potential competition from various sources, including larger and better-funded pharmaceutical, specialty pharmaceutical and biotechnology companies, as well as from academic institutions, governmental agencies and public and private research institutions. The key competitive factors affecting the success of any product that may be approved by regulators will include the efficacy, safety profile, pricing, method of administration and level of promotional activity.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field of gamma-delta T cells is growing rapidly. Our known competitors in the field of allogeneic and gamma-delta T cell therapy include Acepodia USA, Adaptimmune Therapeutics plc, Adicet Bio, Inc., Allogene Therapeutics, Inc., American Gene Technologies International Inc., Astellas Pharma US, Inc., Avalon Globocare Corp., Beroni Group Ltd, Century Therapeutics, Inc., Creative Biolabs, CytoMed Therapeutics Pte Ltd, Editas Medicine, Inc., Enochian BioSciences, Inc., Eureka Therapeutics, Inc., Expression Therapeutics, Inc., ImCheck Therapeutics SAS, Immatics Biotechnologies GmbH, Johnson &amp; Johnson Innovative Medicine, a division of Johnson &amp; Johnson, Kiromic Biopharma, Inc., LAVA Therapeutics N.V., Leucid Bio Ltd, OneChain Immunotherapeutics, S.L., OverT Bio, Inc., PersonGen BioTherapeutics (Suzhou) Co., Ltd., PhosphoGam Inc., Regeneron Pharmaceuticals, Inc., Sandhill Therapeutics, Inc., Shattuck Labs, Inc., Takeda Pharmaceuticals USA, Inc., TC BioPharm Limited, and The Bristol-Myers Squibb Company, several of which have initiated clinical trials. Our gamma-delta T cell product candidates may also compete with other cell and molecule-based immunotherapy approaches using and/or targeting natural killer cells, T cells and dendritic cells.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Many of our current or potential competitors have greater financial resources and infrastructure, including larger research and development staffs, infrastructure to support testing, developing, marketing and commercialization of products.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Accordingly, our competitors may be more successful than us in obtaining approval for treatments and achieving widespread market acceptance. Our competitors’ treatments may be more effective, or more effectively marketed and sold, than any treatment we may commercialize and they may render our treatments obsolete or non-competitive before we can recover the expenses of developing and commercializing any of our treatments.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subject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anticipate that we will face intense and increasing competition as new therapies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a better safety profile,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actively seek to protect our proprietary technology, inventions, improvements to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know-how relating to our proprietary technology platform, on continuing technological innovation and on future in-licensing opportunities to develop, strengthen and maintain the strength of our position in the field of cellular therapy that may be important for the development of our business. Additional regulatory protection may also be afforded through data exclusivity, market exclusivity and patent-term extensions where available.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2024, we owned, co-owned or exclusively licensed four issued U.S. patents, seven issued European patents, sixteen other issued foreign patents, 10 pending U.S. applications, two pending PCT applications and 37 other foreign national-stage applications, including five European regional-phase applications that are important to the development of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policy is to file patent applications to protect proprietary technology, inventions and improvements to inventions and other intellectual property that may be commercially important to the development of our business. We also intend to seek additional patent protection or rely upon trade secret rights to protect other technologies that may be used to manufacture and develop our gamma-delta T cell products. We are a party to exclusive license agreements that grant us rights to use specific technologies in our gamma-delta T cell products and in the manufacturing and development of our products. For more information, see the section titled “Business—License Agreements.”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Patent Portfolio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 applications directed to our most advanced programs are summarized below.</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INB-100</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UABRF license agreement, we have licensed one U.S patent application, one issued European patent (which has been widely validated in Europe), one issued Japanese patent, one issued Singaporean patent, one issued Australian patent, one issued Israeli patent and seven foreign national-stage applications. These patents and applications contain claims or supporting disclosures directed to methods of HSCT and treating diseases of interest using INB-100. Issued patents and patents issuing from these patent applications, if any, are expected to expire in 2036, without accounting for potential patent term extensions and 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own one pending PCT application that contains claims or supporting disclosures directed to additional methods of HSCT and treating diseases of interest using INB-100. Patents issuing from this patent application, if any, are expected to expire in 2044, without accounting for potential patent term extensions and adjustments.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INB-200 and INB-400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Emory license agreement, we have licensed two issued U.S. patents, three issued European patents (each which have been widely validated in Europe) and two U.S pending patent applications. These patents and applications contain claims or supporting disclosures directed to the INB-200 and INB-400 composition of matter and to methods of treating diseases of interest using INB-200 and INB-400. Issued patents and patents issuing from the pending applications, if any, are expected to expire in 2030,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INB-200/INB-400 and Immune Checkpoint Inhibitor Combination Therapy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co-own one pending U.S. patent application, one issued European patent, one issued Japanese patent, one issued Korean patent, one issued Australian patent, one issued New Zealand patent, and four other national stage patent applications with The UAB Research Foundation. These patents and applications contain claims or supporting disclosures directed to methods of treating diseases of interest using INB-200 and INB-400 in combination with immune checkpoint inhibitor therapies. Issued patents and patents issuing from the patent applications, if any, are expected to expire in 2037,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INB-200/400 and PARP Inhibitor Combination Therapy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co-own one pending U.S. patent application and eight other foreign national stage applications with The UAB Research Foundation that contain claims or supporting disclosures directed to methods of treating diseases of interest using INB-200 and INB-400 in combination with PARP inhibitor therapies. Patents issuing from these patent applications, if any, are expected to expire in 2039,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INB-300</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Pursuant to the UABRF license agreement, we have also licensed one issued U.S. patent, one issued Israeli patent, one issued Chinese patent, one issued Korean patent, one pending U.S. patent application and eight foreign national-stage applications, including a European regional phase application. These patents and patent applications contain claims or supporting disclosures directed to the INB-300 composition of matter and to methods of treating diseases of interest using INB-300. Issued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patents and patents issuing from these patent applications, if any, are expected to expire in 2037, without accounting for potential patent term extensions and adjustments.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also own one pending U.S. application and four foreign national patent applications that contains claims or supporting disclosures directed to additional INB-300 compositions and to methods of treating diseases of interest. Patents issuing from these patent applications, if any, are expected to expire in 2042, without accounting for potential patent term extensions and adjustments.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we own one pending PCT application that contains claims or supporting disclosures directed to further INB-300 compositions and to methods of treating diseases of interest. Patents issuing from this patent application, if any, are expected to expire in 2044,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INB-500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own one pending U.S. application, a pending European regional phase application and a pending Canadian application that contains claims and supporting disclosures for methods of generating, producing and genetically modifying iPSC gamma-delta T cells and to methods of use including treating diseases of interest. Patents issuing from these patent applications, if any, are expected to expire in 2043,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INB-600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own provisional filings on the proprietary T Cell Engager technology, structure, mechanism, potential applications and uses.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Patent Term and Term Extensions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In addition, in certain instances, the term of a U.S. patent can be extended to recapture a portion of the United States Patent and Trademark Office (the "USPTO"), delay in issuing the patent as well as a portion of the term effectively lost as a result of the FDA regulatory review period. However, as to the FDA component, the restoration period cannot be longer than five years and the restoration period cannot extend the patent term beyond 14 years from FDA approval. In addition, only one patent applicable to an approved drug is eligible for the extension, and only those claims covering the approved drug, a method for using it, or a method of manufacturing may be extended. The duration of foreign patents varies in accordance with provisions of applicable local law, but typically is also 20 years from the earliest effective filing date. All taxes, annuities or maintenance fees for a patent, as required by the USPTO and various foreign jurisdictions, must be timely paid in order for the patent to remain in force during this period of time.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actual protection afforded by a patent may vary on a product-by-product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the section titled “Risk Factors—Risks Related to Our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Trade Secrets and Know-How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including our proprietary processes for expanding and activating therapeutic quantities of gamma-delta T cells and modified gamma-delta T cells. We seek to protect our proprietary technology and processes,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These agreements may be breached, and we may not have adequate remedies for any breach. In addition, our trade secrets may otherwise become known or be independently discovered by competitors. To the extent that our contractors, commercial partners, collaborators, employees, and consultants use intellectual property owned by others in their work for us, disputes may arise as to the rights in related or resulting know-how and inventions. For more information, see the section titled “Risk Factors—Risks Related to Our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trade secrets by maintaining physical security of our premises and physical and electronic security of our information technology systems.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process required by the FDA before biologic product candidates may be marketed in the United States generally involves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completion of preclinical laboratory tests and animal studies performed in accordance with the FDA’s current Good Laboratory Practices regulation;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submission to the FDA of an IND, which must become effective before clinical trials may begin and must be updated annually or when significant changes are made;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approval by an independent Institutional Review Board ("IRB"), or ethics committee at each treatment site before the trial is commenced;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performance of adequate and well controlled human clinical trials to establish the safety, purity and potency of the proposed biologic product candidate for its intended purpose;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preparation of and submission to the FDA of a biologics license application ("BLA"), after completion of all pivotal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determination by the FDA within 60 days of its receipt of a BLA to file the application for review;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("GCP");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FDA review and approval of the BLA to permit commercial marketing of the product for particular indications for use in the United States.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Preclinical and Clinical Development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Supervision of human gene transfer trials includes evaluation and assessment by an Institutional Biosafety Committee ("IBC"), a local institutional committee that reviews and oversees research utilizing recombinant or synthetic nucleic acid molecules at that institution, as set forth in the NIH Guidelines for Research Involving Recombinant or Synthetic Nucleic Acid Molecules, or NIH Guidelines.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purposes of BLA approval, human clinical trials are typically conducted in three sequential phases that may overlap.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BLA Submission and Review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 and the sponsor of an approved BLA is also subject to an annual program fee.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Once a BLA has been submitted, the FDA’s goal is to review standard applications within 10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including, as applicable, for compliance with Good Tissue Practices.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treatment sites to assure compliance with GCP. If the FDA determines that the application,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 market studies and surveillance to further assess and monitor the product’s safety and effectiveness after commercialization and may limit further marketing of the product based on the results of these post-marketing studies.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offers a number of expedited development and review programs for qualifying product candidates, including Fast Track designation, breakthrough therapy designation, accelerate approval and priority review. The Fast Track program is intended to expedite or facilitate the process for reviewing new product candidates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and the payment of applicable user fees, the FDA agrees to accept sections of the BLA and determines that the schedule is acceptable, and the sponsor pays any required user fees upon submission of the first section of the BLA.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product candidate intended to treat a serious or life-threatening disease or condition may also be eligible for breakthrough therapy designation to expedite its development and review. Such a product candidate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which means that the sponsor may file sections of the BLA for review on a rolling basis if certain conditions are satisfied, including an agreement with the FDA on the proposed schedule for submission of portions of the application and the payment of applicable user fees before the FDA may initiate a review.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treats a serious or life-threatening disease or condition and, if approved, would provide a significant improvement in the safety or effectiveness of the treatment, diagnosis or prevention of a serious disease or condition. For products containing new molecular entities, priority review designation means the FDA’s goal is to take action on the marketing application within six months of the 60-day filing date (compared with 10 months under standard review).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Additionally, product candidates studied for their safety and effectiveness in treating serious or life-threatening diseases or conditions may be eligible for accelerated approval upon a determination that the product candidate has an effect on a surrogate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 controlled post-marketing clinical studies to verify the clinical benefit in relationship to the surrogate endpoint or ultimate outcome in relationship to the clinical benefit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Regenerative medicine advanced therapy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Fast Track designation, breakthrough therapy designation, priority review, and RMAT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and approval will not be shortened.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if the second applicant demonstrates its product is clinically superior to the approved product with orphan exclusivity, or if the manufacturer is unable to assure sufficient quantities of the product to meet the needs of patients with the rare disease or condition. Orphan drug designation may also entitle a party to financial incentives such as opportunities for grant funding towards clinical trial costs, tax advantages and user-fee waivers.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restrictions on the marketing or manufacturing of a product, complete withdrawal of the product from the market or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fines, warning letters or holds on post-approval clinical studies;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existing product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seizure or detention, or refusal of the FDA to permit the import or export of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FDA closely regulates the marketing, labeling, advertising and promotion of biologics. A company can make only those claims relating to safety and efficacy, purity and potency that are approved by the FDA and in accordance with the provisions of the approved label. Manufacturers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The FDA and other agencies actively enforce the laws and regulations prohibiting the promotion of off 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Biosimilars and Reference Product Exclusivity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Biologics Price Competition and Innovation Act of 2009 ("BPCIA"), created an abbreviated approval pathway for biological products that are biosimilar to or interchangeable with an FDA-approved reference biological product.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 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Healthcare Laws and Compliance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United States, our activities are potentially subject to regulation by various federal, state and local authorities in addition to the FDA, including but not limited to, the Centers for Medicare &amp; Medicaid Services, or CMS, other divisions of the U.S. Department of Health and Human Services ("HHS"), (such as the Office of Inspector General and the Health Resources and Service Administration), the Department of Justice (the "DOJ"), and individual U.S. Attorney offices within the DOJ, and state and local governments. For example, research, sales, marketing activities and scientific/educational grant programs must have to comply with the anti-fraud and abuse provisions of the Social Security Act, the false claims laws, transparency laws, the health information privacy and security laws, and similar state laws, each as amended, as applicable.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federal Anti-Kickback Statute has been interpreted to apply to arrangements between therapeutic product manufacturers on one hand and prescribers and purchasers on the other. In addition, a person or entity does not need to have actual knowledge of the statute or specific intent to violate it in order to have committed a violation.</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federal false claims laws, including the False Claims Act (FCA"), which can be enforced by private citizens through civil </w:t>
      </w:r>
      <w:r>
        <w:rPr>
          <w:rFonts w:ascii="Times New Roman" w:hAnsi="Times New Roman"/>
          <w:i/>
          <w:color w:val="000000"/>
          <w:sz w:val="20"/>
        </w:rPr>
        <w:t>qui tam</w:t>
      </w:r>
      <w:r>
        <w:rPr>
          <w:rFonts w:ascii="Times New Roman" w:hAnsi="Times New Roman"/>
          <w:color w:val="000000"/>
          <w:sz w:val="20"/>
        </w:rPr>
        <w:t xml:space="preserve"> actions and civil monetary penalty laws prohibit any person or entity from, among other things,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Additionally, companies have been prosecuted for, among other things, causing false claims to be submitted because of the companies’ marketing of the product for unapproved, off-label, and thus generally non-reimbursable, uses. Further, a claim including items or services resulting from a violation of the federal Anti-Kickback Statute constitutes a false or fraudulent claim for purposes of the FCA.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Health Insurance Portability and Accountability ("HIPAA")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ordinary course of our business, we process personal data and other sensitive information. Accordingly, we may be subject to data privacy and security obligations, including federal, state, and foreign laws, regulations, guidance, and industry standards related to data privacy and security. Such obligations may include, without limitation, the Federal Trade Commission Act, the California Consumer Privacy Act of 2018, as amended by the California Privacy Rights Act of 2020 ("CCPA"), the Canadian Personal Information Protection and Electronic Documents Act ( the "PIPEDA"), the European Union’s General Data Protection Regulation 2016/679 ("EU GDPR"), and the EU GDPR as it forms part of United Kingdom law by virtue of section 3 of the European Union (Withdrawal) Act 2018, or UK GDPR. In addition, several states within the United States have enacted or proposed data privacy laws. For example, Virginia passed the Consumer Data Protection Act and Colorado passed the Colorado Privacy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example, HIPAA, as amended by the Health Information Technology for Economic and Clinical Health Act ("HITECH"), and their implementing regulations, impose requirements relating to the privacy, security and transmission of individually identifiable health information on certain healthcare providers, healthcare clearinghouses, and health plans, known as covered entities, as well as independent contractors, or agents of covered entities that receive or obtain individually identifiable health information in connection with providing a service on behalf of a covered entity, known as a business associates and their covered subcontractors. Among other things, HITECH makes HIPAA’s privacy and security standards directly applicable to business associates.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many pharmaceutical manufacturers must calculate and report certain price reporting metrics to the government, such as average sales price and best price.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the federal Physician Payments Sunshine Act (the "Sunshine Act"), within the Patient Protection and Affordable Care Act, as amended by the Health Care and Education Reconciliation Act (collectively,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or to entities or individuals at the request of, or designated on behalf of, the physicians and teaching hospitals and to report annually certain ownership and investment interests held by physicians and their immediate family members.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many states and foreign jurisdictions have enacted analogous versions of these laws. For example, many states have similar, and typically more prohibitive, fraud and abuse statutes or regulations that apply to items and services reimbursed under Medicaid and other state programs, or, in several states, apply regardless of the payor. In addition, many states also govern the reporting of payments or other transfers of value, many of which differ from each other in significant ways, are often not pre-empted, and may have a more prohibitive effect than the Sunshine Act, thus further complicating compliance efforts. Further, some states require pharmaceutical companies to comply with the pharmaceutical industry’s voluntary compliance guidelines and relevant federal government compliance guidance and restrict marketing practices or require disclosure of marketing expenditures and pricing information. State and foreign laws may also govern the privacy and security of health information in some circumstances. These data privacy and security laws may differ from each other in significant ways and often are not pre-empted by HIPAA, which may complicate compliance efforts. For example, the California Consumer Privacy Act of 2018 ("CCPA"), provides new data privacy rights for consumers and new operational requirements for companies. Under the CCPA, covered businesses must provide specific disclosures related to a business’s collection, use, and disclosure of personal data, including identifiable health information, and to respond to certain requests from California residents related to their personal data (for example, requests to know of the business’s personal data processing activities, to correct the individual’s personal data, to delete the individual’s personal data, and to opt out of certain personal data disclosures). Also, the CCPA provides for civil penalties (of up to $7,500 per violation) and a private right of action for data breaches which may include an award of statutory damages. The CCPA also gives California residents the ability to limit use of certain sensitive personal data, establishes restrictions on personal data retention and establishes enforcement authority in the California Privacy Protection Agency.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the collection, use, storage, disclosure, transfer, or other processing of personal data regarding individuals in the European Economic Area or EEA or the United Kingdom, or otherwise carried out in the context of EEA or United Kingdom establishments (regardless of where any processing in question occurs), including personal data related to health and genetic information, is subject to the EU GDPR including, where relevant, as implemented in the United Kingdom, the UK GDPR. The EU GDPR is wide-ranging in scope and imposes numerous requirements on companies that process personal data, including requirements relating to processing health and other sensitive information.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 For more information, see the section titled “Risk Factors—Risks Related to Commercialization and Regulatory Compliance.”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pStyle w:val="TextBody"/>
        <w:bidi w:val="0"/>
        <w:spacing w:before="0" w:after="240"/>
        <w:jc w:val="both"/>
        <w:rPr>
          <w:rFonts w:ascii="Times New Roman" w:hAnsi="Times New Roman"/>
          <w:sz w:val="20"/>
        </w:rPr>
      </w:pPr>
      <w:r>
        <w:rPr>
          <w:rFonts w:ascii="Times New Roman" w:hAnsi="Times New Roman"/>
          <w:color w:val="000000"/>
          <w:sz w:val="20"/>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significant civil, criminal and/or administrative penalties, damages, fines, disgorgement, imprisonment, exclusion from participation in government programs, such as Medicare and Medicaid, injunctions, private “</w:t>
      </w:r>
      <w:r>
        <w:rPr>
          <w:rFonts w:ascii="Times New Roman" w:hAnsi="Times New Roman"/>
          <w:i/>
          <w:color w:val="000000"/>
          <w:sz w:val="20"/>
        </w:rPr>
        <w:t>qui tam</w:t>
      </w:r>
      <w:r>
        <w:rPr>
          <w:rFonts w:ascii="Times New Roman" w:hAnsi="Times New Roman"/>
          <w:color w:val="000000"/>
          <w:sz w:val="20"/>
        </w:rPr>
        <w:t>”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 Additionally, if any of the physicians or other providers or entities with whom we expect to do business are found not to be in compliance with applicable laws, they may be subject to significant civil, criminal and administrative sanctions, including exclusion from government funded healthcare programs.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Coverage, Pricing and Reimbursement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United States and in foreign markets, sales of any products for which we receive regulatory approval for commercial sale will depend, in part, on the extent to which third-party payors provide coverage and establish adequate reimbursement levels for such products. Coverage and reimbursement by a third-party payor may depend upon a number of factors, including the third-party payor’s determination that use of a therapeutic is: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cost-effective;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payors are increasingly challenging the price, examining the medical necessity, and reviewing the cost-effectiveness of medical products, therapies and services, in addition to questioning their safety and efficacy. Obtaining coverage and reimbursement approval of a product from a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In particular,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We cannot be sure that reimbursement will be available for any product that we commercialize and, if coverage and reimbursement are available, we cannot be sure that the level of reimbursement will be adequate. Limited coverage and less than adequate reimbursement may reduce the demand for, or the price of, any product for which we obtain regulatory approval.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in the United States there is no uniform policy among third-party payors for coverage or reimbursement. Third-party payors often rely upon Medicare coverage policy and payment limitations in setting their own coverage and reimbursement policies, but also have their own methods and approval processes. Therefore, one third-party payor’s determination to provide coverage for a product does not assure that other payors will also provide coverage for the product. Adequate third-party payor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currently applicable U.S. law, certain products not usually self-administered (including injectable drugs), such as our product candidates, once approved, may be eligible for coverage under Medicare Part B. As a condition of receiving Medicare Part B reimbursement for a manufacturer’s eligible drugs or biologicals, the manufacturer is required to participate in other government healthcare programs, including the Medicaid Drug Rebate Program and the 340B Drug Pricing Program.</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ACA has substantially changed healthcare financing and delivery by both governmental and private insurers.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Since its enactment, there have been judicial, Congressional and executive branch challenges and amendments to certain aspects of the ACA. For example, on August 16, 2022, the Inflation Reduction Act of 2022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the healthcare reform measures of the second Trump administration will impact the ACA and our business.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In August 2011, President Obama signed into law the Budget Control Act of 2011, which, among other things, included aggregate reductions to Medicare payments to providers of up to 2% per fiscal year, which went into effect beginning on April 1, 2013. Additionally, due to subsequent legislative amendments to the statute, the reductions will stay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 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IRA, among other things, (i) directs the U.S. Department of Health and Human Services (“HHS”) to negotiate the price of certain high-expenditure, single-source biologics that have been on the market for at least 11 years covered under Medicare, and subject drug manufacturers to civil monetary penalties and a potential excise tax by offering a price that is not equal to or less than the negotiated “maximum fair price” for such drugs and biologics under the law (the “Medicare Drug Price Negotiation Program”),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taking effect progressively in fiscal year 2023. On August 15, 2024, HHS announced the agreed-upon price of the first 10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Congress is also considering drug pricing as part of other health reform initiatives.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and directing certain federal agencies to enforce existing law regarding hospital and price plan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at the states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Foreign Corrupt Practices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Foreign Corrupt Practices Act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Environmental Regulation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Regulations</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2024, we had 18 full-time employees, of whom 14 were primarily engaged in research and development activities. A total of 7 employees have an M.D. or Ph.D. degree. None of our employees are represented by a labor union and we consider our employee relations to be good.</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Our human capital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 xml:space="preserve">Incysus, Ltd. was incorporated in Bermuda on February 8, 2016. On May 7, 2018, Incysus, Ltd. reincorporated in the United States in a domestication transaction in which Incysus, Ltd. converted into a newly formed Delaware corporation, Incysus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both"/>
        <w:rPr>
          <w:rFonts w:ascii="Times New Roman" w:hAnsi="Times New Roman"/>
          <w:sz w:val="20"/>
        </w:rPr>
      </w:pPr>
      <w:r>
        <w:rPr>
          <w:rFonts w:ascii="Times New Roman" w:hAnsi="Times New Roman"/>
          <w:color w:val="000000"/>
          <w:sz w:val="20"/>
        </w:rPr>
        <w:t>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w:t>
      </w:r>
      <w:r>
        <w:rPr>
          <w:rFonts w:ascii="Times New Roman" w:hAnsi="Times New Roman"/>
          <w:color w:val="000000"/>
          <w:sz w:val="13"/>
        </w:rPr>
        <w:t>th</w:t>
      </w:r>
      <w:r>
        <w:rPr>
          <w:rFonts w:ascii="Times New Roman" w:hAnsi="Times New Roman"/>
          <w:color w:val="000000"/>
          <w:sz w:val="20"/>
        </w:rPr>
        <w:t xml:space="preserve"> Avenue, Suite 5330, New York, New York 10118, and our telephone number is (646) 600-6438. Our corporate website address is </w:t>
      </w:r>
      <w:r>
        <w:rPr>
          <w:rFonts w:ascii="Times New Roman" w:hAnsi="Times New Roman"/>
          <w:i/>
          <w:color w:val="000000"/>
          <w:sz w:val="20"/>
        </w:rPr>
        <w:t>www.in8bio.com</w:t>
      </w:r>
      <w:r>
        <w:rPr>
          <w:rFonts w:ascii="Times New Roman" w:hAnsi="Times New Roman"/>
          <w:color w:val="000000"/>
          <w:sz w:val="20"/>
        </w:rPr>
        <w:t>. Information contained on, or accessible through, our website is not a part of this Annual Report on Form 10-K. We have included our website in this Annual Report on Form 10-K solely as an inactive textual reference.</w:t>
      </w:r>
    </w:p>
    <w:p>
      <w:pPr>
        <w:pStyle w:val="TextBody"/>
        <w:bidi w:val="0"/>
        <w:spacing w:before="0" w:after="120"/>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Our website address is </w:t>
      </w:r>
      <w:r>
        <w:rPr>
          <w:rFonts w:ascii="Times New Roman" w:hAnsi="Times New Roman"/>
          <w:i/>
          <w:color w:val="000000"/>
          <w:sz w:val="20"/>
        </w:rPr>
        <w:t>www.in8bio.com</w:t>
      </w:r>
      <w:r>
        <w:rPr>
          <w:rFonts w:ascii="Times New Roman" w:hAnsi="Times New Roman"/>
          <w:color w:val="000000"/>
          <w:sz w:val="20"/>
        </w:rPr>
        <w:t xml:space="preserve">. We make available on our website, free of charge, our Annual Report on Form 10-K, our Quarterly Reports on Form 10-Q and our Current Reports on Form 8-K and any amendments to those reports filed or furnished pursuant to Section 13(a) or 15(d) of the Securities Exchange Act of 1934, as amended, or the Exchange Act, as soon as reasonably practicable after we electronically file such material with, or furnish it to, the Securities and Exchange Commission, or the SEC. The SEC maintains a website that contains reports, proxy and information statements and other information regarding our filings at </w:t>
      </w:r>
      <w:r>
        <w:rPr>
          <w:rFonts w:ascii="Times New Roman" w:hAnsi="Times New Roman"/>
          <w:i/>
          <w:color w:val="000000"/>
          <w:sz w:val="20"/>
        </w:rPr>
        <w:t>www.sec.gov</w:t>
      </w:r>
      <w:r>
        <w:rPr>
          <w:rFonts w:ascii="Times New Roman" w:hAnsi="Times New Roman"/>
          <w:color w:val="000000"/>
          <w:sz w:val="20"/>
        </w:rPr>
        <w:t xml:space="preserve">. The information found on our website is not incorporated by reference into this Annual Report on Form 10-K or any other report we file with or furnish to the SEC. </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We may use our website as a means of disclosing material non-public information and for complying with our disclosure obligations under Regulation Fair Disclosure promulgated by the SEC. These disclosures will be included on our website under the “Investors &amp; News”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Annual Report on Form 10-K,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Selected Risk Factors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principal risks associated with an investment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substantial doubt regarding our ability to continue as a going concern. We will require substantial additional funding to finance our operations through regulatory approval,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sale of a substantial number of shares of our common stock may cause the price of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outstanding warrants may not be exercised and we may not receive any cash proceeds from any exercise of warrants.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of our independent registered public accounting firm for the years ended December 31, 2024 and 2023 contains an explanatory paragraph regarding substantial doubt about our ability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and anticipate that we will continue to incur substantial operating losses for the foreseeable future and may never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may be limited by applicable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file investigational new drug ("IND") applications to commence additional clinical trials on the timelines we expect, and even if we are able to, the FDA may not permit us to proceed.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opinion and scrutiny of our competitors, cell-based immunotherapy and genetic modification approaches may impact public perception of our company and product candidates, or may adversely affect our ability to conduct our business, raise additional capital and our business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and many of our competitors have substantially greater experience and resources than we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healthcare professionals to procure cells for manufacturing and to administer gamma-delta T cells to patients, and our business could be harmed if these third parties administer these processes and/or cells incorrectly.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("CEO"), and Dr. Lawrence Lamb, our Chief Scientific Officer,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the third parties with whom we work) actual or perceived failures to comply with applicable data privacy and security obligations, including laws, regulations, standards and other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satisfy all applicable requirements of Nasdaq and it determines to delist our common stock, the delisting could adversely affect the market liquidity of our common stock and the market price of our common stock could decrease.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Unstable market and economic conditions, including as a result of interest rate volatility, inflation expectations, bank closures, public health crises or geopolitical tensions, such as the Russia-Ukraine and/or the Israel-Hamas wars, may have serious adverse consequences on our business, ability to raise capital, financial condition and share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cash of $11.1 million as of December 31, 2024 is expected to fund our operations into March 2026. We continue to deploy cash preservation to defer or reduce costs in the near term in order to preserve capital and increase financial flexibility. These cash preservation measures may impact our ability and the timing to execute our strategy. For example, in September 2024, we announced that we have suspended patient enrollment in the INB-400 Phase 2 clinical trial for newly diagnosed GBM while we explore partnership opportunities for the program. Our ability to continue as a going concern will depend on our ability to obtain additional funding, as to which no assurances can be given. We continue to analyze various alternatives, including additional debt or equity financings or other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costs and results of our ongoing preclinical studies and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preclinical development, laboratory testing and clinical trials of other product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reimbursement and distribution, for any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any milestone and royalty payments with respect to any approved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interest rates, inflation expectations, the U.S. federal election, recent disruptions to and volatility in the credit and financial markets in the United States and worldwide resulting from public health crises and geopolitical tensions, such as the Israel-Hamas war and the Russia-Ukraine war.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will need to finance our cash needs through public or private equity or debt financings, third-party funding, marketing and distribution arrangements, as well as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strategic alliances and licensing arrangements, or any combination of these approaches. We do not have any committed external source of funds. To the extent that we raise additional capital, if available, through the sale of equity or convertible debt securities, including through our ATM program, your ownership interest in our company may be diluted, and the terms of these securities may include liquidation or other preferences that adversely affect your rights as a stockholder.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sale of a substantial number of shares of our common stock may cause the price of our common stock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including as a result of exercises of the outstanding warrants.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outstanding Series A, Series B and Series C warrants may not be exercised and we may not receive any cash proceeds from any exercise of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we had 6,221,094 pre-funded warrants, 11,803,829 Series A warrants, 11,823,829 Series B warrants, and 31,343,158 Series C warrants outstanding. The pre-funded warrants have an exercise price of $0.0001 per share. Certain of the Series A warrants, as amended (the “Amended Series A warrants”), have an exercise price of $0.45 per share. The remainder of the Series A warrants (the “Unamended Series A warrants” and, together with the Amended Series A warrants, the “Series A warrants”) have an exercise price of $1.25 per share. The Series B warrants have an exercise price of $1.50 per share. The Series C warrants have an exercise price of $0.27 per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Series A warrants are exercisable immediately. The Unamended Series A warrants will expire on June 13, 2025 and the Amended Series A warrants will expire on October 4, 2025. The Series B warrants are exercisable immediately and will expire on December 13, 2028. The Series C warrants are exercisable immediately and will expire on October 4,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receive up to an aggregate of $31.2 million from the exercise of the Series A, Series B and Series C warrants, assuming the exercise in full of all of the warrants for cash. However, we will only receive proceeds to the extent the holders of warrants elect to exercise or, in the case of the Series A warrants, if the mandatory exercise feature is triggered. We can provide no assurances as to the amount of proceeds we will receive from the exercise of warrants or whether we will receive any proceeds at all. Additionally, the warrants may, in certain circumstances, be exercised by way of a cashless exercise, meaning that the holder may not pay a cash purchase price upon exercise, but instead would receive upon such exercise the net number of shares of our common stock determined according to the formula set forth in the applicable warrant. Accordingly, we may not receive any additional funds, or any significant additional funds, upon any exercise of the warrants. To date 1,412,658 Series C warrants have been exercised for net proceeds of $0.4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report of our independent registered public accounting firm for the years ended December 31, 2024 and 2023 contains an explanatory paragraph regarding substantial doubt about 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Due to the uncertainty of our ability to meet our current operating and capital expenses, in its report on our audited annual financial statements as of and for the years ended December 31, 2024 and 2023,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 Further, the perception that we may be unable to continue as a going concern may impede our ability to raise additional funds or operate our business due to concerns regarding our ability to discharge our contractual obligations.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incurred significant operating losses since inception and anticipate that we will continue to incur substantial operating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Our net loss was $30.4 million and $30.0 million for the years ended December 31, 2024 and 2023, respectively. As of December 31, 2024, we had an accumulated deficit of $121.7 million. We expect to continue to incur significant expenses and increasing operating losses for the foreseeable future. Since inception, we have devoted substantially all of our efforts to research and preclinical and clinical development of our product candidates, organizing and staffing 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our current and future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and advance our preclinical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and marketing approvals for any of our current and future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our manufacturing capability, including developing our contract development and manufacturing relationships, and building our internal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preclinical and clinical development, manufacturing and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in the future to commercialize any current or future product candidate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discover, develop and commercialize additional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additional costs associated with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raise capital may be limited by applicable laws and regulations.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INB-400, INB-200 and INB-100, business planning and raising capital. Other than INB-200 and INB-100, all of our ongoing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dependent on our ability to successfully complete development of, obtain regulatory approval for, and, if approved, successfully commercialize our product candidates in a timely manner. We may face unforeseen challenges in our product candidate 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 INB-100, in our ongoing clinical trials. Our product candidates are in early stages of development and may never be commercialized. Additionally, we announced in September 2024 that we have suspended patient enrollment in the INB-400 Phase 2 clinical trial for newly diagnosed GBM while we explore partnership opportunities, if any, for the program. We would require substantial additional funds to recommence this trial.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anticipate seeking initial regulatory approvals in the United States and the European Union but may in the future submit applications for the regulatory approval of one or more of our product candidates to additional foreign regulatory authorities.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and other regulatory authorities. The FDA may also require us to conduct additional preclinical studies, assay development or clinical trials for our product candidates either pre- or post-approval, or it may object to elements of our clinical development program, requiring their alteration. We may also decide to modify clinical protocols or procedures in future clinical trials based on clinical and experimental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could fail to receive regulatory approval from the FDA or a comparable foreign regulatory authority for many reasons,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the design or conduct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to the satisfaction of regulatory agencies that our product candidates are safe and effective, or have a positive benefit/risk profile for its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insufficiency of data collected from clinical trials of our product candidates to support the submission and filing of a Biologics License Application ("BLA") or other submission or to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obtain approval of our manufacturing processes or facilities of third-party manufacturers with whom we contract for clinical and commercial supplies or our own manufacturing facility;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approval policies or regulations that render our preclinical and clinical data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product candidates are in early stages of development, they will require extensive preclinical and clinical testing. INB-200 and INB-100 are our only product candidates currently in clinical trials. In September 2024, we announced that we have suspended patient enrollment in the INB-400 Phase 2 clinical trial for newly diagnosed GBM while we explore partnership opportunities for the program, if any.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although we have undertaken Phase 1 clinical trials for INB-200 and INB-100, and have determined the recommended RP2D for the Phase 2 trial of INB-100, the FDA has not yet made any determination regarding safety and efficacy of either product candidate in the targeted indications. Further, 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such product candidate. Any such delay or abandonment could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product candidates represent a novel approach to immunotherapy, including cancer treatment, and we have concentrated significant research and development efforts to date developing our INB-100 and INB-200 product candidates, as well as our additional drug-resistant immunotherapy ("DRI") gamma-delta T cell preclinical product candidates. Gamma-delta T cell immunotherapy is a newly emerging field and our approaches, including genetic modification and DeltEx DRI gamma-delta T cells, have not been extensively tested over any significant period. We have not yet succeeded and may never succeed in demonstrating efficacy and safety for any of our product candidates in clinical trials or in obtaining marketing approval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the first company to advance a genetically modified gamma-delta T cell product candidate, INB-200, which we are currently developing for the treatment of certain solid tumors, into the clinic. The manufacture of our cell therapies involves 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or difficulties in manufacturing lentiviral vector and/or clinical supply of INB-100, INB-200 or any of our other current or future product candidates would adversely affect our business and operations. For additional details surrounding risks related to our manufacturing process, see the risks highlighted in "Risks Related to Manufacturing and our Dependence on Third Parties," including "—Our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Advancing product candidates utilizing such novel approaches to immunotherapy creates significant challenges for us,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our product candidate to our specifications and in a timely manner to support our clinical trials, and, if approved,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for the raw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the quality of a donor and/or patient’s T cells, which could ultimately affect our ability to produce our product candidates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conditioning patients with chemotherapy or other lymphodepletion agents in advance of administering our product candidates, which may increase the risk of adverse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how to properly isolate cells, administer our cells and the potential side effect profile of our product candidates, such as cytokine release syndrome, neurotoxicity, graft versus host disease, prolonged cytopenia, infections, hygromas and neutropenic sepsis,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training a sufficient number of technicians in how to properly manufacture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effective and cost-effective means of consistently expanding and manufacturing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demand for manufacturing and its impact on capacity utilization of available infrastructure and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and effective means of genetically modifying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submitting applications for and obtaining regulatory approval, as the FDA and other regulatory authorities have limited experience with commercial development of immunotherapies for cancer and viral associated infectious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as well as developing a manufacturing process and distribution network to support the commercialization of any approved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be able to overcome these challenges in order for us to successfully develop, commercialize and manufacture our product candidates utilizing our novel approaches to gamma-delta T cell therapies.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gamma-delta T cells have only been evaluated in early clinical trials. These clinical trials were primarily designed to evaluate safety and tolerability, and not designed to produce statistically significant results as to efficacy. Most of the data to date regarding gamma-delta T cells were derived from clinical trials not conducted by us, including physician-sponsored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AML, and our manufacturing process is predominantly based on cells received from healthy haploidentical related donors with at least half of the major human leukocyte antigen ("HLA") types matched. Our clinical development plan for INB-100 will seek to determine the safety of HLA mismatched, donor-derived gamma-delta T cells and establish the risk of graft versus host disease ("GvHD") if any. While mismatched gamma-delta T cells are not known to initiate GvHD, we observed grade 1 and/or 2 GvHD in approximately 60% of patients treated with INB-100 as of January 17, 2025. We will also seek to better understand the persistence of mismatched gamma-delta T cells and their potential impact on immune reconstitution, clinical activity and duration of response. The grade 1/2 GvHD that we have observed has been responsive to steroid treatment, and we believe that a high degree of HLA matching will not be required to prevent or reduce the risks of GvHD or for clinically meaningful activity and durability of response. Recent competitor data presented at ASCO 2024 demonstrated that persistence of donor derived cells are correlated with levels of HLA matching and they are now advancing their programs to be haploidentical matched as we have in our INB-100 program. If it becomes apparent through preclinical testing or additional clinical trials that such HLA matching is always required, a future "off-the-shelf" product may not be attainable, which could prevent or delay the further advancement of "off-the-shelf" product candidates and adversely affect our business and future development plans. We will also need to demonstrate that our DeltEx platform product candidates are safe.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impose specific post-market requirements, such as establishment of a Risk Evaluation and Mitigation Strategy ("REMS") and request additional information informing benefits or risks of our products may emerge at any time prior to or after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commercialize, market, promote or sell any product candidate without obtaining marketing approval from the FDA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trials for INB-100 and INB-200 involve studying a relatively small patient population, which makes it difficult to predict whether the favorable results observed in such clinical trial will be repeated in larger and more advanced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authorities on the design, location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or setbacks in patient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produce negative or inconclusive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serious adverse events associated with the product candidate that are viewed to outweigh its potential benefits;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need to conduct additional clinical trials or abandon product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conditions. Regulatory action or private litigation could result in expenses, delays or other impediments to our research programs or the commercialization of resulting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REMS, among other results. We could also encounter delays if physicians encounter unresolved ethical issues associated with enrolling patients in clinical trials of our product candidates in lieu of prescribing existing treatments that have established safety and efficacy profiles.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an independent institutional review board ("IRB") may also suspend our clinical trials at any time if it appears that we or our collaborators are failing to conduct a trial in accordance with regulatory requirements, including the FDA’s current Good Clinical Practice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certain of our product candidates, including INB-200,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 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prospects should we receive marketing approval. Such developments may include changes to the approved therapy’s safety or efficacy profile, changes to the availability of the approved therapy, and changes to the standard of care.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and AML, primarily affect an elderly population over the age of 65, who might suffer from other age-related and unknown and/or pre-existing ailments or health concerns. If any such patient enrolled in our smaller-scale Phase 1 trials has to drop out due to pre-existing 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and incidence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 and the complexity for patients and clinical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general health condition of the patient and their gamma-delta T cells and immune cells broadly;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consistently manufacture gamma-delta T cell product candidates in sufficient quantities at sufficient activity and/or transduction efficiency to provide a suitable therapeutic dose of gamma-delta T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clinical trials for similar therapies, other new therapeutics, new combination treatments, new medicinal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and side effects of the product candidate being studied in relation to other available therapies, including any new drugs or treatments that may be approved or become standard of care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clinician treatment practices and/or protocols from center to center;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and maintain patient consents due to various reasons, including but not limited to, patients’ unwillingness to participate due to public health crises;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enrolled subjects will drop out, develop complications or die before completion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develop and provide appropriate screening, product characterization and release assays;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failing to complete a clinical trial or returning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the requisite materials for a patient and clinical trial;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clinical sites to enroll patients as health care capacities are required to cope with natural disasters, epidemics or other health system emergencies.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("CROs") and clinical trial sites to ensure proper and timely conduct of our future clinical trials and, while we intend to enter into agreements governing their services, we will be limited in our ability to ensure their actual performance.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For example, in January 2024, FDA required approved CAR-T products to add boxed warning information to their labeling concerning the risk of developing secondary T cell malignancies. If additional clinical experience indicates that any of our product candidates or the use of lentiviral vectors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Undesirable side effects caused by our product candidates, implanted devices, gene-editing methods, delivery methods or dosage levels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 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only tested INB-100, INB-200 and INB-400 in a limited number of patients with cancer and these clinical trial participants have only been observed for a limited period of time after dosing at a limited number of sites.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file IND applications to commence additional clinical trials on the timelines we expect, and even if we are able to, the FDA may not permit us to proceed.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previously announced our goals for potentially submitting additional INDs for INB-100 and INB-400. We have suspended enrollment for INB-400 as we seek potential partnerships for this program. We may not be able to make additional filings on the timelines we expect, which may cause delays in commencing additional clinical trials. Even if such regulatory authorities agree with the design and implementation of the clinical trials set forth in an IND or clinical trial application, we cannot guarantee that such regulatory authorities will not change their requirements in the future. Moreover, we cannot be sure that submission of an IND for any of our other product candidates will result in the FDA allowing trials to begin, or that, once begun, issues will not arise that result in a decision by us, by IRBs, or independent ethics committees, or by the FDA or other regulatory authorities to suspend or terminate clinical trials. For example, we may experience manufacturing delays or other delays with IND-enabling studies or the FDA or other regulatory authorities may require additional preclinical studies that we did not anticipate. Moreover, we cannot be assured that submission of an IND will result in the FDA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such regulatory authorities agree with the design and implementation of the clinical trials set forth in an IND or clinical trial application, we cannot guarantee that such regulatory authorities will not change their requirements in the future. The inability to initiate clinical trials any of our product candidates on the timeline currently anticipated or at all could have a material adverse effect on our business,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breakthrough therapy or Fast Track designations and may pursue accelerated approval for some or all of our current product candidates, but we may be unable to obtain such designations or, where obtained, we may be unable to maintain breakthrough therapy designation or obtain or maintain the benefits associated with such designations.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breakthrough therapy or Fast Track designations and may pursue accelerated approval for INB-100, INB-200 and some or all of our other and future product candidates. Breakthrough therapy designation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have received orphan drug designation for INB-400 in the past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2023, we received orphan drug designation for the autologous and allogeneic IND-400 product candidate, covering a broad range of malignant glioma treatments, including newly diagnosed glioblastoma. We may continue to seek orphan drug designation for one or more of our current or future product candidates, including INB-100 or its successor.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As previously announced, we received such orphan drug designation for both INB-400 autologous and allogeneic products for malignant gliomas in April 2023.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identify or discover other product candidates and may fail to capitalize on programs or product candidates that may present a greater commercial opportunity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methodology used may not be successful in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develop alternatives that render any product candidates we develop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candidates we develop may be covered by third parties’ patents or other exclusive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demonstrate harmful side effects or other characteristics that indicate it is unlikely to be effective or otherwise does not meet applicable regulatory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accepted as safe and effective by physicians, patients, the medical community or third-party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product candidate development for other disease indications. If we are unsuccessful in identifying and developing additional product candidates or are unable to do so, our business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Public opinion and scrutiny of our competitors, cell-based immunotherapy and genetic modification approaches may impact public perception of our company and product candidates, or may adversely affect our ability to raise capital, conduct our business and our business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platform utilizes a relatively novel technology involving the genetic modification of human cells and utilization of those modified cells in other individuals. Public perception may be influenced by negative claims about our DeltEx platform, or that of competitor's products and/or programs such as claims that gamma-delta T cell and/or other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significant competition, and many of our competitors have substantially greater experience and resources than we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the product candidates we develop will be regulated as biologics, and therefore they may be subject to competition sooner than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approval of a biologic product biosimilar to one of our products could have a material adverse impact on our business as it may be significantly less costly to bring to market and may be priced significantly lower than our products.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Manufacturing and Our Dependence on Third Parties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manufacturing process is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product candidates, including INB-200 and INB-300, as well as our suspended INB-400 program, are genetically engineered human cells, and the process of manufacturing such product candidates, as well as the lentiviral vectors, is complex, highly regulated, variable and subject to numerous risks. Manufacturing our product candidates involves harvesting cells from a donor, isolating cells via leukapheresis, activating and expanding the gamma-delta T cells, cryopreservation, testing, storage and eventually shipment and infusion of the cell product into the patient’s body.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 will be susceptible to product loss or failure, or product variation that may negatively impact patient outcomes, due to process and logistical issues associated with the collection of starting material from the donor, shipping such material to the manufacturing site, shipping the final product back to the recipient, preparing the product for administration, infusing the patient with the product, manufacturing issues or different product characteristics resulting from the inherent differences in donor starting materials, variations between reagent lots, interruptions in the manufacturing process, contamination, equipment or reagent failure, improper installation or operation of equipment and/or programs, vendor or operator error, inconsistency in cell growth and variability in product characteristics.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minor variations in starting reagents and materials, or deviations from normal manufacturing processes could result in reduced production yields, product defects, manufacturing failure and other supply disruptions. If, for any reason in our clinical trials, we lose the starting material for a manufactured product for one of our patients at any point in the process, or the expansion or transduction procedures in the manufacturing process should fail for any reason, such patient would no longer receive a dose of the therapy and may end participation in our clinical trial. For instance, operator errors impacting machine function, gas or airflow, or reagent addition can negatively impact the process. Manufacturing by a previously contracted facility has resulted in such operator errors; however, we identified these errors through our quality control procedures prior to patient administration.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back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make changes to our manufacturing process for various reasons, such as to control costs, increase yield or dose, achieve commercial scale, decrease processing time, increase manufacturing success rate or for other reasons. We previously relocated clinical trial manufacturing for one of our clinical development programs to an academic GMP facility closer to our laboratory headquarters in Birmingham, Alabama to permit us contractual direct access as a means of preventing manufacturing errors. However, even with this contractual direct access and closer collaboration with the facility’s manufacturing staff, there can be no guarantee that manufacturing errors will not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our process made during the course of clinical development could require us to show the comparability of the product used in earlier clinical phases or at earlier portions of a trial to the product used in later clinical phases or later portions of the trial.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endeavor to build and operate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For example, in September 2022, we announced a partnership with the Dunbar CAR T-Cell Program at the University of Louisville as the manufacturing center for our suspended INB-400 clinical program.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such approval or acceptance in the future, we may need to find alternative 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intend to rely on third-party manufacturers to supply us with additional quantities of our product candidates to be used, if approved, for commercialization. We do not yet have a commercial supply agreement for commercial quantities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If we are not able to meet market demand for any approved product, it would negatively impact our ability to generate revenue, harm our reputation, and could have an adverse effect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our reliance on third-party manufacturers entails risks to which we would not be subject if we manufactured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meet our product specifications and quality requirements consistently;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inability to procure or expand sufficient manufacturing capacity;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issues related to scale-up of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and validation of new equipment and facilities required for scale-up;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be able to execute our manufacturing procedures and other logistical support requirements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fail to comply with cGMP requirements and other inspections by the FDA or other comparable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negotiate manufacturing agreements with third parties under commercially reasonable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breach, termination or nonrenewal of manufacturing agreements with third parties in a manner or at a time that is costly or damaging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single sources for reagents and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qualified backup suppliers for those components that are currently purchased from a sole or single-source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devote sufficient resources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carrier disruptions or increased costs that are beyond our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currently dependent on a single third-party supplier for manufacture of our automated manufacturing device and our lentiviral vectors. These are critical products required for the manufacturing of our product candidates, including INB-100,</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INB-200 and INB-400. Any damage or loss to the ability of our suppliers to deliver supplies in a timely manner could cause delays in manufacturing, and our clinical trials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gamma-delta T cell products for INB-100 and INB-200, as well as our suspended INB-400 program,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Our current supply of vectors will cover approximately 189 patients after a large manufacturing run was completed in the first half of 2023. If our third-party contractor is unable to provide adequate lentiviral vectors in a timely manner, our ability to manufacture and supply sufficient quantities of our product candidates for clinical or commercial usage will be delayed or hindered, and our business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believe we may require an updated and validated protocol for commercial-scale expansion and manufacturing of gamma-delta T cells for conducting pivotal trials and for commercialization of our product candidates,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 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not yet developed commercial-scale infrastructure for freezing and thawing large quantities of gamma-delta T cells, which we believe will be required for the storage and distribution of our gamma-delta T cell product candidates at commercial scale.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involves the use of hazardous materials and we and our third-party manufacturers and suppliers must comply with environmental, health and safety laws and regulations, which can be expensive and restrict or interrupt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efforts, research and development 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are conducting our current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and our future CROs will be, required to comply with the good laboratory practices ("GLPs") and GCPs, which are regulations and guidelines enforced by the FDA and comparable foreign regulatory authorities in the form of International Council for Harmonization guidelines for any of our product candidates that are in preclinical and clinical development. The 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regulatory compliance issues;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undergo changes in priorities or become financially distressed.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Additionally, the FDA or other regulatory authorities may disagree with the sufficiency of our right of reference to the preclinical, manufacturing or clinical data generated by investigator-sponsored trials or our interpretation of preclinical,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or clinical data from these investigator-sponsored trials. If so, regulatory authorities may require us to obtain and submit additional preclinical, manufacturing or clinical data before we may initiate further clinical trials and/or obtain any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in response to the COVID-19 pandemic, the FDA temporarily postponed routine surveillance inspections of manufacturing facilities. The FDA resumed on-site inspections subject to a risk-based prioritization system. The FDA intends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use this risk-based assessment system to identify the categories of regulatory activity that can occur within a given geographic area, ranging from mission critical inspections to resumption of all regulatory activities. Regulatory authorities outside the United States have adopted similar restrictions or other policy measures in the past.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of intellectual property is of critical importance to our business and to our current and future product candidates, and we expect to enter into additional such agreements in the future. In particular, our product candidates, INB-100, INB-200, INB-300 and INB-400, will or have been are dependent on our license agreements with The UAB Research Foundation ("UABRF") Children’s Healthcare of Atlanta, Inc. ("CHOA") and Emory University ("Emory") and, together with UABRF and CHOA, the Licensors, pursuant to which we have obtained exclusive worldwide licenses under certain immunotherapy related patents and know-how that are critically important for these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been granted exclusive licenses under the UABRF, CHOA and Emory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meet our obligations under the UABRF, CHOA or Emory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our product candidates. While we would expect to exercise all rights and remedies available to us, including seeking to cure any breach by us, and otherwise seek to preserve our rights under the license agreements, we may not be able to do so in a timely manner, at an acceptable cost or at all. For more information on the UABRF, CHOA and Emory license agreements, see Note 10, License Agreements, in our financial statements contained elsewhere in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December 31, 2024, we owned, co-owned or exclusively licensed four issued U.S. patents, seven issued European patents, 16 other issued foreign patents, 10 pending U.S. applications, two pending PCT applications and 37 other foreign national-stage applications, including five European regional-phase applications that are important to the development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product candidates such as INB-100, INB-200, INB-300, INB-400 and INB-500,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Other companies and research institutions have filed, and may file in the future, patent applications related to gamma-delta T cell immunotherapy. Some of these patent applications have already been allowed or issued, and others may issue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Claims that we have misappropriated the confidential information or trade secrets of third parties could have a similar negative impact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the patents of our licensors or our other intellectual property rights, which could be expensive, time-consuming and unsuccessful.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hAnsi="Times New Roman"/>
          <w:i/>
          <w:color w:val="000000"/>
          <w:sz w:val="20"/>
        </w:rPr>
        <w:t xml:space="preserve">ex parte </w:t>
      </w:r>
      <w:r>
        <w:rPr>
          <w:rFonts w:ascii="Times New Roman" w:hAnsi="Times New Roman"/>
          <w:color w:val="000000"/>
          <w:sz w:val="20"/>
        </w:rPr>
        <w:t xml:space="preserve">reexaminations, </w:t>
      </w:r>
      <w:r>
        <w:rPr>
          <w:rFonts w:ascii="Times New Roman" w:hAnsi="Times New Roman"/>
          <w:i/>
          <w:color w:val="000000"/>
          <w:sz w:val="20"/>
        </w:rPr>
        <w:t>inter partes</w:t>
      </w:r>
      <w:r>
        <w:rPr>
          <w:rFonts w:ascii="Times New Roman" w:hAnsi="Times New Roman"/>
          <w:color w:val="000000"/>
          <w:sz w:val="20"/>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rights. Uncertainties resulting from the initiation and continuation of patent litigation or other proceedings could have an adverse effect on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current and any future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the enforcement or defense of our issued patents, all of which could have an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trademarks we may obtain may be infringed or successfully challenged, resulting in harm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cells, cell products, genetic modifications, compounds or formulations that are similar to our product candidates but that are not covered by the claims of any patents, should they issue,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patents or pending patent applications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license may not provide us with any competitive advantages, or may be held invalid or unenforceable as a result of legal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and Dr. Lawrence Lamb, our Chief Scientific Officer,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co-founders, President and CEO, William Ho, and our Chief Scientific Officer, Dr. Lawrence Lamb. Each of them may currently terminate their employment with us at any time. The loss of the services of either of these persons could impede the achievement of our research, development and commercialization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workforce reduction undertaken to optimize our cost structure may not achieve our intended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2024, we announced a plan to optimize our resource allocation through a pipeline prioritization and a workforce reduction of approximately 49% across all functions. These reductions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reductions in force, or if we experience significant adverse consequences from the reductions in force, our business, financial condition, and results of operations may be materially adversely affected. We may undertake further similar cost-saving initiatives, which may include additional restructuring or workforce reductions. These types of cost-reduction activities can be complex and result in unintended consequences and costs, including further attrition beyond the intended number of employees due to decreased employee morale, loss of institutional knowledge and expertise and adversely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plan to expand our organization in the future, and we may experience difficulties in managing this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we had 18 full-time employees. As the clinical development of our product candidates progresses, we expect to require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explore strategic collaborations that may not have the intended benefits or never materialize, or we may be required to relinquish important rights to and control over the development and commercialization of our product candidates to any future collaborators.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enter into strategic partnerships, create joint ventures or collaborations or enter into licensing arrangements with third parties with respect to our product candidates that we believe will complement or augment our business. For example, our business strategy includes broadening our DeltEx platform by exploring strategic partnerships that maximize the potential of our gamma-delta T cell programs. Additionally, we are exploring partnership opportunities for the INB-400 Phase 2 clinical program. As a result, we intend to periodically explore a variety of possible strategic partnerships in an effort to gain access to additional product candidates or resources. These strategic partnerships may include partnerships with large strategic partners.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any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 of substantial operational, financial and management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dilutive issuances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actual or contingent liabilities;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expiration of the arrangement, which would delay the development and may increase the cost of developing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may not be successful in our efforts to establish a strategic partnership or other alternative arrangements for INB-300, INB-400, INB-600 or any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data and/or potential to demonstrate safety and efficacy. Strategic partners may also delay clinical trials, experience financial difficulties, provide insufficient funding, terminate a clinical trial or abandon a product candidate, which could negatively impact our development efforts. We cannot be certain that we would achieve the revenues or specific net income that justifies such strategic partnerships.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increasingly dependent upon information technology systems, infrastructure and data to operate our business. In the ordinary course of business, we and the third parties with whom we work process sensitive information, and as a result, we and the third parties with whom we work face a variety of evolving threats that could cause security incidents. We also have outsourced elements of our operations to third parties, and as a result we manage a number of third-party vendors and other contractors and consultants who have access to our sensitive information.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any third parties with whom we work are vulnerable to damage or interruption from a variety of sources, including cyberattacks, malicious internet-based activity, and online and offline fraud. These threats include, but are not limited to, social-engineering attacks (including through deep fakes, which may be increasingly more difficult to identify as fake, and phishing attacks),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credential harvesting, software bugs, server malfunctions, software or hardware failures, loss of data or other information technology assets, adware, attacks enhanced or facilitated by A.I.,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and are being conducted by sophisticated and organized groups and individuals with a wide range of motives and expertise, including traditional computer "hackers," threat actors, personnel (such as through theft or misuse), sophisticated nation states, and nation-state-supported actors. Some actors now engage and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also face increased cybersecurity risks due to the number of our employees who are working remotely, which creates additional opportunities for cybercriminals to exploit vulnerabilities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If any of the previously identified or similar threats were to occur and cause interruptions in our operations, it could result in a disruption of our development programs and our business operations, whether due to a loss of our sensitive information or other similar disruptions. For example, we have been the target of unsuccessful phishing attempts in the past and we expect such attempts will continue in the future. In addition, the loss of clinical trial data from completed or future clinical trials could result in delays in our regulatory approval efforts and significantly increase our costs to recover or reproduce the data. Furthermore, our software systems include cloud-based applications that are hosted by third-party service providers with security and information technology systems subject to similar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could incur liability, our competitive position could be harmed and the further development and commercialization of our product candidates could be delayed. Security incidents could lead to material adverse consequences, including but not limited to: government enforcement actions (for example, investigations, fines, penalties, audits, and inspections); additional reporting requirements and/or oversight; restrictions on processing sensitive information (including personal data and clinical trial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 Additionally,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be able to detect and remediate all such vulnerabilities including on a timely basis. Further, we may experience delays in deploying remedial measures designed to address any such identified vulnerabilities.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sensitive information of the Company could be leaked, disclosed, or revealed as a result of or in connection with our employees’, personnel’s, or vendors’ use of generative AI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since inception and do not expect to become profitable in the near future, if ever. In general, under Section 382 of the United States Internal Revenue Code of 1986, as amended ("Code") a corporation that undergoes an "ownership change" is subject to limitations on its ability to utilize its pre-change net operating losses ("NOLs") to offset future taxable income. We may have experienced ownership changes in the past and may experience ownership changes in the future as a result of subsequent changes in our stock ownership (some of which are outside our control). As a result, if and to the extent that we earn net taxable income, our ability to use our pre-change NOLs to offset such taxable income may be subject to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current U.S. federal tax law, NOLs arising in tax years beginning after December 31, 2017 can be carried forward indefinitely, but the deductibility of these carryforwards is limited.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realize the future tax benefits of our NOL carryforwards, we must generate taxable income, of which there is no assurance. Accordingly, we have provided a full valuation allowance for deferred tax assets as of December 31, 2024.</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Regardless of merit or eventual outcome, product liability or other claims may, among other things,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 or cancellation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investigations,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potential decrease in our stock price;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Commercialization and Regulatory Compliance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obtain regulatory approvals for our product candidates, they will remain subject to ongoing regulatory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 trials, and for surveillance to monitor the quality, safety and efficacy of the product candidate. Such regulatory requirements may differ from country to country depending on where we have received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 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executive action, either in the United States or abroad.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any product candidate receives marketing approval, it may fail to achieve market acceptance by physicians, patients, third-party payors or others in the medical community necessary for commercial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efficacy, safety profile, convenience, ease of administration and other potential advantages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our relationships with patient communities;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third-party coverage and adequate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restrictions on the use of the product candidate together with other medications.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 or the scientific 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not be successful in commercializing them, if and when they are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 resources to commercialize our product candidates, or we are unable to develop the necessary capabilities on our own, we may be unable 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obtain and maintain approval for our product candidates from the FDA, we may never obtain approval outside the United States, which would limit our market opportunities.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("EMA") if we choose to submit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marketing authorization application there, would be a lengthy and expensive process. Even 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commercialize our product candidates outside the United States, a variety of risks associated with international operations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approval of therapies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reimbursement, pricing and insurance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due to labor unrest;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such as the Israel-Hamas war and the Russia-Ukraine war, natural disasters including earthquakes, typhoons, floods and fires, and public health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health information privacy laws, transparency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our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Coverage and adequate reimbursement may not be available for our product candidates, which could make it difficult for us to sell profitably,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products,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may instead be bundled as part of a capitated payment received by the provider for the procedure only. We cannot be sure that the clinical results of our trials will be sufficient or meaningful to educate hospitals and/or clinicians on the benefits of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legislative reform measures may have a negative impact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in March 2010, the Patient Protection and Affordable Care Act of 2010, as amended by the Health Care and Education Reconciliation Act of 2010 ("collectively, the ACA"), was passed, which substantially changed the way healthcare is financed by both governmental and private payors in the United States. Since its enactment, however, there have been executive,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judicial and Congressional challenges and amendments to the ACA. It is unclear how any such challenges, and the healthcare reform measures of the Trump administration will impact the ACA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which will remain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More recently, on August 16, 2022, the Inflation Reduction Act of 2022 ("IRA") was signed into law, which included a number of significant drug pricing reforms, including extending enhanced subsidies for individuals purchasing health insurance coverage in ACA marketplaces through plan year 2025 and a redesign of the Part D benefit, as part of which manufacturers are required to provide discounts on Part D drugs and Part D beneficiaries’ annual out-of-pocket spending will be capped at $2,000 beginning in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changes that may affect our business include the expansion of new programs such as Medicare payment for performance initiatives for physicians under the Medicare Access and CHIP Reauthorization Act of 2015. At this time, the full impact to overall physician reimbursement as a result of the introduction of the Medicare quality payment program remains unclear.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in the United States there has been heightened governmental scrutiny over the manner in which manufacturers set prices for their marketed products, which has resulted in several Congressional inquiries, Presidential executive orders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(1) directs the U.S. Department of Health and Human Services (“HHS”) to negotiate the price of certain high-expenditure, single-source biologics covered under Medicare that have been on the market for at least 11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reimbursement prices of the first 10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Further, we expect that additional U.S. federal healthcare reform measures will be adopted in the future, any of which could limit the amounts that the U.S. federal government will pay for healthcare products and services, which could result in reduced demand for our current or any future product candidates or additional pricing pressures. We cannot predict the likelihood, nature or extent of government regulation that may arise from future legislation or administrative action in the United States or any other jurisdiction, particularly in light of the outcomes of the recent U.S. Presidential and Congressional elections. If we or any third parties we may engage are slow or unable to adapt to changes in existing or new requirements or policies, or if we or such third parties are not able to maintain regulatory compliance, our current or any future product candidates we may develop may lose any regulatory approval that may have been obtained and we may not achieve or sustain profitability.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and directing certain federal agencies to enforce existing law regarding hospital and price plan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"Business—Government Regulation" in our Annual Report.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participants in connection with clinical trials, and sensitive third-party data (collectively, sensitive information). Our data processing activities subject us to numerous data privacy and security obligations, such as various state, federal and foreign laws, regulations, guidance, industry standards, external and internal privacy and security policies, contracts and other obligations governing the processing of personal data and other sensitive information, such as information that we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or the third parties with whom we work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our operations and business grow, we become subject to or affected by new or additional data protection laws and regulations and face increased scrutiny or attention from regulatory authorities. In the United States, numerous federal and state laws and regulations, including state data breach notification laws, state health information privacy laws, and federal and state consumer protection laws and regulations (i.e., Section 5 of the FTC Act), that govern the collection, use, disclosure, and protection of health-related and other personal data. In addition, we obtain health information from third parties (including research institutions from which we obtain clinical trial data) that are subject to data privacy and security requirements under the Federal Health Insurance Portability and Accountability Act of 1996, as amended by the Health Information Technology for Economic and Clinical Health Act of 2009, and regulations promulgated thereunder (collectively, "HIPAA"). Depending on the facts and circumstances, we could be subject to significant penalties if we violate HIPAA.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states have also adopted comparable data privacy and security laws and regulations, some of which may be more stringent than HIPAA. For example, the California Consumer Privacy Act of 2018, as amended by the California Privacy Rights Act of 2020 (collectively, the "CCPA"), imposes obligations on covered businesses regarding the personal data of consumers, business representatives, and employees who are California residents, and requires business to provide specific disclosures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privacy notices and honor requests of California residents to exercise certain privacy rights related to their personal data. The CCPA allows for statutory fines for noncompliance and a private right of action for certain data breaches. Although the CCPA exempts some data processed in the context of clinical trials, the CCPA may increase compliance costs and potential liability with respect to other personal data we may maintain about California residents. Other states have enacted data privacy laws as well. Similar laws have been enacted or are being considered in several other states, as well as at the federal and local levels, and we expect more states to pass similar laws in the future, which could further complicate compliance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all 50 U.S. states and the District of Columbia have enacted breach notification laws that may require us to notify affected individuals or regulators in the event of unauthorized access to or disclosure of personal data experienced by us or our service providers. These laws are not consistent, and compliance in the event of a widespread data breach is difficult and can be costly. In addition to government regulation, privacy advocates and industry groups have and may in the future propose self-regulatory standards from time to time. We are, and may in the future become, subject to certain industry standards, or we may elect to comply with such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 GDPR and the UK GDPR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 In Canada, the PIPEDA and various related provincial laws, may apply to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or other countries.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certain countries outside Europe have also passed or are considering laws requiring local data residency or otherwise impeding the transfer of personal data across borders, which increases the cost and complexity of doing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and our efforts to comply with such obligations may not be successful. We also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work to comply with applicable data privacy and security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with whom we work.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Any failure or perceived failure by us or our employees, representatives, contractors, consultants, CROs, collaborators, or other third parties with who we work to comply with such requirements or adequately address data privacy and security concerns, even if unfounded, could result in additional cost and liability to us, damage our reputation, or adversely affect our business and results of operations.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products; expenditure of time and resources to defend any claim or inquiry; adverse publicity; or revision or restructuring of our operations; government enforcement actions (i.e.,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continue to be developed or sustained, and you may not be able to sell your shares quickly or at the market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common stock is traded on the Nasdaq Stock Market LLC, ("Nasdaq") the liquidity in our common stock on that stock market remains thin. If an active trading market for our common stock does not continue to be developed or sustained, you may not be able to sell your shares quickly or at all at the market price. An inactive market may also impair our ability to raise capital to continue to fund operations by selling shares of our common stock and may impair our ability to acquire other companies or technologies by using our common stock as consideration.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satisfy all applicable requirements of Nasdaq and it determines to delist our common stock, the delisting could adversely affect the market liquidity of our common stock and the market price of our common stock could decrease.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maintain the listing of our common stock on Nasdaq, we are required to meet certain listing requirements, including, a minimum closing bid price of $1.00 per share. On August 6, 2024, we received notice from Nasdaq that we are no longer in compliance with Nasdaq’s Listing Rule 5450(a)(1) because the closing bid price of our common stock had fallen below $1.00 per share (the “Minimum Bid Price Requirement”) for 31 consecutive days. In accordance with Nasdaq Listing Rule 5810(c)(3)(A), we had an initial period of 180 calendar days, or until February 3, 2025, to regain compliance with the minimum bid price requirement. On February 7, 2025, we transferred to The Nasdaq Capital Market, and we were afforded an additional 180 calendar day compliance period, or until August 4, 2025 (the “Compliance Date”), to regain compliance with the Minimum Bid Price Requirement. To regain compliance, the closing bid price of our common stock must be at least $1.00 per share for a minimum of 10 consecutive business days before the Compliance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assessing all options to regain compliance. At our annual stockholders’ meeting, we have the option to ask our stockholders to approve a reverse stock split in an amount that would satisfy Nasdaq listing requirements. Reverse stock splits are often perceived negatively and announcements of or implementation of a reverse split may cause the market price of our common stock to decline. Reverse stock splits require the approval of a majority of the votes cast by the stockholders entitled to vote thereon at a stockholder meeting. A reverse stock split typically has the effect of reducing the number of holders of shares in “round lots,” meaning those holding 100 or more shares. Another requirement for being listed on Nasdaq is that the Company have a minimum of 300 round lot holders, so if our stock price falls too low, a reverse split may not be sufficient to solve our Nasdaq non-compliance based on the minimum round lot requirement.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the market value of our publicly held common stock declines below $1 million, or the closing price of our common stock declines to $0.10 per share or less for 10 consecutive trading days, we would also be subject to Nasdaq delisting proceedings on that basis. Nasdaq’s staff also maintains discretionary authority under its listing rules to delist companies whose capital structure or public offerings raise public interest and investor protection concerns, including as a result of highly dilutive issuances, and it is possible that Nasdaq could assert that our present offering, past offerings that we have consummated, or future offerings we may consummate, raise such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we will maintain compliance with the requirements for listing our common stock on Nasdaq. If we are unable to satisfy the Nasdaq criteria for continued listing, our common stock would be subject to delisting. A delisting of our common stock could negatively impact us by, among other things, (i) 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 the future; (v) limiting our ability to use a registration statement to offer and sell freely tradable securities, thereby preventing us from accessing the public capital markets; and (iv) impairing our ability to provide equity incentives to our employees. In addition, delisting from Nasdaq may negatively impact our reputation and, consequently,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price of our common stock is volatile and may fluctuate substantially,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is volatile. The stock market in general, and the market for biopharmaceutical and pharmaceutical companies in particular, has experienced extreme volatility that has often been unrelated to the operating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of particular companies. In addition to the factors discussed in this "Risk Factors" section, the market price for our common stock may be influenced by, among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or results of our planned or future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and failures of competitive products or therapies or announcements, including patient deaths and clinical holds,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coordinated buying or selling activity in our common stock, including market manipulation;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unusual trading in our common stock or securities derivative thereof, including pursuant to naked, or uncovered, short positions or "short squeezes;"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commentary by investors on the prospects for our business or our common stock on the internet, including blogs, articles and message board, and/or social media and resulting in trading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price and volume fluctuations attributable to inconsistent trading volume levels and a wide bid-ask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 or sales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inflation expectations, bank closures, public health crises or geographical tensions and wars, such as the Israel-Hamas war and Russia-Ukraine war;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general perception of us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 of ownership of our common stock among our existing executive officers, directors and principal stockholders may prevent new investors from influencing significant corporate decisions.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upon shares of our common stock outstanding as of March 10, 2025, our executive officers, directors and stockholders who own more than 5% of our outstanding common stock will, in the aggregate, beneficially own shares representing 38% of our outstanding common stock as of the date of this Annual Report. If our executive officers, directors and stockholders who own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for cause only upon the vote of at least 66 2/3% of our outstanding shares of voting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with respect to any state actions or proceedings under Delaware statutory or common law, the Court of Chancery of the State of Delaware is the exclusive forum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breach of fiduciary duty;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arising under the DGCL, our amended and restated certificate of incorporation or our second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second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that is governed by the internal-affairs doctrine.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Unstable market and economic conditions, including as a result of inflation expectations, bank closures, public health crises or geopolitical tensions such as the Russia-Ukraine and/or the Israel-Hamas wars, may have serious adverse consequences on our business, financial condition and share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elevated interest rates,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Russia-Ukraine and the Israel-Hamas wars have created extreme volatility in the global capital markets and is expected to have further global economic consequences, including potential disruptions of the global supply chain, manufacturing and energy markets. Additionally, the introduction of or changes in tariffs or trade barriers, such as the enactment of tariffs on goods imported into the United States, including, but not limited to, proposed tariffs on goods imported from China, Mexico and Canada, could also increase our expenses. Any such volatility and disruptions may have adverse consequences on us or the third parties on whom we rely. If the equity and credit markets deteriorate, including as a result of inflation expectations, recent bank closures, the changing interest rate environment,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maintain cash deposits in excess of federally insured limits. Adverse developments affecting the financial services industry, such as actual events or concerns involving liquidity, defaults or non-performance by financial institutions could adversely affect our liquidity, current financial condition and projected business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during 2023, the FDIC took over Silicon Valley Bank, Signature Bank, Silvergate Capital Corp., and First Republic Bank, into receivership. Although the FDIC announced that all deposits with these banks would be fully insured, there continues to be uncertainty in the markets regarding the stability of regional banks and the safety of deposits in excess of the FDIC insured deposit limits. If other banks and financial institutions enter receivership or become insolvent in the future in response to financial conditions affecting the banking system and financial markets, our ability to access our existing cash may be threatened. The FDIC only insures accounts in amounts up to $250,000 per depositor per insured bank. If any of the banking institutions in which we have deposited funds ultimately fails, we may lose our deposits over $250,000. The loss of our deposits would have a material adverse effect on our business and financial condition. There can be no assurance that our deposits in excess of the FDIC or other comparable insurance limits will be backstopped by the FDIC or U.S. government, or that any bank or financial institution with which we do business will be able to obtain needed liquidity from other banks, government institutions, or by acquisition in the event of a failure or liquidity crisis. The ultimate outcome of these events cannot be predicted, but these events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research analysts do not publish research or reports, or publish unfavorable research or reports, about us, our business or our market, our stock price and trading volume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 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will continue to incur increased costs as a result of operating as a public company, and our management will continue to be required to devote substantial time to new compliance initiatives.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("EGC") as defined under the Jobs Act, or smaller reporting company, we will continue to incur significant legal, accounting and other expenses that we did not incur as a private company. In addition, the Sarbanes-Oxley Act of 2002 ("Sarbanes-Oxley Act") and rules subsequently implemented by the SEC and The Nasdaq Stock Market LLC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certain reporting requirements of the Exchange Act. Our disclosure controls and procedures are designed to reasonably assure that information required to be disclosed by us in reports we file or submit under the Exchange Act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360" w:after="120"/>
        <w:jc w:val="both"/>
        <w:rPr>
          <w:rFonts w:ascii="Times New Roman" w:hAnsi="Times New Roman"/>
          <w:sz w:val="20"/>
        </w:rPr>
      </w:pPr>
      <w:bookmarkStart w:id="5" w:name="unresolved_staff_comments"/>
      <w:bookmarkEnd w:id="5"/>
      <w:r>
        <w:rPr>
          <w:rFonts w:ascii="Times New Roman" w:hAnsi="Times New Roman"/>
          <w:b/>
          <w:color w:val="000000"/>
          <w:sz w:val="20"/>
        </w:rPr>
        <w:t>Item 1B.</w:t>
      </w:r>
      <w:r>
        <w:rPr>
          <w:rFonts w:ascii="Times New Roman" w:hAnsi="Times New Roman"/>
          <w:color w:val="000000"/>
          <w:sz w:val="20"/>
        </w:rPr>
        <w:t xml:space="preserve"> </w:t>
      </w:r>
      <w:r>
        <w:rPr>
          <w:rFonts w:ascii="Times New Roman" w:hAnsi="Times New Roman"/>
          <w:b/>
          <w:color w:val="000000"/>
          <w:sz w:val="20"/>
        </w:rPr>
        <w:t>Unresolved Staff Comments.</w:t>
      </w:r>
      <w:r>
        <w:rPr>
          <w:rFonts w:ascii="Times New Roman" w:hAnsi="Times New Roman"/>
          <w:color w:val="000000"/>
          <w:sz w:val="20"/>
        </w:rPr>
        <w:t xml:space="preserve"> </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120"/>
        <w:jc w:val="both"/>
        <w:rPr>
          <w:rFonts w:ascii="Times New Roman" w:hAnsi="Times New Roman"/>
          <w:sz w:val="20"/>
        </w:rPr>
      </w:pPr>
      <w:bookmarkStart w:id="6" w:name="item_1c_cybersecurity"/>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employees (“Information Systems and Data”).</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information security function is led by our third party security consultant ("IT consultant") with whom we have worked since formation, and it helps identify, assess and manage the Company’s cybersecurity threats and risks. The information security function identifies and assesses risks from cybersecurity threats by monitoring and evaluating our threat environment and the Company’s risk profile using various methods including, for example automated tools, subscribing to reports and services that identify certain cybersecurity threats, conducting threat assessments for internal and external threats, engaging third parties for threat assessments, and conducting assessments to identify vulnerabilities. Our assessment and management of material risks from cybersecurity threats are integrated into our risk management processes. For example, our IT consultant and certain management, including our CFO, evaluate material risks from cybersecurity threats against our overall business objectives and our CFO periodically reports to the audit committee of the board of directors, which evaluates our overall enterprise risk.</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risk assessments, encryption of certain data, segregation of certain data, network security controls, physical security controls, asset management, employee training, penetration testing, and cybersecurity insurance. We use third-party service providers to assist us from time to time to identify, assess, and manage material risks from cybersecurity threats, including for example penetration testing firms, dark web monitoring services, and professional services firms, including legal counsel.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use third-party service providers to perform a variety of functions throughout our business, such as application providers, hosting companies, contract research organizations, and contract manufacturing organizations. We utilize certain vendor management processes to help manage cybersecurity risks associated with our use of certain these providers, including, for example, risk assessments and reviews of the provider’s written security program documentation. Our vendor management processes may vary depending on the nature of the services provided, the sensitivity of the Information Systems and Data at issue, and the identity of the provider.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For a description of the risks from cybersecurity threats that may materially affect the Company and how they may do so, see our risk factors under Part 1. Item 1A. Risk Factors in this Annual Report on Form 10-K, including the rick factor entitled "If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certain Company management, including the CFO, the Chief Operating Officer ("COO") and the IT consultant having over 30 years of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security experience. The CFO and COO each have over 10 years of experience in roles with responsibility for overseeing information technology and security functions.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CFO is responsible for hiring appropriate personnel, helping to integrate cybersecurity risk considerations into the Company’s overall risk management strategy, communicating key priorities to relevant personnel, helping prepare for cybersecurity incidents, approving cybersecurity processes, and reviewing security assessments and other security-related reports.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cybersecurity incident response processes are designed to escalate certain cybersecurity incidents to members of management depending on the circumstances, including the CFO, COO and CEO, who help the Company mitigate and remediate cybersecurity incidents of which they are notified. In addition, the Company’s incident response processes include reporting to the audit committee for certain cybersecurity incidents.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audit committee receives periodic reports from our CFO concerning the Company’s significant cybersecurity threats and risk and the processes the Company has implemented to address them. The audit committee also has access to various reports, summaries or presentations related to cybersecurity threats, risk and mitigation.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bookmarkStart w:id="7" w:name="item_2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240" w:after="360"/>
        <w:jc w:val="both"/>
        <w:rPr>
          <w:rFonts w:ascii="Times New Roman" w:hAnsi="Times New Roman"/>
          <w:color w:val="000000"/>
          <w:sz w:val="20"/>
        </w:rPr>
      </w:pPr>
      <w:r>
        <w:rPr>
          <w:rFonts w:ascii="Times New Roman" w:hAnsi="Times New Roman"/>
          <w:color w:val="000000"/>
          <w:sz w:val="20"/>
        </w:rPr>
        <w:t>We lease approximately 3,900 square feet of office space for our principal executive offices in New York, New York, under an operating lease that expires on February 28, 2027, with no renewal option. We are also leasing approximately 18,000 square feet of space located in the Martin Biscuit Building in Birmingham, Alabama. The lease is a 68-month term, expiring on October 31, 2029 and has an option for a five-year extension. We developed approximately 5,250 square feet of this space as laboratory space, as well as approximately 3,700 square feet as office and conference space. Our Birmingham facilities are both located within Qualified Opportunity Zones as defined in Section 1400Z-2 of the Internal Revenue Code. We will seek to use commercially reasonable efforts to expand our facilities within Qualified Opportunity Zones, as long as it remains consistent with the best interests of the Company. We believe that our facilities are adequate to meet our current needs and that additional space can be obtained on commercially reasonable terms as needed.</w:t>
      </w:r>
    </w:p>
    <w:p>
      <w:pPr>
        <w:pStyle w:val="TextBody"/>
        <w:bidi w:val="0"/>
        <w:spacing w:before="0" w:after="120"/>
        <w:jc w:val="left"/>
        <w:rPr>
          <w:rFonts w:ascii="Times New Roman" w:hAnsi="Times New Roman"/>
          <w:sz w:val="20"/>
        </w:rPr>
      </w:pPr>
      <w:bookmarkStart w:id="8" w:name="item_3_legal_proceedings"/>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pStyle w:val="TextBody"/>
        <w:bidi w:val="0"/>
        <w:spacing w:before="0" w:after="120"/>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160" w:after="283"/>
        <w:jc w:val="both"/>
        <w:rPr>
          <w:rFonts w:ascii="Times New Roman" w:hAnsi="Times New Roman"/>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common stock began trading on The Nasdaq Stock Market LLC under the symbol “INAB” on July 30, 2021. Prior to that time, there was no public market for our common stock.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10, 2025, there were approximately 41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w:t>
      </w:r>
    </w:p>
    <w:p>
      <w:pPr>
        <w:pStyle w:val="TextBody"/>
        <w:bidi w:val="0"/>
        <w:spacing w:before="360" w:after="283"/>
        <w:jc w:val="both"/>
        <w:rPr>
          <w:rFonts w:ascii="Times New Roman" w:hAnsi="Times New Roman"/>
          <w:sz w:val="20"/>
        </w:rPr>
      </w:pPr>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12" w:name="selected_financial_data"/>
      <w:bookmarkStart w:id="13" w:name="item_6_reserved"/>
      <w:bookmarkEnd w:id="12"/>
      <w:bookmarkEnd w:id="13"/>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the financial statements and the related notes included elsewhere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“Special Note Regarding Forward-Looking Statements” and “Risk Factors.”</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We are a clinical-stage biopharmaceutical company focused on the discovery, development and commercialization of gamma-delta T cell product candidates and T cell engagers (“TCEs”) for cancer and autoimmune diseases. We are the most clinically advanced gamma-delta T cell-focused company and are utilizing our suite of DeltEx platform technologies as we aspire to eliminate cancer cells to achieve our mission of what we refer to as Cancer Zero ─ the safe elimination of all cancer cells in every patient battling the disease. We develop </w:t>
      </w:r>
      <w:r>
        <w:rPr>
          <w:rFonts w:ascii="Times New Roman" w:hAnsi="Times New Roman"/>
          <w:i/>
          <w:color w:val="000000"/>
          <w:sz w:val="20"/>
        </w:rPr>
        <w:t>ex vivo</w:t>
      </w:r>
      <w:r>
        <w:rPr>
          <w:rFonts w:ascii="Times New Roman" w:hAnsi="Times New Roman"/>
          <w:color w:val="000000"/>
          <w:sz w:val="20"/>
        </w:rPr>
        <w:t xml:space="preserve">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("iPSC"), genetically modified cell therapy approaches, and TCEs that are designed to effectively identify and eradicate tumor and targeted cells. To date, we have conducted two main investigator-sponsored Phase 1 clinical trials to test our gamma-delta T cell technologies in cancer patients. INB-100 tests our DeltEx Allogeneic (“Allo”) gamma-delta T cells in older patients with high-risk leukemias undergoing haploidentical stem cell transplantation (“HSCT”) and INB-200 tested our DeltEx Drug Resistant Immunotherapy (“DRI”) in newly diagnosed glioblastoma (“GBM”) patients. Both trials have demonstrated long-term durable remissions with patients remaining alive and remission for greater than three years.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INB-400 is the corporate sponsored investigational new drug application (“IND”) for the Phase 2, multi-center clinical trial for our DeltEx DRI technology for the treatment of newly diagnosed GBM. While the IND remains open and we continue to treat any enrolled patients, in September 2024 we suspended enrollment of additional patients due to cash resource allocations. This trial sought to expand the assessment of genetically modified, DRI gamma-delta T cells in newly diagnosed GBM patients in multiple centers across the United States. We will continue to follow any treated patients for safety, progression-free survival ("PFS") and overall survival ("OS") with preliminary data to be reported in 2025. We believe our DeltEx DRI gamma-delta T cell therapeutic approach is demonstrating clinical activity and can be applied to multiple solid tumor types. We are seeking alternative funding sources and strategic opportunities to potentially partner this program. In April 2023, we received Orphan Drug Designation for the autologous and allogeneic INB-400 products from the FDA, covering a broad range of malignant glioma indications, including relapsed and newly diagnosed GBM.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Most recently we introduced INB-600, our proprietary and internally developed TCE platform. This technology represents a potentially revolutionary advancement in immunotherapy, harnessing the power of gamma-delta T cells through a distinctive mechanism that optimizes effector function and targeted cytotoxicity. We believe INB-600 positions us with a promising candidate for a range of potential applications, from solid tumors to autoimmune diseases, with the goal of offering a comprehensive approach to immune system modulation and disease treatment. We have demonstrated that a CD19 targeted gamma-delta TCE can eliminate the targeted cells in a dose-dependent manner. We expect to present additional preliminary preclinical data at a medical meeting in spring 2025.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also have a portfolio of preclinical programs in development. These include INB-300, which is applicable to both solid and liquid tumors using a targeted non-signaling gamma-delta T cell based chimeric antigen receptor (“nsCAR”) construct and INB-500 which encompasses our ability to produce gamma-delta T cells from iPSCs. iPSCs represent a significant step toward next generation approaches of cellular manufacturing for true allogeneic and potentially "off-the-shelf" innate cell therapies. For INB-300 we presented additional preclinical data demonstrating our proof-of-concept in vitro studies, run in triplicate, against the leukemia antigen targets CD33 and CD123. This data, presented at the American Association for Cancer Research ("AACR") Annual Meeting in 2024, demonstrated the ability of our nsCAR constructs to distinguish between tumor tissue and healthy tissue. We plan to continue to optimize the nsCAR construct for advancement towards animal models, IND enabling studies and opportunities for potential partnership .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2024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2024, we issued and sold units, comprised of an aggregate of 25,696,305 shares of our common stock, 5,646,853 pre-funded warrants to purchase one share of common stock (the “2024 Pre-Funded warrants”) and 31,343,158 Series C warrants to purchase one share of common stock (the “Series C warrants”), for net proceeds of $11.2 million, after deducting private placement fees and expenses (the "2024 Private Placement"). The closing of the 2024 Private Placement occurred on October 4, 2024. The 2024 Pre-Funded warrants have an exercise price of $0.0001 and the Series C warrants have an exercise price of $0.27 per share. Each 2024 Pre-Funded Warrant is exercisable immediately and remains exercisable until exercised in full. In lieu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payment to the Company in payment of the aggregate exercise price upon exercise of a 2024 Pre-Funded Warrant, the holder may elect instead to receive upon such exercise (either in whole or in part) the net number of shares of common stock determined according to a formula set forth in the 2024 Pre-Funded warrants terms. Each Series C warrant is exercisable immediately and will expire on October 4, 2027. On November 4, 2024 we filed a registration statement on Form S-3 to register for resale the shares of common stock and the common stock underlying the 2024 Pre-Funded warrants and Series C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closing of the 2024 Private Placement, we amended certain of our outstanding series A common stock purchase warrants (the “Amended Series A warrants”), representing approximately 11,714,076 shares of our Common Stock, to (i) reduce the exercise price from $1.25 to $0.45 per share and (ii) extend the termination date of such Amended Series A warrants to October 4,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2023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we issued and sold an aggregate of 11,823,829 units comprising (i) (a) one share of our common stock, par value $0.0001 per share, or (b) one pre-funded warrant to purchase one share of common stock (the “2023 Pre-Funded Warrants”), and, in each case, (ii) one Series A warrant to purchase one share of common stock (the “Series A Warrants”), and (iii) one Series B warrant to purchase one share of common stock (the “Series B Warrants” and, together with the Series A Warrants, the “2023 Warrants”) (the “2023 Private Placement” and, together with the 2024 Private Placement, the “Private Placements”). In connection with the 2023 Private Placement, we issued an aggregate of 11,249,588 shares of common stock, 574,241 2023 Pre-Funded Warrants, 11,823,829 Series A Warrants and 11,823,829 Series B Warrants. The 2023 Pre-Funded Warrants have an exercise price of $0.0001 per share, are exercisable immediately and are exercisable until the 2023 Pre-Funded Warrant is exercised in full. The Amended Series A Warrants, have an exercise price of $0.45 per share. The remainder of the Series A warrants (the “Unamended Series A Warrants”) have an exercise price of $1.25 per share. The Series B Warrants have an exercise price of $1.50 per share, are exercisable immediately and will expire on December 13, 2028. The units were sold at a purchase price of $1.22 per unit, for an aggregate initial net proceeds of $13.5 million, after deducting private placement fees and expenses. The closing of the 2023 Private Placement occurred on December 13, 2023. On January 12, 2024, we filed a registration statement on Form S-3 to register for resale the common stock and the common stock underlying the 2023 Warrants and the 2023 Pre-Funded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Pipeline Prioritization and Workforce Reduction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2024, we implemented a pipeline prioritization by suspending further development on INB-400 and focusing on development of INB-100 and reduced our workforce by approximately 49%, across all functions. In combination with this reduction, the executive management team and the Board also agreed to a 11% reduction in their cash compensation, effective as of September 1, 2024. In connection with the pipeline reprioritization, we suspended patient enrollment in the INB-400 Phase 2 clinical trial for newly diagnosed GBM while we explore partnership opportunities for the program. We will continue to monitor patients previously treated in the fully enrolled INB-200 clinical trial as well as any patients that have been enrolled and are undergoing treatment in the INB-400 Phase 2 clinical trial.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inception in 2016, our operations have focused on identifying and developing potential product candidates, conducting clinical trials, organizing and staffing, business planning, establishing our intellectual property portfolio, raising capital, and providing general and administrative support for these operations. We do not have any product candidates approved for sale and have not generated any revenue. We have funded our operations primarily through the sale of equity and equity-linked securities, including through our initial public offering ("IPO"), follow-on offering, our at-the-market ("ATM"), program with Cantor Fitzgerald &amp; Co., ("Cantor Fitzgerald"), and the Private Placements.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Based on our business strategy, our existing cash of $11.1 million as of December 31, 2024, along with $3.7 million in net proceeds from the issuance of equity in February 2025 under the ATM program and $0.4 million from the exercise of a portion of our Series C warrants exercised, is not anticipated to fund the Company’s projected operating expenses and capital expenditure requirements for a period of at least twelve months from the date of issuance of these financial statements, and accordingly, there is substantial doubt about the Company’s ability to continue to operate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continue to deploy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timing of regulatory filings for our preclinical and clinical programs. To continue to fund our operations, management has developed plans, which primarily consist of the pipeline prioritization and workforce reduction, raising additional capital through some combination of equity and/or debt offerings, including through our ATM program, and identifying strategic collaborations, licensing or other arrangements to support development of our product candidates. In addition, as of March 10, 2025, we may receive an additional $5.4 million and $8.1 million in aggregate proceeds if the holders of our Series A warrants and Series C warrants exercise their warrants, respectively. Further, if not otherwise redeemed by us, we may also receive aggregate proceeds of up to $17.7 million from the exercise of our outstanding Series B warrants. There is no assurance, however, that we will receive any additional proceeds from the Private Placements or that any additional financing or any revenue-generating collaboration will be available when needed, that management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cost preservation measures initiated to date to address our liquidity needs, including exploring other strategic options, continuing to further reduce operating expense or delaying, reducing the scope of, discontinuing or altering our research and development activities. For additional information, see “—Liquidity”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actual amount of cash that we will need to operate is subject to many factors, including those described in the section titled “Risk Factors.” The financial statements have been prepared on the basis that we will continue as a going concern and do not include adjustments that might result from the outcome of this uncertainty.</w:t>
      </w:r>
    </w:p>
    <w:p>
      <w:pPr>
        <w:pStyle w:val="TextBody"/>
        <w:bidi w:val="0"/>
        <w:spacing w:before="360" w:after="283"/>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24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and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related-benefits, severance payments and stock-based compensation expense for employees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consultants for services directly related to our product development and regulatory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associated with conducting preclinical studies performed by ourselves, outside vendors or academic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contract research organizations ("CROs") as well as contract manufacturing organizations ("CMOs") and consultants that conduct and provide supplies for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manufacture drug product candidates for use in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preclinical activities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our intellectual property portfolio;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each product candidate. Preclinical expenses consist of external research and development costs associated with activities to support our current and future clinical programs but are not allocated by product candidate due to the overlap of the potential benefit of those efforts across multiple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We expect that our research and development expenses will continue to increase for the foreseeable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shared expenses for rent and maintenance of facilities and other operating costs not included in research and development.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for the foreseeable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Severance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Severance and related charges include one-time costs related to the September 2024 workforce reduction, including severance payments and stock-based compensation expense resulting from acceleration in full of outstanding unvested stock options at the separation date for the impacted employees.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includes interest earned from certain bank accounts.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entered into a non-recurring contractual arrangement in early 2023 with a non-related third party to transfer two lots of our clinical scale, GMP grade gamma-delta T cells, in which the third party utilized the cells in their research activities. </w:t>
      </w:r>
    </w:p>
    <w:p>
      <w:pPr>
        <w:pStyle w:val="TextBody"/>
        <w:bidi w:val="0"/>
        <w:spacing w:before="36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the Years Ended December 31,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results of operations for the years ended December 31, 2024 and 2023 (in thousands):</w:t>
      </w:r>
    </w:p>
    <w:p>
      <w:pPr>
        <w:pStyle w:val="TextBody"/>
        <w:bidi w:val="0"/>
        <w:jc w:val="both"/>
        <w:rPr/>
      </w:pPr>
      <w:r>
        <w:rPr/>
        <w:t> </w:t>
      </w:r>
    </w:p>
    <w:tbl>
      <w:tblPr>
        <w:tblW w:w="6711" w:type="dxa"/>
        <w:jc w:val="left"/>
        <w:tblInd w:w="0" w:type="dxa"/>
        <w:tblLayout w:type="fixed"/>
        <w:tblCellMar>
          <w:top w:w="28" w:type="dxa"/>
          <w:left w:w="28" w:type="dxa"/>
          <w:bottom w:w="28" w:type="dxa"/>
          <w:right w:w="28" w:type="dxa"/>
        </w:tblCellMar>
      </w:tblPr>
      <w:tblGrid>
        <w:gridCol w:w="2751"/>
        <w:gridCol w:w="146"/>
        <w:gridCol w:w="221"/>
        <w:gridCol w:w="771"/>
        <w:gridCol w:w="173"/>
        <w:gridCol w:w="152"/>
        <w:gridCol w:w="221"/>
        <w:gridCol w:w="771"/>
        <w:gridCol w:w="166"/>
        <w:gridCol w:w="146"/>
        <w:gridCol w:w="211"/>
        <w:gridCol w:w="571"/>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Severance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years ended December 31, 2024 and 2023 (in thousands):</w:t>
      </w:r>
    </w:p>
    <w:p>
      <w:pPr>
        <w:pStyle w:val="TextBody"/>
        <w:bidi w:val="0"/>
        <w:jc w:val="both"/>
        <w:rPr/>
      </w:pPr>
      <w:r>
        <w:rPr/>
        <w:t> </w:t>
      </w:r>
    </w:p>
    <w:tbl>
      <w:tblPr>
        <w:tblW w:w="8987" w:type="dxa"/>
        <w:jc w:val="left"/>
        <w:tblInd w:w="0" w:type="dxa"/>
        <w:tblLayout w:type="fixed"/>
        <w:tblCellMar>
          <w:top w:w="28" w:type="dxa"/>
          <w:left w:w="28" w:type="dxa"/>
          <w:bottom w:w="28" w:type="dxa"/>
          <w:right w:w="28" w:type="dxa"/>
        </w:tblCellMar>
      </w:tblPr>
      <w:tblGrid>
        <w:gridCol w:w="5046"/>
        <w:gridCol w:w="146"/>
        <w:gridCol w:w="236"/>
        <w:gridCol w:w="756"/>
        <w:gridCol w:w="163"/>
        <w:gridCol w:w="163"/>
        <w:gridCol w:w="236"/>
        <w:gridCol w:w="756"/>
        <w:gridCol w:w="146"/>
        <w:gridCol w:w="146"/>
        <w:gridCol w:w="211"/>
        <w:gridCol w:w="571"/>
        <w:gridCol w:w="4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were $17.0 million for the year ended December 31, 2024, compared to $16.8 million for the comparable prior year period. The increase was primarily due to increases in direct costs related to our clinical trials of $0.9 million, primarily related to our INB-100 and INB-400 programs, partially offset by a decrease in our INB-200 program and preclinical spend of $0.1 million. The increase was partially offset by a decrease of $0.8 million in personnel-related costs, primarily related to a decrease in bonuses of $1.0 million, partially offset by an increase in salaries and benefits of $0.2 million. Facility-related and other expenses decreased $0.1 million. As a result of our pipeline prioritization announced in September 2024, future clinical work on INB-400 has been suspended.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$12.6 million for the year ended December 31, 2024, compared to $13.5 million for the comparable prior year period. The decrease of $0.9 million was primarily due to decreases in insurance costs due to cost savings related to D&amp;O insurance premiums, professional services, and salaries, partially offset by an increase in legal and consulting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Severance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Severance and related charges were $1.1 million for the year ended December 31, 2024, compared to zero for the comparable prior year period. The increase of $1.1 million was due to one-time costs related to the September 2024 workforce reduction, including stock-based compensation expense of $0.8 million resulting from acceleration in full of outstanding unvested stock options at the separation date for the impacted employees, and $0.3 million related to severance payments.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$0.2 million for the year ended December 31, 2024. We did not have interest income for the comparable period in the prior year. The increase was due to interest income earned from cash sweep accounts, which we opened during the first quarter of 2024.</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have any other income for the year ended December 31, 2024. We entered into a non-recurring contractual arrangement in early 2023 with a non-related third party to transfer two lots of our clinical scale, GMP grade gamma-delta T cells, in which the third party utilized the cells in their research activities.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funded our operations primarily through the sale of equity and equity-linked securities, including through our IPO, follow-on offering, our ATM program and the Private Placements. Through December 31, 2024, we have raised an aggregate of $132.1 million of gross proceeds from the sale of our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we had cash of $11.1 million. Our current plan of operation is to execute our business strategy, by advancing clinical development of INB-100, and progressing our other product candidates, including our preclinical pipeline and strengthening our internal research and development capabilities. Additionally we are actively seeking potential collaborative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partners for INB-400 and our earlier stage assets. Based on this business strategy, our existing cash as of December 31, 2024 plus net proceeds of $3.7 million from the issuance of equity under the ATM program raised in February 2025 and $0.4 million from the exercise of a portion of our Series C warrants, is only expected to fund the projected operating expenses and capital expenditure requirements into March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2022, we filed a shelf registration statement on Form S-3 (File No. 333-268288), or the Shelf Registration Statement, with the SEC, which permits the offering, issuance and sale by us of up to a maximum aggregate offering price of $200 million of our securities, of which $50 million of common stock may be issued and sold pursuant to an ATM program.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and Truist, under which Cantor Fitzgerald and Truist agreed to act as our sales agents to sell shares of our common stock, from time to time, through the ATM program. On March 8, 2024, the Company delivered a termination notice to Truist, removing them as a sales agent under the ATM program. Such termination became effective on March 14, 2024. During the year ended December 31, 2024, we sold an aggregate of 3,479,623 shares of common stock under the ATM program, resulting in net proceeds of approximately $3.8 million, after deducting underwriting discounts. As of March 10, 2025 $11.0 million remained available for the sale of our common stock under the ATM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this Form 10-K, our public float was less than $75 million. As a result, we are subject to the limitations of General Instruction I.B.6 to Form S-3 until such time as our public float exceeds $75 million, which means we only have the capacity to sell shares up to one-third of our public float under shelf registration statements in any twelve-month period. We will remain constrained by the limitations of General Instruction I.B.6 to Form S-3 until such time as our public float exceeds $75 million, at which time the number of securities we may sell under a Form S-3 registration statement will no longer be limited by limitations of General Instruction I.B.6 to Form S-3.</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Outstanding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we had issued and outstanding 574,241 2023 Pre-Funded warrants, 5,646,853 2024 Pre-Funded warrants, 11,803,829 Series A warrants (subject to amendment as described below), 11,823,829 Series B Warrants, and 31,343,158 Series C warrants. The 2023 Pre-Funded Warrants and the 2024 Pre-Funded warrants have an exercise price of $0.0001 per share and do not expire. The Amended Series A Warrants, have an exercise price of $0.45 per share. The Unamended Series A warrants have an exercise price of $1.25 per share. The Series B warrants have an exercise price of $1.50 per share. The Series C warrants have an exercise price of $0.27 per share. The Series A warrants are exercisable immediately. The Unamended Series A Warrants will expire on June 13, 2025 and the Amended Series A Warrants will expire on October 4, 2025. The Series B warrants are exercisable immediately and expire on December 13, 2028. The Series C warrants are exercisable immediately and will expire on October 4,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10, 2025, we may receive up to an aggregate of $13.5 million of gross proceeds from the exercise of the Series A and Series C warrants, assuming the exercise in full of all of the warrants for cash. Further, if not otherwise redeemed by us, we may also receive aggregate proceeds of up to $17.7 million from the exercise of our outstanding Series B warrants. There is no assurance, however, that we will receive any additional proceeds from these warrants or that any additional financing or any revenue-generating collaboration will be available, when needed. See Note 8, Warrants, for additional information.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clinical trials required for regulatory approval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any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clinical and commercial supplies of our current and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potential interruptions, delays and/or cost increases resulting from public health crises, increased interest rates and geopolitical tensions, such as the Israel-Hamas war and the Russia-Ukraine war;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a product candidate could mean a significant change in the costs and timing associated with the development of that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inflationary factors, such as increases in the cost of our clinical trial materials and supplies, interest rates and overhead costs may adversely affect our operating results. Although we do not believe that inflation has had a material impact on our financial position or results of operations to date, we may experience increases in the near future (especially if inflation rates rise) on our operating costs, including our labor costs and research and development costs, due to supply chain constraints, consequences associated with geopolitical tensions such as the Israel-Hamas war and the Russia-Ukraine war, any future tariffs enacted by the U.S. government and employee availability and wage increases, which may result in additional stress on our working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product revenue and have incurred net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increases in inflation expectations and the recent disruptions to, and volatility in, the credit and financial markets in the United States and worldwide resulting from uncertain economic conditions including inflation expectations and interest rates, uncertainties arising as a result of the change in U.S. federal administration, bank failures, public health crises such as the COVID-19 pandemic, any potential for avian influenza or similar outbreak and other geopolitical tensions, such as the Israel-Hamas war and the Russia-Ukraine war.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material cash requirements as of December 31, 2024 included operating lease commitments, including the lease of our current headquarters office in New York, New York, laboratory and office space in Birmingham, Alabama and a manufacturing service agreement with a third party to engage in research of cell therapy products. As of December 31, 2024, we had fixed lease payment obligations of $6.1 million, with $2.2 million payable within 12 months. See Note 14, Equipment and Facility Leases, for 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below (in thousands): </w:t>
      </w:r>
    </w:p>
    <w:p>
      <w:pPr>
        <w:pStyle w:val="TextBody"/>
        <w:bidi w:val="0"/>
        <w:jc w:val="both"/>
        <w:rPr/>
      </w:pPr>
      <w:r>
        <w:rPr/>
        <w:t> </w:t>
      </w:r>
    </w:p>
    <w:tbl>
      <w:tblPr>
        <w:tblW w:w="6132" w:type="dxa"/>
        <w:jc w:val="left"/>
        <w:tblInd w:w="0" w:type="dxa"/>
        <w:tblLayout w:type="fixed"/>
        <w:tblCellMar>
          <w:top w:w="28" w:type="dxa"/>
          <w:left w:w="28" w:type="dxa"/>
          <w:bottom w:w="28" w:type="dxa"/>
          <w:right w:w="28" w:type="dxa"/>
        </w:tblCellMar>
      </w:tblPr>
      <w:tblGrid>
        <w:gridCol w:w="3466"/>
        <w:gridCol w:w="146"/>
        <w:gridCol w:w="221"/>
        <w:gridCol w:w="771"/>
        <w:gridCol w:w="173"/>
        <w:gridCol w:w="152"/>
        <w:gridCol w:w="221"/>
        <w:gridCol w:w="77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was $24.1 million during the year ended December 31, 2024, primarily due to our net loss of $30.4 million, partially offset by our non-cash charges of $7.7 million. Increases in our non-cash charges consisted primarily of $5.0 million in stock-based compensation due to increased employee headcount resulting from growth in our business, $1.7 million in amortization of operating and financing leases, and $1.0 million in depreciation expense. The non-cash charges were offset by a decrease of $1.4 million in changes in operating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was $23.3 million during the year ended December 31, 2023, primarily due to our net loss of $30.0 million, partially offset by our non-cash charges of $6.7 million. Increases in our non-cash charges consisted primarily of $4.4 million in stock-based compensation due to increased employee headcount resulting from growth in our business, $1.5 million in amortization of operating and financing leases, and $1.0 million in depreciation expense. The non-cash charges were offset by a decrease of $0.2 million in changes in operating assets and liabilities.</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Cash used in investing activities was $0.2 million during the year ended December 31, 2024,</w:t>
      </w:r>
      <w:r>
        <w:rPr>
          <w:rFonts w:ascii="Times New Roman" w:hAnsi="Times New Roman"/>
          <w:color w:val="FFFFFF"/>
          <w:sz w:val="20"/>
        </w:rPr>
        <w:t xml:space="preserve"> </w:t>
      </w:r>
      <w:r>
        <w:rPr>
          <w:rFonts w:ascii="Times New Roman" w:hAnsi="Times New Roman"/>
          <w:color w:val="000000"/>
          <w:sz w:val="20"/>
        </w:rPr>
        <w:t>primarily due to purchases of property and equipment and construction in progress activity in relation to leasehold improvements to the leased space located in Alabama.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$0.6 million during the year ended December 31, 2023, primarily due to purchases of property and equipment and construction in progress activity in relation to leasehold improvements to the leased space located in Alabama.</w:t>
      </w:r>
    </w:p>
    <w:p>
      <w:pPr>
        <w:pStyle w:val="TextBody"/>
        <w:bidi w:val="0"/>
        <w:spacing w:before="36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provided by financing activities was $14.2 million during the year ended December 31, 2024, primarily due to $11.2 million in net proceeds received from the 2024 Private Placement and $3.8 million in net proceeds received from our ATM program, offset by $0.8 million in principal payments of finance leases.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provided by financing activities was $27.0 million during the year ended December 31, 2023, primarily due to $14.4 million in proceeds received from our ATM program and $13.5 million in proceeds received from the 2023 Private Placement, offset by $0.8 million in principal payments of finance leases.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Management’s Discussion and Analysis of Financial Condition and Results of Operations is based on our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listed below our critical accounting policies that we believe to have the greatest potential impact on our financial statements. Historically, our assumptions, judgments and estimates relative to our critical accounting estimates have not differed materially from actual results. </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financial statements located elsewhere in this Annual Report on Form 10-K. We have listed below our critical accounting estimates and accounting policies that we believe to have the greatest potential impact on our financial statements. Historically, our assumptions, judgments and estimates relative to our critical accounting estimates have not differed materially from actual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the process of preparing our financial statements, we are required to estimate our accrued research and development expenses. We make estimates of our accrued expenses as of each balance sheet date in the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We measure all stock-based awards granted to employees, nonemployees and directors based on the fair value on the date of the grant and recognize compensation expense for those awards over the requisite service period, which is generally the vesting period of the respective award. We account for our stock-based compensation as an expense in the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 (b) 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term is consistent with the expected term of the stock options. The expected dividend yield is assumed to be zero as we have never paid dividends and have no current plans to pay any dividends on our common stock.</w:t>
      </w:r>
    </w:p>
    <w:p>
      <w:pPr>
        <w:pStyle w:val="TextBody"/>
        <w:bidi w:val="0"/>
        <w:spacing w:before="36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adopt any new accounting guidance during the year ended December 31, 2024. As of as of January 1, 2025 we adopted Accounting Standards Update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ASU 2023-07 effective January 1, 2025. See Note 15, Segments, in the accompanying notes to the consolidated financial statements for further detail. Additionally, there is no pending accounting guidance that we expect to have a material impact on the financial statements. </w:t>
      </w:r>
    </w:p>
    <w:p>
      <w:pPr>
        <w:pStyle w:val="TextBody"/>
        <w:bidi w:val="0"/>
        <w:spacing w:before="360" w:after="283"/>
        <w:jc w:val="both"/>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We qualify as an emerging growth company ("EGC") as defined in the Jumpstart Our Business Startups Act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We are also a "smaller reporting company," and we may continue to be a smaller reporting company until either (i) the market value of our stock held by non-affiliates is less than $250.0 million or (ii) our annual revenue is less than $100.0 million during the most recently completed fiscal year and the market value of our stock held by non-affiliates is less than $700.0 million.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Item 10 of Regulation S-K and are not required to provide the information otherwise required under this item.</w:t>
      </w:r>
    </w:p>
    <w:p>
      <w:pPr>
        <w:pStyle w:val="TextBody"/>
        <w:bidi w:val="0"/>
        <w:spacing w:before="360" w:after="283"/>
        <w:jc w:val="both"/>
        <w:rPr>
          <w:rFonts w:ascii="Times New Roman" w:hAnsi="Times New Roman"/>
          <w:sz w:val="20"/>
        </w:rPr>
      </w:pPr>
      <w:bookmarkStart w:id="16" w:name="item_8_financial_statements_supplementar"/>
      <w:bookmarkEnd w:id="16"/>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statements required by this item, together with the report of our independent registered public accounting firm, appear beginning on page 109 of this Annual Report on Form 10-K. </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spacing w:before="40" w:after="283"/>
        <w:jc w:val="left"/>
        <w:rPr/>
      </w:pPr>
      <w:r>
        <w:rPr/>
        <w:t> </w:t>
      </w:r>
    </w:p>
    <w:tbl>
      <w:tblPr>
        <w:tblW w:w="9737" w:type="dxa"/>
        <w:jc w:val="left"/>
        <w:tblInd w:w="0" w:type="dxa"/>
        <w:tblLayout w:type="fixed"/>
        <w:tblCellMar>
          <w:top w:w="28" w:type="dxa"/>
          <w:left w:w="28" w:type="dxa"/>
          <w:bottom w:w="28" w:type="dxa"/>
          <w:right w:w="28" w:type="dxa"/>
        </w:tblCellMar>
      </w:tblPr>
      <w:tblGrid>
        <w:gridCol w:w="9271"/>
        <w:gridCol w:w="466"/>
      </w:tblGrid>
      <w:tr>
        <w:trPr/>
        <w:tc>
          <w:tcPr>
            <w:tcW w:w="9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
              <w:r>
                <w:rPr>
                  <w:rStyle w:val="InternetLink"/>
                  <w:rFonts w:ascii="Times New Roman" w:hAnsi="Times New Roman"/>
                  <w:color w:val="0000FF"/>
                  <w:sz w:val="20"/>
                  <w:u w:val="single"/>
                </w:rPr>
                <w:t>Report of Independent Registered Public Accounting Firm (CohnReznick LLP Tysons, Virginia, PCAOB ID 596)</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w:t>
              </w:r>
            </w:hyperlink>
            <w:hyperlink w:anchor="balance_sheets">
              <w:r>
                <w:rPr>
                  <w:rStyle w:val="InternetLink"/>
                  <w:rFonts w:ascii="Times New Roman" w:hAnsi="Times New Roman"/>
                  <w:color w:val="0000FF"/>
                  <w:sz w:val="20"/>
                </w:rPr>
                <w:t xml:space="preserve"> </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redeemable_convertible">
              <w:r>
                <w:rPr>
                  <w:rStyle w:val="InternetLink"/>
                  <w:rFonts w:ascii="Times New Roman" w:hAnsi="Times New Roman"/>
                  <w:color w:val="0000FF"/>
                  <w:sz w:val="20"/>
                  <w:u w:val="single"/>
                </w:rPr>
                <w:t>Statements of Changes in Stockholders’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92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00"/>
        <w:jc w:val="center"/>
        <w:rPr>
          <w:rFonts w:ascii="Times New Roman" w:hAnsi="Times New Roman"/>
          <w:b/>
          <w:color w:val="000000"/>
          <w:sz w:val="20"/>
        </w:rPr>
      </w:pPr>
      <w:bookmarkStart w:id="17" w:name="report_of_independent"/>
      <w:bookmarkEnd w:id="17"/>
      <w:r>
        <w:rPr>
          <w:rFonts w:ascii="Times New Roman" w:hAnsi="Times New Roman"/>
          <w:b/>
          <w:color w:val="000000"/>
          <w:sz w:val="20"/>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To the Board of Directors and Stockholders</w:t>
      </w:r>
    </w:p>
    <w:p>
      <w:pPr>
        <w:pStyle w:val="TextBody"/>
        <w:bidi w:val="0"/>
        <w:jc w:val="both"/>
        <w:rPr>
          <w:rFonts w:ascii="Times New Roman" w:hAnsi="Times New Roman"/>
          <w:color w:val="000000"/>
          <w:sz w:val="20"/>
        </w:rPr>
      </w:pPr>
      <w:r>
        <w:rPr>
          <w:rFonts w:ascii="Times New Roman" w:hAnsi="Times New Roman"/>
          <w:color w:val="000000"/>
          <w:sz w:val="20"/>
        </w:rPr>
        <w:t>IN8bio, Inc.</w:t>
      </w:r>
    </w:p>
    <w:p>
      <w:pPr>
        <w:pStyle w:val="TextBody"/>
        <w:bidi w:val="0"/>
        <w:jc w:val="both"/>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Opinion on the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balance sheets of IN8bio, Inc. (the “Company”) as of December 31, 2024 and 2023, and the related statements of operations,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The Company’s Ability to Continue as a 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As discussed in Note 1 to the financial statements, the Company has incurred recurring losses from operations that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jc w:val="both"/>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Basis for 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from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 CohnReznick LLP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2017.</w:t>
      </w:r>
    </w:p>
    <w:p>
      <w:pPr>
        <w:pStyle w:val="TextBody"/>
        <w:bidi w:val="0"/>
        <w:jc w:val="both"/>
        <w:rPr>
          <w:rFonts w:ascii="Times New Roman" w:hAnsi="Times New Roman"/>
          <w:color w:val="000000"/>
          <w:sz w:val="20"/>
        </w:rPr>
      </w:pPr>
      <w:r>
        <w:rPr>
          <w:rFonts w:ascii="Times New Roman" w:hAnsi="Times New Roman"/>
          <w:color w:val="000000"/>
          <w:sz w:val="20"/>
        </w:rPr>
        <w:t>Tysons, Virginia</w:t>
      </w:r>
    </w:p>
    <w:p>
      <w:pPr>
        <w:pStyle w:val="TextBody"/>
        <w:bidi w:val="0"/>
        <w:jc w:val="both"/>
        <w:rPr>
          <w:rFonts w:ascii="Times New Roman" w:hAnsi="Times New Roman"/>
          <w:color w:val="000000"/>
          <w:sz w:val="20"/>
        </w:rPr>
      </w:pPr>
      <w:r>
        <w:rPr>
          <w:rFonts w:ascii="Times New Roman" w:hAnsi="Times New Roman"/>
          <w:color w:val="000000"/>
          <w:sz w:val="20"/>
        </w:rPr>
        <w:t>March 13, 2025</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sz w:val="20"/>
        </w:rPr>
      </w:pPr>
      <w:bookmarkStart w:id="18" w:name="balance_sheets"/>
      <w:bookmarkEnd w:id="18"/>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1"/>
        <w:gridCol w:w="146"/>
        <w:gridCol w:w="213"/>
        <w:gridCol w:w="853"/>
        <w:gridCol w:w="166"/>
        <w:gridCol w:w="146"/>
        <w:gridCol w:w="218"/>
        <w:gridCol w:w="808"/>
        <w:gridCol w:w="414"/>
      </w:tblGrid>
      <w:tr>
        <w:trPr/>
        <w:tc>
          <w:tcPr>
            <w:tcW w:w="7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December 31, 2024 and 2023. No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December 31, 2024 and 2023; 72,483,253 and 43,287,325 shares issued and outstanding at December 31, 2024 and 2023,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116,152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(91,219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19" w:name="statements_of_operations"/>
      <w:bookmarkEnd w:id="19"/>
      <w:r>
        <w:rPr>
          <w:rFonts w:ascii="Times New Roman" w:hAnsi="Times New Roman"/>
          <w:b/>
          <w:color w:val="000000"/>
          <w:sz w:val="20"/>
        </w:rPr>
        <w:t>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2"/>
        <w:gridCol w:w="146"/>
        <w:gridCol w:w="211"/>
        <w:gridCol w:w="1036"/>
        <w:gridCol w:w="166"/>
        <w:gridCol w:w="146"/>
        <w:gridCol w:w="211"/>
        <w:gridCol w:w="1036"/>
        <w:gridCol w:w="391"/>
      </w:tblGrid>
      <w:tr>
        <w:trPr/>
        <w:tc>
          <w:tcPr>
            <w:tcW w:w="6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Severance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53,547,030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29,864,932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sz w:val="20"/>
        </w:rPr>
      </w:pPr>
      <w:bookmarkStart w:id="20" w:name="statements_of_redeemable_convertible"/>
      <w:bookmarkEnd w:id="20"/>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Changes in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0"/>
        <w:gridCol w:w="146"/>
        <w:gridCol w:w="146"/>
        <w:gridCol w:w="766"/>
        <w:gridCol w:w="146"/>
        <w:gridCol w:w="146"/>
        <w:gridCol w:w="196"/>
        <w:gridCol w:w="375"/>
        <w:gridCol w:w="146"/>
        <w:gridCol w:w="146"/>
        <w:gridCol w:w="181"/>
        <w:gridCol w:w="586"/>
        <w:gridCol w:w="151"/>
        <w:gridCol w:w="146"/>
        <w:gridCol w:w="194"/>
        <w:gridCol w:w="677"/>
        <w:gridCol w:w="151"/>
        <w:gridCol w:w="146"/>
        <w:gridCol w:w="226"/>
        <w:gridCol w:w="696"/>
        <w:gridCol w:w="398"/>
      </w:tblGrid>
      <w:tr>
        <w:trPr/>
        <w:tc>
          <w:tcPr>
            <w:tcW w:w="4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4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24,545,157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22,732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7,492,580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14,380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private placement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11,249,588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10,184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private placement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3,278</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4,370</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(30,007</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43,287,325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24,937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3,479,623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3,816</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upon exercise of Series A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private placement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25,696,305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6,127</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private placement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5,099</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costs related to the December 2023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4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(30,437</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72,483,253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(121,656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14,478</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sz w:val="20"/>
        </w:rPr>
      </w:pPr>
      <w:bookmarkStart w:id="21" w:name="statements_of_cash_flows"/>
      <w:bookmarkEnd w:id="21"/>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194" w:type="dxa"/>
        <w:jc w:val="left"/>
        <w:tblInd w:w="0" w:type="dxa"/>
        <w:tblLayout w:type="fixed"/>
        <w:tblCellMar>
          <w:top w:w="28" w:type="dxa"/>
          <w:left w:w="28" w:type="dxa"/>
          <w:bottom w:w="28" w:type="dxa"/>
          <w:right w:w="28" w:type="dxa"/>
        </w:tblCellMar>
      </w:tblPr>
      <w:tblGrid>
        <w:gridCol w:w="7231"/>
        <w:gridCol w:w="146"/>
        <w:gridCol w:w="211"/>
        <w:gridCol w:w="736"/>
        <w:gridCol w:w="166"/>
        <w:gridCol w:w="146"/>
        <w:gridCol w:w="211"/>
        <w:gridCol w:w="736"/>
        <w:gridCol w:w="611"/>
      </w:tblGrid>
      <w:tr>
        <w:trPr/>
        <w:tc>
          <w:tcPr>
            <w:tcW w:w="7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disposal of 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issuance costs from December 2023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Series A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private placement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private placement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Principal payments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operating, financing and investing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measurement of 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measurement of finance lease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modification of 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modification of finance lease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construction in progress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r>
        <w:rPr>
          <w:rFonts w:ascii="Times New Roman" w:hAnsi="Times New Roman"/>
          <w:b/>
          <w:color w:val="000000"/>
          <w:sz w:val="20"/>
        </w:rPr>
        <w:t>Statements of Cash Flows Continued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reconciliation of cash and restricted cash reported within the balance sheets that sum to the total of the same such amounts shown in the statements of cash flows:</w:t>
      </w:r>
    </w:p>
    <w:p>
      <w:pPr>
        <w:pStyle w:val="TextBody"/>
        <w:bidi w:val="0"/>
        <w:jc w:val="left"/>
        <w:rPr/>
      </w:pPr>
      <w:r>
        <w:rPr/>
        <w:t> </w:t>
      </w:r>
    </w:p>
    <w:tbl>
      <w:tblPr>
        <w:tblW w:w="6210" w:type="dxa"/>
        <w:jc w:val="left"/>
        <w:tblInd w:w="0" w:type="dxa"/>
        <w:tblLayout w:type="fixed"/>
        <w:tblCellMar>
          <w:top w:w="28" w:type="dxa"/>
          <w:left w:w="28" w:type="dxa"/>
          <w:bottom w:w="28" w:type="dxa"/>
          <w:right w:w="28" w:type="dxa"/>
        </w:tblCellMar>
      </w:tblPr>
      <w:tblGrid>
        <w:gridCol w:w="3061"/>
        <w:gridCol w:w="146"/>
        <w:gridCol w:w="299"/>
        <w:gridCol w:w="961"/>
        <w:gridCol w:w="146"/>
        <w:gridCol w:w="146"/>
        <w:gridCol w:w="299"/>
        <w:gridCol w:w="961"/>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22" w:name="notes_to_financial_statements"/>
      <w:bookmarkEnd w:id="22"/>
      <w:r>
        <w:rPr>
          <w:rFonts w:ascii="Times New Roman" w:hAnsi="Times New Roman"/>
          <w:b/>
          <w:color w:val="000000"/>
          <w:sz w:val="20"/>
        </w:rPr>
        <w:t>Notes to Financial Statements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1. ORGANIZATION AND NATURE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IN8bio, Inc. (the "Company" "our" or "we") is a clinical-stage biopharmaceutical company focused on the discovery, development and commercialization of gamma-delta T cell product candidates for solid and liquid tumors. The Company’s lead product candidate, INB-100, is currently in an ongoing investigator-sponsored Phase 1 clinical trial of acute myeloid leukemia ("AML"). In addition, the Company’s DeltEx platform has yielded a broad portfolio of preclinical programs, including INB-300, INB-500 and INB-600, focused on addressing a range of potential applications, from solid tumors to autoimmune diseases and hematological cancers.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Incysus, Inc. ("Incysus") was a corporation formed in the State of Delaware on November 23, 2015 and Incysus, Ltd. was incorporated in Bermuda on February 8, 2016. Incysus was the wholly 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Pipeline Prioritization and Workforce Reduction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2024, the Company announced a plan to optimize its resource allocation through a pipeline prioritization by suspending further development on INB-400 while seeking partnership opportunities and focusing on development of INB-100 and a workforce reduction of approximately 49%, across all functions. The Company incurred one-time costs of $1.1 million, consisting of stock-based compensation expense of $0.8 million resulting from acceleration in full of outstanding unvested stock options at the separation date for the impacted employees, and $0.3 million related to severance payments during the year ended December 31, 2024. In combination with this reduction, the executive management team and the Board agreed to a 11% reduction in their cash compensation, effective as of September 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the Company has funded its operations primarily with proceeds from various public and private offerings of its common, preferred stock and sale of warrants. The Company has incurred recurring losses and negative operating cash flows since its inception, including net losses of $30.4 million and $30.0 million for the years ended December 31, 2024 and 2023, respectively. As of December 31, 2024, the Company had an accumulated deficit of $121.7 million. We continue to deploy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This includes our ability to achieve the anticipated milestones and the timing of data releases and/or regulatory filings for our preclinical and clinical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not yet generated product sales and as a result has experienced operating losses since inception. The Company expects to incur additional losses in the future as it advances its product candidates through clinical trials, seeks to expand its product candidate portfolio through developing additional product candidates, grows its clinical, regulatory and quality capabilities, and incurs costs associated with operating as a public company. The actual amount of cash that the Company will need to operate is subject to many factors. Based on the Company’s revised business strategy, which was announced in September 2024, its existing cash of $11.1 million as of December 31, 2024, along with net proceeds of $3.7 million from the issuance of equity under the at-the-market ("ATM") program raised in February 2025 and $0.4 million from the exercise of a portion of our Series C warrants, is not anticipated to fund the Company’s projected operating expenses and capital expenditure requirements for a period of at least 12 months from the date of issuance of these financial statements, and accordingly, there is substantial doubt about the Company’s ability to continue to operate as a going concern.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continue to fund the operations of the Company beyond this time period, management has developed plans, which primarily consist of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 During the year ended December 31, 2024, the Company sold an aggregate of 25,696,305 shares of our common stock, 5,646,853 2024 Pre-Funded warrants and 31,343,158 Series C warrants, for net proceeds of $11.2 million after deducting placement agent fees and other estimated private placement expenses, along with an aggregate of 3,479,623 shares of its common stock under the ATM program, resulting in net proceeds of $3.8 million after deducting commissions and offering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as of March 10, 2025, the Company may receive up to $5.4 million from the exercise of its outstanding Series A ordinary warrants ("Series A warrants") and up to $8.1 million from the exercise of its outstanding Series C common stock purchase warrants (“Series C warrants”). If not otherwise redeemed by the Company, the Company may also receive aggregate proceeds of up to $17.7 million from the exercise of its outstanding Series B ordinary warrants ("Series B warrants"). See Note 8, Warrants, for additional information. There is no assurance, however, that the Company will receive any additional proceeds from these warrants or that any additional financing or any revenue-generating collaboration will be available when needed, that management of the Company will be able to obtain financing or enter into a collaboration on terms acceptable to the Company, or that any additional financing or revenue generated through third-party collaborations will be sufficient to fund our operations through this time period. If additional capital is not available on a timely basis, or at all, the Company will have to significantly delay, scale back or discontinue its research and development programs. If the Company becomes unable to continue as a going concern, it may have to terminate its operations and dispose of its assets and might realize significantly less than the values at which they are carried on its financial statements. These actions may cause the Company’s stockholders to lose all or part of their investment in the Company’s common stock. The accompanying financial statements have been prepared on the basis that the Company will continue as a going concern and do not include adjustments that might result from the outcome of this uncertainty.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prepared the accompanying financial statements in conformity with generally accepted accounting principles in the United States (“U.S. GAAP”).</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expenses during the reporting periods presented. Such estimates and assumptions are used for, but are not limited to, the accrual of research and development expenses, deferred tax assets and liabilities and the related valuation allowance, stock-based compensation, the useful lives of property and equipment and the valuation of warrants. The Company bases its estimates on historical experience, known trends and other market-specific or other relevant factors that it believes to be reasonable under the circumstances. Actual results could differ from those estimates.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that potentially expose the Company to significant concentrations of credit risk consist primarily of cash and restricted cash. All of the Company’s cash and restricted cash is deposited in accounts with major financial institutions. Such deposits are in excess of the federally insured limits.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stated at cost, less accumulated depreciation and amortization. Depreciation and amortization of property and equipment is calculated using 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2"/>
        <w:gridCol w:w="146"/>
        <w:gridCol w:w="146"/>
        <w:gridCol w:w="7479"/>
        <w:gridCol w:w="192"/>
      </w:tblGrid>
      <w:tr>
        <w:trPr/>
        <w:tc>
          <w:tcPr>
            <w:tcW w:w="2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747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92"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The shorter of the useful life of the leasehold improvement or the remaining term of the lease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balance sheet and any gain or loss is reflected in the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future undiscounted cash flows expected to be generated by the asset. Impairment losses are then measured by comparing the fair value of assets to their carrying amounts. There were no impairments recorded for the years ended December 31, 2024 and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generally expensed as incurred and consist primarily of salaries and benefits, stock-based compensation expense, lab supplies and facility costs, as well as fees paid to nonemployees and entities that conduct certain research and development activities on the Company’s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analyzes the progress of clinical trials, invoices received and contracted costs when evaluating the adequacy of the amount expensed and the related prepaid asset and accrued liability. The Company makes significant judgments and estimates in determining the accrued balance and expense in each accounting period. As actual costs become known, the Company adjusts the accrued estimates. Although the Company does not expect the estimates to be materially different from amounts actually incurred, the status and timing of services performed, the number of patients enrolled and the rate of patient enrollment may vary from the Company’s estimates and could result in the Company reporting amounts that are too high or too low in any particular period. The Company’s research and development costs are dependent, in part, upon the receipt of timely and accurate reporting from clinical research organizations and other third-party service providers.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its lease obligations in accordance with Financial Accounting Standards Board (“FASB”) Accounting Standards Update (“ASU”) No. 2016-02, </w:t>
      </w:r>
      <w:r>
        <w:rPr>
          <w:rFonts w:ascii="Times New Roman" w:hAnsi="Times New Roman"/>
          <w:i/>
          <w:color w:val="000000"/>
          <w:sz w:val="20"/>
        </w:rPr>
        <w:t xml:space="preserve">Leases </w:t>
      </w:r>
      <w:r>
        <w:rPr>
          <w:rFonts w:ascii="Times New Roman" w:hAnsi="Times New Roman"/>
          <w:color w:val="000000"/>
          <w:sz w:val="20"/>
        </w:rPr>
        <w:t>(Topic 842) (“ASU 2016-02” or “ASC 842”). At the inception of an arrangement, the Company determines whether the arrangement is or contains a lease based on the unique facts and circumstances present in the arrangement. Leases with a term greater than one year are recognized on the balance sheet as right-of-use assets and current and non-current lease liabilities, as applicable.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and finance lease liabilities and their corresponding right-of-use assets are initially recorded based on the present value of lease payments over the expected remaining lease term.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and remeasure the lease liability at the net present value using the same incremental borrowing rate that was in effect as of the lease commencement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rent expense related to our operating leases on a straight-line basis over the lease term. The Company will adjust the operating right-of-use assets for straight-line rent expense and remeasure the lease liability at the net present value using the same incremental borrowing rate that was in effect as of the lease commencement date. For finance leases, our right-of-use assets are amortized on a straight-line basis over the earlier of the useful life of the right-of-use asset or the end of the lease term with rent expense recorded to operating expenses. The Company will adjust the lease liability to reflect lease payments made during the period and interest incurred on the lease liability using the effective interest method.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Modification to existing lease agreements, including changes to the lease term or payment amounts, are reviewed to determine whether they result in a sperate contract. For modifications that do not result in a separate contract, management reviews the lease classification and re-measures the related right-of-use assets and lease liabilities at the effective date of the modification.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applies fair value accounting for all financial assets and liabilities and nonfinancial assets and liabilities that are required to be disclosed at fair value in the financial statements. Fair value is the price at which an asset could be exchanged, or a liability transferred (an exit price) in an orderly transaction between knowledgeable, willing parties in the principal or most advantageous market for the asset or liability. Where available, fair value is based on observable market prices or parameters or derived from such prices or parameters. Where observable prices or inputs are not available, valuation models are applied.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financial instruments include cash and restricted cash, and accounts payable. The carrying amounts of cash, restricted cash, and accounts payable approximate fair value due to the short-term nature of these instruments.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These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when necessary to reduce deferred tax assets to an amount that, in the opinion of management, is more likely than not to be realized.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calculation of the income tax expense involves the use of estimates, assumptions and judgments while taking into account current tax laws and our interpretation of current and possible outcomes of future tax audits. In addition, our policy for accounting for uncertainty in income taxes requires the evaluation of tax positions taken or expected to be taken in the course of the preparation of tax returns to determine whether the tax positions are "more-likely-than-not"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 The Company classifies interest and penalty expense related to uncertain tax positions as a component of operating expenses on the statements of operations. As of December 31, 2024, the Company had no accrued interest or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 regulations within each jurisdiction are subject to the interpretation of the related tax laws and regulations and require application of significant judgment. The Company is subject to U.S. federal and various state and local jurisdictions. Due to the Company’s net operating loss carryforwards, the Company may be subject to examination by authorities for all previously filed income tax returns.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issued warrants as either liability or equity in accordance with ASC Topic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(“ASC 480-10”) or ASC Topic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xml:space="preserve"> (“ASC 815-40”). Under ASC 480-10, warrants are accounted for as liability if they are mandatorily redeemable and they require settlement in cash or other assets, or a variable number of shares. If warrants do not meet the criteria to be accounted for as liability under ASC 480-10, the Company considers the requirements of ASC 815-40 to determine whether the warrants should be accounted for as liability or equity. Under ASC 815-40, contracts that may require settlement for cash are accounted for as a liability, regardless of the probability of the occurrence of the triggering event. If warrants do not meet the criteria to be accounted for as a liability under ASC 815-40, in order to conclude warrants should be accounted for as equity, the Company assesses whether the warrants are indexed to its common stock and whether the warrants are accounted for as equity under ASC 815-40 or other applicable U.S. GAAP. Warrants that meet the criteria to be accounted for as equity are recorded at fair value on the issuance date with no changes in fair value recognized after the issuance date. Warrants that meet the criteria to be accounted for as equity will be recorded within additional paid-in capital. After all relevant assessments, the Company concludes whether the warrants are accounted for as liability or equity. See Note 8, Warrants, for information regarding the warrants issued.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measures all stock-based awards granted to employees, nonemployees and directors based on the fair value on the date of the grant and recognizes compensation expense for those awards over the requisite service period, which is generally the vesting period of the respective award. The stock-based compensation expense is accounted for in the statements of operations based on the awards’ grant date fair values. The Company accounts for forfeitures as they occur by reversing any expense recognized for unvested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estimates the fair value of options granted using the Black-Scholes option pricing model. The Black-Scholes option pricing model requires inputs based on certain subjective assumptions, including (a) the expected stock price volatility, (b) the calculation of expected term of the award, (c) the risk-free interest rate and (d) expected dividends. Due to a lack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allowed by the Securities and Exchange Commission ("SEC") Staff Accounting Bulletin (“SAB”) No. 107, </w:t>
      </w:r>
      <w:r>
        <w:rPr>
          <w:rFonts w:ascii="Times New Roman" w:hAnsi="Times New Roman"/>
          <w:i/>
          <w:color w:val="000000"/>
          <w:sz w:val="20"/>
        </w:rPr>
        <w:t>Share-Based Payment</w:t>
      </w:r>
      <w:r>
        <w:rPr>
          <w:rFonts w:ascii="Times New Roman" w:hAnsi="Times New Roman"/>
          <w:color w:val="000000"/>
          <w:sz w:val="20"/>
        </w:rPr>
        <w:t>,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Capitalized Software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capitalizes the application development phase costs of internal use software in accordance with ASC Topic 350-40, </w:t>
      </w:r>
      <w:r>
        <w:rPr>
          <w:rFonts w:ascii="Times New Roman" w:hAnsi="Times New Roman"/>
          <w:i/>
          <w:color w:val="000000"/>
          <w:sz w:val="20"/>
        </w:rPr>
        <w:t xml:space="preserve">Intangibles-Goodwill and Other-Internal Use Software </w:t>
      </w:r>
      <w:r>
        <w:rPr>
          <w:rFonts w:ascii="Times New Roman" w:hAnsi="Times New Roman"/>
          <w:color w:val="000000"/>
          <w:sz w:val="20"/>
        </w:rPr>
        <w:t>("ASC 350-40"). Capitalized costs will be amortized on a straight-line basis over the estimated useful life of the asset upon completion.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sz w:val="20"/>
        </w:rPr>
      </w:pPr>
      <w:r>
        <w:rPr>
          <w:rFonts w:ascii="Times New Roman" w:hAnsi="Times New Roman"/>
          <w:color w:val="000000"/>
          <w:sz w:val="20"/>
        </w:rPr>
        <w:t>Operating segments are defined as components of an enterprise for which separate and discrete information is available for evaluation by the chief operating decision-maker in deciding how to allocate resources and assess performance. The Company has one operating segment, which is the business focused on the discovery, development and commercialization of gamma-delta T cell product candidates for solid and liquid tumors. The Company’s chief operating decision maker ("CODM"), its chief executive officer ("CEO"), manages the Company’s operations on a consolidated basis for the purposes of allocating resources. The allocation of resources and assessment of performance of the operating segment is based on consolidated net income (loss) as shown in our consolidated statements of operations. All of the Company’s long-lived assets are held in the United States. For additional segment information, see Note 15, Segments</w:t>
      </w:r>
      <w:r>
        <w:rPr>
          <w:rFonts w:ascii="Times New Roman" w:hAnsi="Times New Roman"/>
          <w:i/>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Standards Updates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which requires disclosure of incremental segment information on an annual and interim basis. This ASU is effective for fiscal years beginning after December 15, 2023, and interim periods within fiscal years beginning after December 15, 2024 on a retrospective basis. The Company adopted this accounting standard as of January 1, 2024. For additional information, see Note 15, Segments.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expands the disclosures required for income taxes. This ASU is effective for fiscal years beginning after December 15, 2024, with early adoption permitted. The amendment should be applied on a prospective basis while retrospective application is permitted. The Company is currently evaluating the effect of this pronouncement on its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both"/>
        <w:rPr/>
      </w:pPr>
      <w:r>
        <w:rPr/>
        <w:t> </w:t>
      </w:r>
    </w:p>
    <w:tbl>
      <w:tblPr>
        <w:tblW w:w="6270" w:type="dxa"/>
        <w:jc w:val="left"/>
        <w:tblInd w:w="0" w:type="dxa"/>
        <w:tblLayout w:type="fixed"/>
        <w:tblCellMar>
          <w:top w:w="28" w:type="dxa"/>
          <w:left w:w="28" w:type="dxa"/>
          <w:bottom w:w="28" w:type="dxa"/>
          <w:right w:w="28" w:type="dxa"/>
        </w:tblCellMar>
      </w:tblPr>
      <w:tblGrid>
        <w:gridCol w:w="3451"/>
        <w:gridCol w:w="146"/>
        <w:gridCol w:w="294"/>
        <w:gridCol w:w="801"/>
        <w:gridCol w:w="146"/>
        <w:gridCol w:w="146"/>
        <w:gridCol w:w="294"/>
        <w:gridCol w:w="80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p>
      <w:pPr>
        <w:pStyle w:val="TextBody"/>
        <w:bidi w:val="0"/>
        <w:jc w:val="left"/>
        <w:rPr/>
      </w:pPr>
      <w:r>
        <w:rPr/>
        <w:t> </w:t>
      </w:r>
    </w:p>
    <w:tbl>
      <w:tblPr>
        <w:tblW w:w="6910" w:type="dxa"/>
        <w:jc w:val="left"/>
        <w:tblInd w:w="0" w:type="dxa"/>
        <w:tblLayout w:type="fixed"/>
        <w:tblCellMar>
          <w:top w:w="28" w:type="dxa"/>
          <w:left w:w="28" w:type="dxa"/>
          <w:bottom w:w="28" w:type="dxa"/>
          <w:right w:w="28" w:type="dxa"/>
        </w:tblCellMar>
      </w:tblPr>
      <w:tblGrid>
        <w:gridCol w:w="4051"/>
        <w:gridCol w:w="146"/>
        <w:gridCol w:w="274"/>
        <w:gridCol w:w="821"/>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was $1.0 million and $1.0 million for the years ended December 31,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CONSTRUCTION IN PROGRESS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Construction in progress consists of the following (in thousands): </w:t>
      </w:r>
    </w:p>
    <w:p>
      <w:pPr>
        <w:pStyle w:val="TextBody"/>
        <w:bidi w:val="0"/>
        <w:jc w:val="left"/>
        <w:rPr/>
      </w:pPr>
      <w:r>
        <w:rPr/>
        <w:t> </w:t>
      </w:r>
    </w:p>
    <w:tbl>
      <w:tblPr>
        <w:tblW w:w="6045" w:type="dxa"/>
        <w:jc w:val="left"/>
        <w:tblInd w:w="0" w:type="dxa"/>
        <w:tblLayout w:type="fixed"/>
        <w:tblCellMar>
          <w:top w:w="28" w:type="dxa"/>
          <w:left w:w="28" w:type="dxa"/>
          <w:bottom w:w="28" w:type="dxa"/>
          <w:right w:w="28" w:type="dxa"/>
        </w:tblCellMar>
      </w:tblPr>
      <w:tblGrid>
        <w:gridCol w:w="3226"/>
        <w:gridCol w:w="146"/>
        <w:gridCol w:w="413"/>
        <w:gridCol w:w="682"/>
        <w:gridCol w:w="146"/>
        <w:gridCol w:w="146"/>
        <w:gridCol w:w="364"/>
        <w:gridCol w:w="73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use software not yet in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left"/>
        <w:rPr/>
      </w:pPr>
      <w:r>
        <w:rPr/>
        <w:t> </w:t>
      </w:r>
    </w:p>
    <w:tbl>
      <w:tblPr>
        <w:tblW w:w="6645" w:type="dxa"/>
        <w:jc w:val="left"/>
        <w:tblInd w:w="0" w:type="dxa"/>
        <w:tblLayout w:type="fixed"/>
        <w:tblCellMar>
          <w:top w:w="28" w:type="dxa"/>
          <w:left w:w="28" w:type="dxa"/>
          <w:bottom w:w="28" w:type="dxa"/>
          <w:right w:w="28" w:type="dxa"/>
        </w:tblCellMar>
      </w:tblPr>
      <w:tblGrid>
        <w:gridCol w:w="3826"/>
        <w:gridCol w:w="146"/>
        <w:gridCol w:w="294"/>
        <w:gridCol w:w="801"/>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aps/>
          <w:color w:val="000000"/>
          <w:sz w:val="20"/>
        </w:rPr>
      </w:pPr>
      <w:r>
        <w:rPr>
          <w:rFonts w:ascii="Times New Roman" w:hAnsi="Times New Roman"/>
          <w:b/>
          <w:caps/>
          <w:color w:val="000000"/>
          <w:sz w:val="20"/>
        </w:rPr>
        <w:t>7. stockholders' equity</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authorized capital stock consists of 500,000,000 shares, all with a par value of $0.0001 per share, of which 490,000,000 shares are designated as common stock and 10,000,000 shares are designated as preferred stock.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Facility</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2022, the Company filed a shelf registration statement on Form S-3 (File No. 333-268288) (the “Shelf Registration Statement”) with the SEC, which permits the offering, issuance and sale by the Company of up to a maximum aggregate offering price of $200.0 million of its common stock and preferred stock, various series of debt securities and/or warrants to purchase any of such securities, of which $50.0 million of common stock may be issued and sold pursuant to an at-the-market offering program (“ATM”). The Company entered into a Controlled Equity Offering</w:t>
      </w:r>
      <w:r>
        <w:rPr>
          <w:rFonts w:ascii="Times New Roman" w:hAnsi="Times New Roman"/>
          <w:color w:val="000000"/>
          <w:sz w:val="13"/>
        </w:rPr>
        <w:t xml:space="preserve">SM </w:t>
      </w:r>
      <w:r>
        <w:rPr>
          <w:rFonts w:ascii="Times New Roman" w:hAnsi="Times New Roman"/>
          <w:color w:val="000000"/>
          <w:sz w:val="20"/>
        </w:rPr>
        <w:t xml:space="preserve">sales agreement, (the "Sales Agreement") with Cantor Fitzgerald &amp; Co. (“Cantor Fitzgerald”) and Truist Securities, Inc. (“Truist”) under which Cantor Fitzgerald and Truist agreed to act as sales agents to sell shares of the Company’s common stock, from time to time, through the ATM program. On March 8, 2024, the Company delivered a termination notice to Truist, removing them as a sales agent under the ATM program. Such termination became effective on March 14,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December 31, 2024, the Company's calculated public float was less than $75.0 million. During the years ended December 31, 2024 and 2023, the Company sold an aggregate of 3,479,623 and 7,492,580 shares, respectively, of its common stock under the ATM, resulting in net proceeds of $3.8 million and $14.4 million, respectively, after deducting underwriting discounts. As of December 31, 2024, $14.7 million remained available for the sale of our common stock under the ATM program.</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2023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11, 2023, the Company entered into a Securities Purchase Agreement (the "2023 Purchase Agreement"), with multiple investors (the “2023 Private Placement”), pursuant to which the Company issued and sold an aggregate of 11,823,829 units (the “Units”) comprised of (A) (1) one share of common stock, par value $0.0001 per share (the "2023 Shares"), or (2) one pre-funded warrant to purchase one share of common stock (the “2023 Pre-Funded warrants”) and, in each case, (B) one Series A ordinary warrant to purchase one share of common stock (the “Series A warrants”) and (C) one Series B ordinary warrant to purchase one share of common stock (the “Series B warrants”). In connection with the 2023 Private Placement, the Company issued an aggregate of 11,249,588 shares of common stock (the "2023 Shares"), 574,241 2023 Pre-Funded warrants, 11,823,829 Series A warrants and 11,823,829 Series B warrants. The Units were sold at a purchase price of $1.22 per Unit, for net proceeds of $13.5 million, after deducting fees and expenses. The closing of the 2023 Private Placement occurred on December 13,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2023 Private Placement, we also entered into a registration rights agreement with the investors who participated in the 2024 Private Placement, pursuant to which the Company agreed to register for resale the 2023 Shares and the common stock underlying the 2023 Pre-Funded Warrants, the Series A and Series B warrants (the “2023 Registrable Securities”). Pursuant to the registration rights agreement, the Company filed a registration statement covering the resale of the 2023 Registrable Securities on January 12, 2024.</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2024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30, 2024, the Company entered into a Securities Purchase Agreement (the "2024 Purchase Agreement"), with multiple investors (the "2024 Private Placement"), pursuant to which the Company issued and sold an aggregate of 25,696,305 shares of common stock (the “2024 Shares”), 5,646,853 pre-funded warrants to purchase one share of Common Stock (the “2024 Pre-Funded warrants”) and 31,343,158 Series C warrants, for net proceeds of $11.2 million, after deducting fees and expenses. The closing of the 2024 Private Placement occurred on October 4, 2024. </w:t>
      </w:r>
    </w:p>
    <w:p>
      <w:pPr>
        <w:pStyle w:val="TextBody"/>
        <w:bidi w:val="0"/>
        <w:spacing w:before="120" w:after="283"/>
        <w:jc w:val="both"/>
        <w:rPr>
          <w:rFonts w:ascii="Times New Roman" w:hAnsi="Times New Roman"/>
          <w:color w:val="212529"/>
          <w:sz w:val="20"/>
        </w:rPr>
      </w:pPr>
      <w:r>
        <w:rPr>
          <w:rFonts w:ascii="Times New Roman" w:hAnsi="Times New Roman"/>
          <w:color w:val="212529"/>
          <w:sz w:val="20"/>
        </w:rPr>
        <w:t xml:space="preserve">In connection with the 2024 Private Placement, we also entered into a registration rights agreement, with the investors who participated in the 2024 Private Placement, pursuant to which the Company agreed to register for resale the 2024 Shares and the common stock underlying the 2024 Pre-Funded Warrants and Series C warrants (the “2024 Registrable Securities”). </w:t>
        <w:br/>
        <w:t>Pursuant to the registration rights agreement, the Company filed a registration statement covering the resale of the 2024 Registrable Securities on November 4, 2024.</w:t>
      </w:r>
    </w:p>
    <w:p>
      <w:pPr>
        <w:pStyle w:val="TextBody"/>
        <w:bidi w:val="0"/>
        <w:spacing w:before="360" w:after="283"/>
        <w:jc w:val="both"/>
        <w:rPr>
          <w:rFonts w:ascii="Times New Roman" w:hAnsi="Times New Roman"/>
          <w:b/>
          <w:caps/>
          <w:color w:val="000000"/>
          <w:sz w:val="20"/>
        </w:rPr>
      </w:pPr>
      <w:r>
        <w:rPr>
          <w:rFonts w:ascii="Times New Roman" w:hAnsi="Times New Roman"/>
          <w:b/>
          <w:caps/>
          <w:color w:val="000000"/>
          <w:sz w:val="20"/>
        </w:rPr>
        <w:t>8. warrants</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December 2023, in connection with the 2023 Private Placement, the Company issued 574,241 2023 Pre-Funded warrants, 11,823,829 Series A warrants and 11,823,829 Series B warrants. The 2023 Pre-Funded warrants have an exercise price of $0.0001 per share, are exercisable immediately and are exercisable until the 2023 Pre-Funded warrant is exercised in full. In lieu of making the cash payment otherwise contemplated to be made to the Company upon exercise of a 2023 Pre-Funded warrant in payment of the aggregate exercise price, the holder may elect instead to receive upon such exercise (either in whole or in part) the net number of shares of common stock determined according to a formula set forth in the 2023 Pre-Funded warrants terms. The 2023 Pre-Funded warrants meet the criteria for permanent equity classification. As of December 31, 2024, 574,241 2023 Pre-Funded warrants were outstanding.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Series A warrants were issued with an exercise price of $1.25 per share. The Series A warrants are exercisable immediately and were issued with an expiry date of June 13, 2025. The Company has the option to cause the Series A warrants to be exercised at a strike price of $1.25 per share upon the Company’s public announcement of INB-100 clinical data for the 10 currently enrolled patients, should they remain alive and evaluable, covering a period of at least 11 months, along with certain stock price and trading volume requirements. The Series A warrants meet the criteria for permanent equity classification.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closing of the 2024 Private Placement, the Company amended certain of the Company’s outstanding Series A warrants, representing approximately 11,714,076 shares of the Company’s Common Stock, to (i) reduce the exercise price from $1.25 to $0.45 per share and (ii) extend the termination date of such Series A warrants to October 4, 2025. As of December 31, 2024, 11,803,829 Series A warrants were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B warrants have an exercise price of $1.50 per share. The Series B warrants are exercisable immediately and will expire on December 13, 2028. The Series B warrants allow the Company to redeem such warrants at a price of $0.01 per Series B Warrant upon the Company’s public announcement of its INB-100 data for all enrolled patients covering a period of at least 22 months, along with certain stock price and trading volume requirements. Holders of Class B Warrants may choose to exercise such warrants at a purchase price of $1.50 per share prior to such redemption. The Series B warrants meet the criteria for permanent equity classification. As of December 31, 2024, 11,823,829 Series B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in connection with the 2024 Private Placement, the Company issued 5,646,853 2024 Pre-Funded warrants, and 31,343,158 Series C warrants. The 2024 Pre-Funded warrants have an exercise price of $0.0001 per share, are exercisable immediately and are exercisable until the 2024 Pre-Funded warrant is exercised in full. In lieu of making the cash payment otherwise contemplated to be made to the Company upon exercise of a 2024 Pre-Funded warrant in payment of the aggregate exercise price, the holder may elect instead to receive upon such exercise (either in whole or in part) the net number of shares of common stock determined according to a formula set forth in the 2024 Pre-Funded warrants terms. The 2024 Pre-Funded warrants meet the criteria for permanent equity classification. As of December 31, 2024, 5,646,853 2024 Pre-Funded warrants were outstanding.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Series C warrants have an exercise price of $0.27 per share. The </w:t>
      </w:r>
      <w:r>
        <w:rPr>
          <w:rFonts w:ascii="Times New Roman" w:hAnsi="Times New Roman"/>
          <w:color w:val="212529"/>
          <w:sz w:val="20"/>
        </w:rPr>
        <w:t xml:space="preserve">Series C warrants are exercisable immediately and will expire on October 4, 2027. </w:t>
      </w:r>
      <w:r>
        <w:rPr>
          <w:rFonts w:ascii="Times New Roman" w:hAnsi="Times New Roman"/>
          <w:color w:val="000000"/>
          <w:sz w:val="20"/>
        </w:rPr>
        <w:t>The Series C warrants meet the criteria for permanent equity classification. As of December 31, 2024, 31,343,158 Series C warrants were outstanding.</w:t>
      </w:r>
    </w:p>
    <w:p>
      <w:pPr>
        <w:pStyle w:val="TextBody"/>
        <w:bidi w:val="0"/>
        <w:spacing w:before="360" w:after="283"/>
        <w:jc w:val="left"/>
        <w:rPr>
          <w:rFonts w:ascii="Times New Roman" w:hAnsi="Times New Roman"/>
          <w:sz w:val="20"/>
        </w:rPr>
      </w:pPr>
      <w:r>
        <w:rPr>
          <w:rFonts w:ascii="Times New Roman" w:hAnsi="Times New Roman"/>
          <w:b/>
          <w:caps/>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Equity Incentive Plan (the "2020 Plan") was approved by the Company's Board of Directors and the Company’s stockholders and became effective on July 29, 2021. Upon the effectiveness of the 2023 Plan (as defined below), the 2020 Plan was terminated and no further issuances were made under the 2020 Plan, although it continues to govern the terms of any equity grants that remain outstanding under the 2020 Plan.</w:t>
      </w:r>
    </w:p>
    <w:p>
      <w:pPr>
        <w:pStyle w:val="TextBody"/>
        <w:bidi w:val="0"/>
        <w:spacing w:before="240" w:after="283"/>
        <w:jc w:val="left"/>
        <w:rPr>
          <w:rFonts w:ascii="Times New Roman" w:hAnsi="Times New Roman"/>
          <w:sz w:val="20"/>
        </w:rPr>
      </w:pPr>
      <w:r>
        <w:rPr>
          <w:rFonts w:ascii="Times New Roman" w:hAnsi="Times New Roman"/>
          <w:b/>
          <w:i/>
          <w:color w:val="000000"/>
          <w:sz w:val="20"/>
        </w:rPr>
        <w:t>Amended and Restated 2023 Equity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and Restated 2023 Equity Incentive Plan (the "2023 Plan") was approved by the Company's Board of Directors and the Company’s stockholders and became effective on June 15, 2023. The Board of Directors, or a committee thereof, is authorized to administer the 2023 Plan. The 2023 Plan provides for the grant of Incentive Stock Options ("ISO") within the meaning of Section 422 of the Internal Revenue Code ("IRC")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 under the 2023 Plan was 7,400,000, which automatically increases on January 1 of each year for a period of 10 years, beginning on January 1, 2024 and continuing through January 1, 2033, in an amount equal to 5% of the total number of shares of common stock outstanding on the last day of the immediately preceding year, or a lesser number of shares determined by the Board of Directors no later than the last day of the immediately preceding year. The maximum number of shares of common stock that may be issued upon the exercise of ISOs under the 2023 Plan is 41,000,000 shares. As of December 31, 2024, 4,368,965 shares were available for grant pursuant to the 2023 Plan. Pursuant to the terms of the 2023 Plan, the number of shares available under the 2023 Plan was increased by 3,624,163 shares effective January 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Employee Stock Purchase Plan (the “2020 ESPP”) was approved by the Board of Directors and the Company’s stockholders and became effective on July 29, 2021. A total of 200,000 shares of common stock were initially reserved for issuance under this plan, which automatically increases on January 1 of each year by the lesser of (i) 1% of the outstanding number of shares of common stock on the immediately preceding December 31; and (ii) 400,000, or such lesser number of shares as determined by our Board of Directors. The Board of Directors acted not to increase the number of shares of common stock reserved for future issuance under the ESPP as of January 1, 2025. As of December 31, 2024, no shares of common stock had been issued under the 2020 ESPP and 787,812 shares remained available for future issuance under the 2020 ESPP. The Board of Directors or designated committee has not set an offering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summary of the stock option award activity during the year ended December 31, 2024: </w:t>
      </w:r>
    </w:p>
    <w:p>
      <w:pPr>
        <w:pStyle w:val="TextBody"/>
        <w:bidi w:val="0"/>
        <w:jc w:val="left"/>
        <w:rPr/>
      </w:pPr>
      <w:r>
        <w:rPr/>
        <w:t> </w:t>
      </w:r>
    </w:p>
    <w:tbl>
      <w:tblPr>
        <w:tblW w:w="9758" w:type="dxa"/>
        <w:jc w:val="left"/>
        <w:tblInd w:w="0" w:type="dxa"/>
        <w:tblLayout w:type="fixed"/>
        <w:tblCellMar>
          <w:top w:w="28" w:type="dxa"/>
          <w:left w:w="28" w:type="dxa"/>
          <w:bottom w:w="28" w:type="dxa"/>
          <w:right w:w="28" w:type="dxa"/>
        </w:tblCellMar>
      </w:tblPr>
      <w:tblGrid>
        <w:gridCol w:w="4171"/>
        <w:gridCol w:w="146"/>
        <w:gridCol w:w="146"/>
        <w:gridCol w:w="1036"/>
        <w:gridCol w:w="166"/>
        <w:gridCol w:w="146"/>
        <w:gridCol w:w="266"/>
        <w:gridCol w:w="590"/>
        <w:gridCol w:w="146"/>
        <w:gridCol w:w="146"/>
        <w:gridCol w:w="236"/>
        <w:gridCol w:w="755"/>
        <w:gridCol w:w="146"/>
        <w:gridCol w:w="146"/>
        <w:gridCol w:w="374"/>
        <w:gridCol w:w="751"/>
        <w:gridCol w:w="3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12,095,405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expected to vest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weighted-average grant date fair value of options granted during the years ended December 31, 2024 and 2023 was $0.66 and $1.57, respectively. The aggregate intrinsic value is calculated as the difference between the exercise price and the market price of the Company’s common stock at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years ended December 31, 2024 and 2023, the Company utilized the Black-Scholes option-pricing model for estimating the fair value of the stock options. The following table presents the assumptions and the Company’s methodology for developing each of the assumptions used: </w:t>
      </w:r>
    </w:p>
    <w:p>
      <w:pPr>
        <w:pStyle w:val="TextBody"/>
        <w:bidi w:val="0"/>
        <w:jc w:val="left"/>
        <w:rPr/>
      </w:pPr>
      <w:r>
        <w:rPr/>
        <w:t> </w:t>
      </w:r>
    </w:p>
    <w:tbl>
      <w:tblPr>
        <w:tblW w:w="5425" w:type="dxa"/>
        <w:jc w:val="left"/>
        <w:tblInd w:w="0" w:type="dxa"/>
        <w:tblLayout w:type="fixed"/>
        <w:tblCellMar>
          <w:top w:w="28" w:type="dxa"/>
          <w:left w:w="28" w:type="dxa"/>
          <w:bottom w:w="28" w:type="dxa"/>
          <w:right w:w="28" w:type="dxa"/>
        </w:tblCellMar>
      </w:tblPr>
      <w:tblGrid>
        <w:gridCol w:w="1846"/>
        <w:gridCol w:w="146"/>
        <w:gridCol w:w="1621"/>
        <w:gridCol w:w="146"/>
        <w:gridCol w:w="16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90.31% - 104.93%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91.91% - 100.95%</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3.61% - 4.65%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3.58% - 4.17%</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Volatility—The Company estimates the expected volatility of its common stock at the date of grant based on the historical volatility of comparable public companies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life—The expected term represents the period that the Company’s stock option grants are expected to be outstanding. The expected term of the options granted to employees and non-employee directors by the Company has been determined utilizing the "simplified" method for awards that qualify as "plain-vanilla" options. Under this approach, the weighted-average expected life is presumed to be the average of the vesting term and the contractual term of the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Dividend rate—The assumed dividend yield is based upon the Company’s expectation of not paying dividends in the foreseeable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expense was recorded in the following line items in the statements of operations for the years ended December 31, 2024 and 2023 (in thousands): </w:t>
      </w:r>
    </w:p>
    <w:p>
      <w:pPr>
        <w:pStyle w:val="TextBody"/>
        <w:bidi w:val="0"/>
        <w:jc w:val="left"/>
        <w:rPr/>
      </w:pPr>
      <w:r>
        <w:rPr/>
        <w:t> </w:t>
      </w:r>
    </w:p>
    <w:tbl>
      <w:tblPr>
        <w:tblW w:w="5644"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related tax benefits from stock-based compensation expense were recognized for the years ended December 31, 2024 and 2023. As of December 31, 2024, there was $4.3 million in unrecognized stock-based compensation expense, which is expected to be recognized over a weighted-average period of 1.52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Emory University, Children’s Healthcare of Atlanta, Inc. and UAB Research Foundation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license granted under the Emory License Agreement, the Company paid Emory University a nominal upfront payment. In addition, the Compeany is required to pay Emory University development milestones totaling up to an aggregate of $1.4 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Emory License Agreement will continue until 15 years after the first commercial sale of the licensed product, or the expiration of the relevant licensed patents, whichever is later. 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Exclusive License Agreement with UABRF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license granted under the UABRF License Agreement, the Company paid UABRF a nominal upfront payment and issued 91,250 shares of common stock to UABRF, which were subject to certain antidilution rights.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Company is required to pay UABRF development milestones totaling up to an aggregate of $1.4 million, lump-sum royalties on cumulative net sales totaling up to an aggregate of $22.5 million, mid-single-digit running royalties on net sales of the licensed products, low-single-digit running royalties on net sales of the licensed products, and a share of certain non-royalty income that the Company may receive, including from any sublicenses. The UABRF License Agreement also requires the Company to reimburse UABRF for the cost of the prosecution and maintenance of the licensed patents.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UABRF License Agreement, the Company is required to use good faith reasonable commercial efforts to develop, manufacture and commercialize the licensed product.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the development and commercialization plan, if the Company underreports its payment obligations or underpays by more than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specified threshold, if the Company challenges the validity or enforceability of any licensed patents, or if the Company becomes bankrupt or insolvent.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years ended December 31, 2024 and 2023, the tax provision (benefit) consisted of (in thousands):</w:t>
      </w:r>
    </w:p>
    <w:p>
      <w:pPr>
        <w:pStyle w:val="TextBody"/>
        <w:bidi w:val="0"/>
        <w:jc w:val="left"/>
        <w:rPr/>
      </w:pPr>
      <w:r>
        <w:rPr/>
        <w:t> </w:t>
      </w:r>
    </w:p>
    <w:tbl>
      <w:tblPr>
        <w:tblW w:w="5820" w:type="dxa"/>
        <w:jc w:val="left"/>
        <w:tblInd w:w="0" w:type="dxa"/>
        <w:tblLayout w:type="fixed"/>
        <w:tblCellMar>
          <w:top w:w="28" w:type="dxa"/>
          <w:left w:w="28" w:type="dxa"/>
          <w:bottom w:w="28" w:type="dxa"/>
          <w:right w:w="28" w:type="dxa"/>
        </w:tblCellMar>
      </w:tblPr>
      <w:tblGrid>
        <w:gridCol w:w="2781"/>
        <w:gridCol w:w="146"/>
        <w:gridCol w:w="274"/>
        <w:gridCol w:w="821"/>
        <w:gridCol w:w="166"/>
        <w:gridCol w:w="146"/>
        <w:gridCol w:w="274"/>
        <w:gridCol w:w="821"/>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items accounting for the difference between income taxes computed at the federal statutory rate and the Company’s effective tax rate for the years ended December 31, 2024 and 2023 were as follows: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781"/>
        <w:gridCol w:w="146"/>
        <w:gridCol w:w="237"/>
        <w:gridCol w:w="858"/>
        <w:gridCol w:w="331"/>
        <w:gridCol w:w="146"/>
        <w:gridCol w:w="237"/>
        <w:gridCol w:w="858"/>
        <w:gridCol w:w="576"/>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permanent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True up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amounts of assets and liabilities for financial statement purposes and the amounts used for income tax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Components of the Company’s net deferred tax assets (liabilities) balance are as follows at December 31, 2024 and 2023 (in thousands):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5901"/>
        <w:gridCol w:w="146"/>
        <w:gridCol w:w="244"/>
        <w:gridCol w:w="851"/>
        <w:gridCol w:w="166"/>
        <w:gridCol w:w="146"/>
        <w:gridCol w:w="244"/>
        <w:gridCol w:w="851"/>
        <w:gridCol w:w="411"/>
      </w:tblGrid>
      <w:tr>
        <w:trPr/>
        <w:tc>
          <w:tcPr>
            <w:tcW w:w="5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 and alternative minimum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Reserves and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Intangibles and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2024, the Company had federal net operating loss carryforwards of $69.8 million, which do not expire. As of December 31, 2024, the Company had state net operating loss carryforwards of $33.3 million which will begin to expire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2035.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both positive and negative evidence and determined that negative evidence outweighed the positive evidence and that a full valuation allowance on its net deferred tax assets will be maintained. The net change in the valuation allowance for the year ended December 31, 2024 was an increase of $5.5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IRC Section 382 imposes limitations on the use of net operating loss carryovers when the stock ownership of one or more 5% shareholders (shareholders owning 5% or more of the Company’s outstanding capital stock) has increased on a cumulative basis by more than 50 percentage points. Accordingly, there is a risk of an ownership change that could trigger a limitation of the use of the loss carryover. The Company has undertaken a formal IRC Section 382 study up until December 31 2024. Management concluded that the Company has undergone a more than 50% ownership change defined under IRS Section 382(a) on December 13, 2023; all the attributes disclosed in this footnotes reflect the conclusion of that study. However, subsequent ownership changes may further limit the Company's ability in the future to utilize its NOLs and other tax carryforwards.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Cuts and Jobs Act contained a provision which requires the capitalization of Section 174 costs incurred in years beginning on or after January 1, 2022. This provision changes the treatment of Section 174 costs such that the expenditures are no longer allowed as an immediate deduction but rather must be capitalized and amortized. We have included the impact of this provision, which results in an increase in deferred tax asset of approximately $3.3 million (or $3 million net of amortization) for December 31, 2024 and an increase in deferred tax asset of approximately $2.7 million (or $2.4 million net of amortization) for December 31, 2023.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the Company’s income tax returns are subject to examination by various taxing authorities. Such examinations may result in future tax and interest assessment by these taxing authorities. Accordingly, the Company believes that it is more likely than not that it will realize the benefits of tax positions it has taken in its tax returns or for the amount of any tax benefit that exceeds the cumulative probability threshold in accordance with FASB ASC 740. Differences between the estimated and actual amounts determined upon ultimate resolution, individually or in the aggregate, are not expected to have a material adverse effect on the Company’s financial position. The Company believes its tax positions are highly certain of being upheld upon examination. The Company is subject to the U.S. federal and state income taxes with varying statutes of limitations. Tax years from 2018 forward remaining open to examination due to the carryover of net operating losses or tax credits.</w:t>
      </w:r>
    </w:p>
    <w:p>
      <w:pPr>
        <w:pStyle w:val="TextBody"/>
        <w:bidi w:val="0"/>
        <w:spacing w:before="360" w:after="283"/>
        <w:jc w:val="left"/>
        <w:rPr>
          <w:rFonts w:ascii="Times New Roman" w:hAnsi="Times New Roman"/>
          <w:sz w:val="20"/>
        </w:rPr>
      </w:pPr>
      <w:r>
        <w:rPr>
          <w:rFonts w:ascii="Times New Roman" w:hAnsi="Times New Roman"/>
          <w:b/>
          <w:color w:val="000000"/>
          <w:sz w:val="20"/>
        </w:rPr>
        <w:t>12.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share is calculated as follows (in thousands except share and per share amounts): </w:t>
      </w:r>
    </w:p>
    <w:p>
      <w:pPr>
        <w:pStyle w:val="TextBody"/>
        <w:bidi w:val="0"/>
        <w:jc w:val="left"/>
        <w:rPr/>
      </w:pPr>
      <w:r>
        <w:rPr/>
        <w:t> </w:t>
      </w:r>
    </w:p>
    <w:tbl>
      <w:tblPr>
        <w:tblW w:w="8399" w:type="dxa"/>
        <w:jc w:val="left"/>
        <w:tblInd w:w="0" w:type="dxa"/>
        <w:tblLayout w:type="fixed"/>
        <w:tblCellMar>
          <w:top w:w="28" w:type="dxa"/>
          <w:left w:w="28" w:type="dxa"/>
          <w:bottom w:w="28" w:type="dxa"/>
          <w:right w:w="28" w:type="dxa"/>
        </w:tblCellMar>
      </w:tblPr>
      <w:tblGrid>
        <w:gridCol w:w="5236"/>
        <w:gridCol w:w="146"/>
        <w:gridCol w:w="211"/>
        <w:gridCol w:w="1036"/>
        <w:gridCol w:w="166"/>
        <w:gridCol w:w="146"/>
        <w:gridCol w:w="211"/>
        <w:gridCol w:w="1036"/>
        <w:gridCol w:w="2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w:t>
              <w:br/>
              <w:t>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53,547,030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29,864,932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outstanding potentially dilutive securities have been excluded from the calculation of diluted net loss per share, as their effect is antidilutive: </w:t>
      </w:r>
    </w:p>
    <w:p>
      <w:pPr>
        <w:pStyle w:val="TextBody"/>
        <w:bidi w:val="0"/>
        <w:jc w:val="left"/>
        <w:rPr/>
      </w:pPr>
      <w:r>
        <w:rPr/>
        <w:t> </w:t>
      </w:r>
    </w:p>
    <w:tbl>
      <w:tblPr>
        <w:tblW w:w="6444" w:type="dxa"/>
        <w:jc w:val="left"/>
        <w:tblInd w:w="0" w:type="dxa"/>
        <w:tblLayout w:type="fixed"/>
        <w:tblCellMar>
          <w:top w:w="28" w:type="dxa"/>
          <w:left w:w="28" w:type="dxa"/>
          <w:bottom w:w="28" w:type="dxa"/>
          <w:right w:w="28" w:type="dxa"/>
        </w:tblCellMar>
      </w:tblPr>
      <w:tblGrid>
        <w:gridCol w:w="3451"/>
        <w:gridCol w:w="146"/>
        <w:gridCol w:w="146"/>
        <w:gridCol w:w="1036"/>
        <w:gridCol w:w="146"/>
        <w:gridCol w:w="146"/>
        <w:gridCol w:w="146"/>
        <w:gridCol w:w="103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8,958,699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11,809,239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2,441,878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11,823,829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2,441,878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40,213,464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10,683,926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13.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 years from first commercial sale or expiration of the last-to-expire component of the licensed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currently party to any material legal proceedings. At each reporting date, the Company evaluates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pStyle w:val="TextBody"/>
        <w:bidi w:val="0"/>
        <w:spacing w:before="240" w:after="283"/>
        <w:jc w:val="left"/>
        <w:rPr>
          <w:rFonts w:ascii="Times New Roman" w:hAnsi="Times New Roman"/>
          <w:sz w:val="20"/>
        </w:rPr>
      </w:pPr>
      <w:r>
        <w:rPr>
          <w:rFonts w:ascii="Times New Roman" w:hAnsi="Times New Roman"/>
          <w:b/>
          <w:caps/>
          <w:color w:val="000000"/>
          <w:sz w:val="20"/>
        </w:rPr>
        <w:t>14. equipment and FACILITY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historically entered into lease arrangements for its facilities. As of December 31, 2024, the Company had four operating leases with required future minimum payments. The Company determined the classification of these leases to be operating leases and recorded right-of-use assets and lease liabilities as of the effective date. The Company’s leases generally do not include termination or purchase options.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entered into an agreement with an equipment leasing company in 2018, which provided up to $2.5 million for equipment purchases in the form of sale and leasebacks or direct leases. As of December 31, 2024, the Company has 11 active leases from the leasing company. The terms of the leases are three years and afterwards provide for either annual extensions or an outright purchase of the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entered into an agreement with another equipment leasing company in the second quarter of 2023. As of December 31, 2024, the Company has one active lease from this leasing company. In June 2024, the Company entered into two new finance lease agreements with another leasing company. The terms of these lease are three years and afterwards provide for either annual extensions or an outright purchase of the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equipment leases require three advance rental payments to be held as security deposits. The security deposits held amounted to $0.3 million as of December 31, 2024 and 2023 and are included in other non-current assets on the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operating lease for office space in Birmingham, Alabama, which was modified and expanded in March 2024 for a 60-month term ending in March 2029, with an option to extend five years, resulting in an increase to both the right of use assets and operating lease liabilities. Throughout the term of the lease, the Company is responsible for paying certain costs and expenses, in addition to the rent, as specified in the lease, including a proportionate share of applicable taxes, operating expenses and utilities.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operating lease for office space in New York, New York, with a term that commenced on September 15, 2021, and continues through March 2027. Throughout the term of the lease, the Company is responsible for paying certain costs and expenses, in addition to the rent, as specified in the lease, including a proportionate share of applicable taxes, operating expenses and utilities.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operating leases require security deposits at the inception of each lease. The security deposits amounted to $0.3 million as of December 31, 2024 and 2023. As of December 31, 2024, $266,000 was included in restricted cash and $0 was included in other current assets. As of December 31, 2023, approximately $256,000 was included in restricted cash and $10,000 was included in other current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contains a summary of the lease costs recognized and other information pertaining to the Company’s finance and operating leases for the years ended December 31, 2024 and 2023 (in thousands):</w:t>
      </w:r>
    </w:p>
    <w:p>
      <w:pPr>
        <w:pStyle w:val="TextBody"/>
        <w:bidi w:val="0"/>
        <w:jc w:val="left"/>
        <w:rPr/>
      </w:pPr>
      <w:r>
        <w:rPr/>
        <w:t> </w:t>
      </w:r>
    </w:p>
    <w:tbl>
      <w:tblPr>
        <w:tblW w:w="6675" w:type="dxa"/>
        <w:jc w:val="left"/>
        <w:tblInd w:w="0" w:type="dxa"/>
        <w:tblLayout w:type="fixed"/>
        <w:tblCellMar>
          <w:top w:w="28" w:type="dxa"/>
          <w:left w:w="28" w:type="dxa"/>
          <w:bottom w:w="28" w:type="dxa"/>
          <w:right w:w="28" w:type="dxa"/>
        </w:tblCellMar>
      </w:tblPr>
      <w:tblGrid>
        <w:gridCol w:w="3656"/>
        <w:gridCol w:w="146"/>
        <w:gridCol w:w="294"/>
        <w:gridCol w:w="801"/>
        <w:gridCol w:w="146"/>
        <w:gridCol w:w="146"/>
        <w:gridCol w:w="294"/>
        <w:gridCol w:w="801"/>
        <w:gridCol w:w="3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finance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43" w:type="dxa"/>
        <w:jc w:val="left"/>
        <w:tblInd w:w="0" w:type="dxa"/>
        <w:tblLayout w:type="fixed"/>
        <w:tblCellMar>
          <w:top w:w="28" w:type="dxa"/>
          <w:left w:w="28" w:type="dxa"/>
          <w:bottom w:w="28" w:type="dxa"/>
          <w:right w:w="28" w:type="dxa"/>
        </w:tblCellMar>
      </w:tblPr>
      <w:tblGrid>
        <w:gridCol w:w="7186"/>
        <w:gridCol w:w="146"/>
        <w:gridCol w:w="294"/>
        <w:gridCol w:w="801"/>
        <w:gridCol w:w="316"/>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Lease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the undiscounted cash flows to the operating and financing lease liabilities at December 31, 2024 (in thousands):</w:t>
      </w:r>
    </w:p>
    <w:p>
      <w:pPr>
        <w:pStyle w:val="TextBody"/>
        <w:bidi w:val="0"/>
        <w:jc w:val="left"/>
        <w:rPr/>
      </w:pPr>
      <w:r>
        <w:rPr/>
        <w:t> </w:t>
      </w:r>
    </w:p>
    <w:tbl>
      <w:tblPr>
        <w:tblW w:w="5995" w:type="dxa"/>
        <w:jc w:val="left"/>
        <w:tblInd w:w="0" w:type="dxa"/>
        <w:tblLayout w:type="fixed"/>
        <w:tblCellMar>
          <w:top w:w="28" w:type="dxa"/>
          <w:left w:w="28" w:type="dxa"/>
          <w:bottom w:w="28" w:type="dxa"/>
          <w:right w:w="28" w:type="dxa"/>
        </w:tblCellMar>
      </w:tblPr>
      <w:tblGrid>
        <w:gridCol w:w="2566"/>
        <w:gridCol w:w="146"/>
        <w:gridCol w:w="359"/>
        <w:gridCol w:w="976"/>
        <w:gridCol w:w="146"/>
        <w:gridCol w:w="146"/>
        <w:gridCol w:w="367"/>
        <w:gridCol w:w="998"/>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short-term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aps/>
          <w:color w:val="000000"/>
          <w:sz w:val="20"/>
        </w:rPr>
      </w:pPr>
      <w:r>
        <w:rPr>
          <w:rFonts w:ascii="Times New Roman" w:hAnsi="Times New Roman"/>
          <w:b/>
          <w:caps/>
          <w:color w:val="000000"/>
          <w:sz w:val="20"/>
        </w:rPr>
        <w:t>15. 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separate discrete financial information is available for evaluation by the CODM or decision-making group in making decisions on how to allocate resources and assess performance. The Company has one operating segment focused on the discovery, development and commercialization of gamma-delta T cell product candidates for solid and liquid tumors. The CODM is the Company’s CEO. The CEO manages the Company’s operations on a consolidated basis, assesses performance for the operating segment and decides how to allocate resources based on consolidated net loss, which is reported on the consolidated statements of operations. Depreciation expense, amortization expense, stock-based compensation expense, and non-cash lease expense are significant noncash items included in consolidated net loss reviewed by the CEO and are reported on the consolidated statements of cash flows. The measure of segment assets is reported on the consolidated balance sheets as total consolidated assets.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presents certain financial data for the Company’s reportable segment:</w:t>
      </w:r>
    </w:p>
    <w:tbl>
      <w:tblPr>
        <w:tblW w:w="7549" w:type="dxa"/>
        <w:jc w:val="left"/>
        <w:tblInd w:w="0" w:type="dxa"/>
        <w:tblLayout w:type="fixed"/>
        <w:tblCellMar>
          <w:top w:w="28" w:type="dxa"/>
          <w:left w:w="28" w:type="dxa"/>
          <w:bottom w:w="28" w:type="dxa"/>
          <w:right w:w="28" w:type="dxa"/>
        </w:tblCellMar>
      </w:tblPr>
      <w:tblGrid>
        <w:gridCol w:w="5146"/>
        <w:gridCol w:w="146"/>
        <w:gridCol w:w="211"/>
        <w:gridCol w:w="676"/>
        <w:gridCol w:w="146"/>
        <w:gridCol w:w="146"/>
        <w:gridCol w:w="211"/>
        <w:gridCol w:w="676"/>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INB-100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INB-200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INB-400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Other segment items include preclinical expenses, severance and related charges, interest income and other income.</w:t>
      </w:r>
    </w:p>
    <w:p>
      <w:pPr>
        <w:pStyle w:val="TextBody"/>
        <w:bidi w:val="0"/>
        <w:jc w:val="left"/>
        <w:rPr/>
      </w:pPr>
      <w:r>
        <w:rPr/>
        <w:t> </w:t>
      </w:r>
    </w:p>
    <w:p>
      <w:pPr>
        <w:pStyle w:val="TextBody"/>
        <w:bidi w:val="0"/>
        <w:jc w:val="left"/>
        <w:rPr>
          <w:rFonts w:ascii="Times New Roman" w:hAnsi="Times New Roman"/>
          <w:b/>
          <w:caps/>
          <w:color w:val="000000"/>
          <w:sz w:val="20"/>
        </w:rPr>
      </w:pPr>
      <w:r>
        <w:rPr>
          <w:rFonts w:ascii="Times New Roman" w:hAnsi="Times New Roman"/>
          <w:b/>
          <w:caps/>
          <w:color w:val="000000"/>
          <w:sz w:val="20"/>
        </w:rPr>
        <w:t>16.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Subsequent to December 31, 2024, the Company sold an aggregate of 7,362,852 shares of common stock under the ATM resulting in net proceeds of $3.7 million, after deducting underwriting discounts, the Company also had an aggregate of 1,412,658 Series C warrants exercised for net proceeds of $0.4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of our Chief Executive Officer and Chief Financial Officer, we evaluated the effectiveness of our disclosure controls and procedures (as defined in Rules 13a-15(e) and 15d-15(e) of the Exchange Act) as of December 31, 2024. Based on that evaluation, our Chief Executive Officer and Chief Financial Officer have concluded that as of December 31, 2024 our disclosure controls and procedures were effective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discussion regarding required disclosures. 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of the Exchange Act). Our management conducted an evaluation of the effectiveness of our internal control over financial reporting as of December 31, 2024 based on the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results of its evaluation, management concluded that our internal control over financial reporting was effective as of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on internal control over financial reporting due to the deferral allowed under the JOBS Act for emerging growth companies.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Limitations on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including the Chief Executive Officer and Chief Financial Officer, do not expect that our disclosure controls and procedures and our internal controls will prevent all error and all fraud. A control system, no matter how well designed and operated, can only provide reasonable assurances that the objectives of the control system are met. The design of a control system reflects resource constraints; the benefits of controls must be considered relative to their costs. Because there are inherent limitations in all control systems, no evaluation of controls can provide absolute assurance that all control issues and instances of fraud, if any, within the Company have been or will be detected. As these inherent limitations are known features of the financial reporting process, it is possible to design into the process safeguards to reduce, though not eliminate, these risks. These inherent limitations include the realities that judgments in decision-making can be faulty and that breakdowns occur because of simple error or mistake. Controls can be circumvented by the individual acts of some persons, by collusion of two or more people, or by management override of the control. The design of any system of controls is based in part upon certain assumptions about the likelihood of future events. While our disclosure controls and procedures are designed to provide reasonable assurance of achieving their objectives, there can be no assurance that any design will succeed in achieving its stated goals under all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review and evaluate the design and effectiveness of our disclosure controls and procedures on an ongoing basis and to improve our controls and procedures over time and to correct any deficiencies that we may discover in the future. While our Chief Executive Officer and Chief Financial Officer have concluded that, as of December 31, 2023, the design of our disclosure controls and procedures (as defined in Rule 13a-15(e) of the Exchange Act) was effective, future events affecting our business may cause us to significantly modify our disclosure controls and procedures.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Rules 13a-15(d) and 15d-15(d) of the Exchange Act that occurred during the three months ended December 31, 2024, that has materially affected, or is reasonably likely to materially affect, our internal control over financial reporting.</w:t>
      </w:r>
    </w:p>
    <w:p>
      <w:pPr>
        <w:pStyle w:val="TextBody"/>
        <w:bidi w:val="0"/>
        <w:spacing w:before="360" w:after="283"/>
        <w:jc w:val="left"/>
        <w:rPr>
          <w:rFonts w:ascii="Times New Roman" w:hAnsi="Times New Roman"/>
          <w:b/>
          <w:color w:val="000000"/>
          <w:sz w:val="20"/>
        </w:rPr>
      </w:pPr>
      <w:bookmarkStart w:id="25" w:name="item_9b_other_info"/>
      <w:bookmarkEnd w:id="25"/>
      <w:r>
        <w:rPr>
          <w:rFonts w:ascii="Times New Roman" w:hAnsi="Times New Roman"/>
          <w:b/>
          <w:color w:val="000000"/>
          <w:sz w:val="20"/>
        </w:rPr>
        <w:t>Item 9B.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executive officers adopted, modified or terminated a “Rule 10b5-1 trading arrangement” or “non-Rule-10b5-1 trading arrangement,” as each term is defined in Item 408(a) of Regulation S-K, during the fiscal quarter ended December 31, 2024.</w:t>
      </w:r>
    </w:p>
    <w:p>
      <w:pPr>
        <w:pStyle w:val="TextBody"/>
        <w:bidi w:val="0"/>
        <w:spacing w:before="360" w:after="283"/>
        <w:jc w:val="left"/>
        <w:rPr>
          <w:rFonts w:ascii="Times New Roman" w:hAnsi="Times New Roman"/>
          <w:sz w:val="20"/>
        </w:rPr>
      </w:pPr>
      <w:bookmarkStart w:id="26" w:name="item_9c_disclosure_regarding_foreign"/>
      <w:bookmarkEnd w:id="26"/>
      <w:r>
        <w:rPr>
          <w:rFonts w:ascii="Times New Roman" w:hAnsi="Times New Roman"/>
          <w:b/>
          <w:color w:val="000000"/>
          <w:sz w:val="20"/>
        </w:rPr>
        <w:t>Item 9C. Disclosure Regarding Foreign</w:t>
      </w:r>
      <w:r>
        <w:rPr>
          <w:rFonts w:ascii="Times New Roman" w:hAnsi="Times New Roman"/>
          <w:color w:val="000000"/>
          <w:sz w:val="20"/>
        </w:rPr>
        <w:t xml:space="preserve"> </w:t>
      </w:r>
      <w:r>
        <w:rPr>
          <w:rFonts w:ascii="Times New Roman" w:hAnsi="Times New Roman"/>
          <w:b/>
          <w:color w:val="000000"/>
          <w:sz w:val="20"/>
        </w:rPr>
        <w:t>Jurisdictions that Prevent Inspections.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sz w:val="20"/>
        </w:rPr>
      </w:pPr>
      <w:bookmarkStart w:id="27" w:name="part_iii"/>
      <w:bookmarkEnd w:id="27"/>
      <w:r>
        <w:rPr>
          <w:rFonts w:ascii="Times New Roman" w:hAnsi="Times New Roman"/>
          <w:b/>
          <w:color w:val="000000"/>
          <w:sz w:val="20"/>
        </w:rPr>
        <w:t>PART III</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Certain information required by Part III is omitted from this report because we will file with the SEC a definitive proxy statement pursuant to Regulation 14A, (the "2025 Proxy Statement"), no later than 120 days after the end of our fiscal year, and certain information included therein is incorporated herein by reference.</w:t>
      </w:r>
    </w:p>
    <w:p>
      <w:pPr>
        <w:pStyle w:val="TextBody"/>
        <w:bidi w:val="0"/>
        <w:jc w:val="left"/>
        <w:rPr/>
      </w:pPr>
      <w:r>
        <w:rPr/>
        <w:t> </w:t>
      </w:r>
    </w:p>
    <w:p>
      <w:pPr>
        <w:pStyle w:val="TextBody"/>
        <w:bidi w:val="0"/>
        <w:spacing w:before="160" w:after="283"/>
        <w:jc w:val="left"/>
        <w:rPr>
          <w:rFonts w:ascii="Times New Roman" w:hAnsi="Times New Roman"/>
          <w:sz w:val="20"/>
        </w:rPr>
      </w:pPr>
      <w:bookmarkStart w:id="28" w:name="item_10_directors_executive_ficers_corpo"/>
      <w:bookmarkEnd w:id="28"/>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“Proposal 1: Election of Directors,” “Executive Officers,” “Information Regarding the Board and Corporate Governance” and “Delinquent Section 16(a) Reports,” if applicable, in our 2025 Proxy Statement.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Information regarding our Code of Business Conduct and Ethics (the "Code of Conduct"), required by this item will be contained in our 2025 Proxy Statement under the caption “Information Regarding the Board and Corporate Governance – Code of Business Conduct and Ethics,” and is hereby incorporated by reference. 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t>
      </w:r>
      <w:r>
        <w:rPr>
          <w:rFonts w:ascii="Times New Roman" w:hAnsi="Times New Roman"/>
          <w:i/>
          <w:color w:val="000000"/>
          <w:sz w:val="20"/>
        </w:rPr>
        <w:t>www.in8bio.com</w:t>
      </w:r>
      <w:r>
        <w:rPr>
          <w:rFonts w:ascii="Times New Roman" w:hAnsi="Times New Roman"/>
          <w:color w:val="000000"/>
          <w:sz w:val="20"/>
        </w:rPr>
        <w:t>. The reference to our website address does not constitute incorporation by reference of the information contained at or available through our website, and you should not consider it to be a part of this Annual Report.</w:t>
      </w:r>
    </w:p>
    <w:p>
      <w:pPr>
        <w:pStyle w:val="TextBody"/>
        <w:bidi w:val="0"/>
        <w:spacing w:before="360" w:after="283"/>
        <w:jc w:val="left"/>
        <w:rPr>
          <w:rFonts w:ascii="Times New Roman" w:hAnsi="Times New Roman"/>
          <w:sz w:val="20"/>
        </w:rPr>
      </w:pPr>
      <w:bookmarkStart w:id="29" w:name="item_11_executive_compensation"/>
      <w:bookmarkEnd w:id="29"/>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 titled “Executive Officer and Director Compensation” in our 2025 Proxy Statement. </w:t>
      </w:r>
    </w:p>
    <w:p>
      <w:pPr>
        <w:pStyle w:val="TextBody"/>
        <w:bidi w:val="0"/>
        <w:spacing w:before="360" w:after="283"/>
        <w:jc w:val="left"/>
        <w:rPr>
          <w:rFonts w:ascii="Times New Roman" w:hAnsi="Times New Roman"/>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“Equity Compensation Plan Information” and “Security Ownership of Certain Beneficial Owners and Management” in our 2025 Proxy Statement. </w:t>
      </w:r>
    </w:p>
    <w:p>
      <w:pPr>
        <w:pStyle w:val="TextBody"/>
        <w:bidi w:val="0"/>
        <w:spacing w:before="360" w:after="283"/>
        <w:jc w:val="left"/>
        <w:rPr>
          <w:rFonts w:ascii="Times New Roman" w:hAnsi="Times New Roman"/>
          <w:sz w:val="20"/>
        </w:rPr>
      </w:pPr>
      <w:bookmarkStart w:id="31" w:name="item_13_certain_relationships_related_tr"/>
      <w:bookmarkEnd w:id="31"/>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“Transactions with Related Persons” and “Information Regarding the Board and Corporate Governance–Board Independence” in our 2025 Proxy Statement. </w:t>
      </w:r>
    </w:p>
    <w:p>
      <w:pPr>
        <w:pStyle w:val="TextBody"/>
        <w:bidi w:val="0"/>
        <w:spacing w:before="360" w:after="283"/>
        <w:jc w:val="left"/>
        <w:rPr>
          <w:rFonts w:ascii="Times New Roman" w:hAnsi="Times New Roman"/>
          <w:sz w:val="20"/>
        </w:rPr>
      </w:pPr>
      <w:bookmarkStart w:id="32" w:name="item_14_principal_accountant_fees_servic"/>
      <w:bookmarkEnd w:id="32"/>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regarding accounting fees and services required by this item will be contained in our 2025 Proxy Statement in Proposal 2 under the captions “–Independent Registered Public Accounting Firm Fees” and “–Pre-Approval Policies and Procedures” and is hereby incorporated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bookmarkStart w:id="34" w:name="item_15_exhibits_financial_statement_sch"/>
      <w:bookmarkEnd w:id="34"/>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financial statements schedules and exhibits filed as part of this Annual Report are as follows: </w:t>
      </w:r>
    </w:p>
    <w:p>
      <w:pPr>
        <w:pStyle w:val="TextBody"/>
        <w:bidi w:val="0"/>
        <w:spacing w:before="360" w:after="283"/>
        <w:jc w:val="left"/>
        <w:rPr>
          <w:rFonts w:ascii="Times New Roman" w:hAnsi="Times New Roman"/>
          <w:sz w:val="20"/>
        </w:rPr>
      </w:pPr>
      <w:r>
        <w:rPr>
          <w:rFonts w:ascii="Times New Roman" w:hAnsi="Times New Roman"/>
          <w:b/>
          <w:color w:val="000000"/>
          <w:sz w:val="20"/>
        </w:rPr>
        <w:t>(a)(1)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Reference is made to the financial statements included in Item 8 of Part II hereof. </w:t>
      </w:r>
    </w:p>
    <w:p>
      <w:pPr>
        <w:pStyle w:val="TextBody"/>
        <w:bidi w:val="0"/>
        <w:spacing w:before="360" w:after="283"/>
        <w:jc w:val="left"/>
        <w:rPr>
          <w:rFonts w:ascii="Times New Roman" w:hAnsi="Times New Roman"/>
          <w:sz w:val="20"/>
        </w:rPr>
      </w:pPr>
      <w:r>
        <w:rPr>
          <w:rFonts w:ascii="Times New Roman" w:hAnsi="Times New Roman"/>
          <w:b/>
          <w:color w:val="000000"/>
          <w:sz w:val="20"/>
        </w:rPr>
        <w:t>(a)(2) Financial Statement Schedules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other schedules are omitted because they are not required or the required information is included in the financial statements or notes thereto included in Item 8 of Part II hereof.</w:t>
      </w:r>
    </w:p>
    <w:p>
      <w:pPr>
        <w:pStyle w:val="TextBody"/>
        <w:bidi w:val="0"/>
        <w:spacing w:before="360" w:after="283"/>
        <w:jc w:val="left"/>
        <w:rPr>
          <w:rFonts w:ascii="Times New Roman" w:hAnsi="Times New Roman"/>
          <w:sz w:val="20"/>
        </w:rPr>
      </w:pPr>
      <w:r>
        <w:rPr>
          <w:rFonts w:ascii="Times New Roman" w:hAnsi="Times New Roman"/>
          <w:b/>
          <w:color w:val="000000"/>
          <w:sz w:val="20"/>
        </w:rPr>
        <w:t>(a)(3)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exhibits required to be filed or furnished as part of this report are listed in the Exhibit List set forth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exhibit_index"/>
      <w:bookmarkEnd w:id="35"/>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001-39692), filed with the SEC on August 3,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Second Amended and Restated Bylaws of the Company (incorporated herein by reference to Exhibit 3.1 to the Company’s Current Report on Form 8-K (File No. 001-39692), filed with the SEC on December 7,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Common Stock Certificate (incorporated herein by reference to Exhibit 4.1 to the Company’s Amendment No. 1 to Registration Statement on Form S-1 (File No. 333-249530), filed with the SEC on November 5, 2020).</w:t>
              </w:r>
            </w:hyperlink>
            <w:hyperlink r:id="rId32">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Investors’ Rights Agreement, by and among the Registrant and certain of its stockholders, dated May 7, 2018 (incorporated herein by reference to Exhibit 4.2 to the Company’s Registration Statement on Form S-1 (File No. 333-249530), filed with the SEC on October 16,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4_3.htm">
              <w:r>
                <w:rPr>
                  <w:rStyle w:val="InternetLink"/>
                  <w:rFonts w:ascii="Times New Roman" w:hAnsi="Times New Roman"/>
                  <w:color w:val="0000FF"/>
                  <w:sz w:val="20"/>
                  <w:u w:val="single"/>
                </w:rPr>
                <w:t>Description of the Registrant’s Securities.</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Pre-funded Warrant (incorporated herein by reference to Exhibit 4.1 to the Company’s Current Report on Form 8-K (File No. 001-39692), filed with the SEC on December 11,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Pre-Funded Warrant (incorporated herein by reference to Exhibit 4.1 to the Company’s Current Report on Form 8-K (File No. 001-39692), filed with the SEC on October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Series A Warrant (incorporated herein by reference to Exhibit 4.2 to the Company’s Current Report on Form 8-K (File No. 001-39692), filed with the SEC on December 11,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Series B Warrant (incorporated herein by reference to Exhibit 4.3 to the Company’s Current Report on Form 8-K (File No. 001-39692), filed with the SEC on December 11,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Series C Warrant (incorporated herein by reference to Exhibit 4.2 to the Company’s Current Report on Form 8-K (File No. 001-39692), filed with the SEC on October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Registration Rights Agreement (incorporated herein by reference to Exhibit 10.2 to the Company’s Current Report on Form 8-K (File No. 001-39692), filed with the SEC on December 11,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Registration Rights Agreement (incorporated herein by reference to Exhibit 10.2 to the Company’s Current Report on Form 8-K (File No. 001-39692), filed with the SEC on October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Amendment No. 1 to Common Stock Purchase Warrant (Series A) (incorporated herein by reference to Exhibit 4.3 to the Company’s Current Report on Form 8-K (File No. 001-39692), filed with the SEC on October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jc w:val="left"/>
              <w:rPr/>
            </w:pPr>
            <w:hyperlink r:id="rId42">
              <w:r>
                <w:rPr>
                  <w:rStyle w:val="InternetLink"/>
                  <w:rFonts w:ascii="Times New Roman" w:hAnsi="Times New Roman"/>
                  <w:color w:val="0000FF"/>
                  <w:sz w:val="20"/>
                  <w:u w:val="single"/>
                </w:rPr>
                <w:t>Form of Indemnity Agreement by and between the Registrant and its directors and executive</w:t>
              </w:r>
            </w:hyperlink>
          </w:p>
          <w:p>
            <w:pPr>
              <w:pStyle w:val="TableContents"/>
              <w:bidi w:val="0"/>
              <w:spacing w:before="0" w:after="283"/>
              <w:jc w:val="left"/>
              <w:rPr/>
            </w:pPr>
            <w:hyperlink r:id="rId43">
              <w:r>
                <w:rPr>
                  <w:rStyle w:val="InternetLink"/>
                  <w:rFonts w:ascii="Times New Roman" w:hAnsi="Times New Roman"/>
                  <w:color w:val="0000FF"/>
                  <w:sz w:val="20"/>
                  <w:u w:val="single"/>
                </w:rPr>
                <w:t>officers (incorporated herein by reference to Exhibit 10.1 to the Company’s Registration Statement on Form S-1/A (File No. 333-249530), filed with the Commission on November 5,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2018 Equity Incentive Plan (incorporated herein by reference to Exhibit 10.2 to the Company’s Registration Statement on Form S-1 (File No. 333-249530), filed with the Commission on October 16,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Forms of Option Grant Notice and Option Agreement under 2018 Equity Incentive Plan (incorporated herein by reference to Exhibit 10.3 to the Company’s Registration Statement on Form S-1 (File No. 333-249530), filed with the Commission on October 16,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2020 Equity Incentive Plan (incorporated herein by reference to Exhibit 4.6 to the Company’s Registration Statement on Form S-8 (File No. 333-259458), filed with the SEC on September 10,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Forms of Option Grant Notice and Option Agreement under 2020 Equity Incentive Plan (incorporated herein by reference to Exhibit 10.5 to the Registrant’s Registration Statement on Form S-1/A (File No. 333-249530), filed with the Commission on November 5,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Amended and Restated 2023 Equity Incentive Plan (incorporated herein by reference to Exhibit 10.1 to the Registrant’s Quarterly Report on Form 10-Q (File No. 001-39692), filed with the SEC on August 10,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Forms of Option Grant Notice and Option Agreement under the Amended and Restated 2023 Equity Incentive Plan (incorporated herein by reference to Exhibit 10.2 to the Registrant’s Quarterly Report on Form 10-Q (File No. 001-39692), filed with the SEC on August 10,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2020 Employee Stock Purchase Plan (incorporated herein by reference to Exhibit 4.6 to the Company’s Registration Statement on Form S-8 (File No. 333-259458), filed with the SEC on September 10,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Non-Employee Director Compensation Policy (as amended February 5, 2024) (incorporated herein by reference to Exhibit 10.5 to the Company’s Quarterly Report on Form 10-Q (File No. 001-39692), filed with the SEC on May 9,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Non-Employee Director Compensation Policy (as amended August 30, 2024) (incorporated herein by reference to Exhibit 10.9 to the Company’s Quarterly Report on Form 10-Q (File No. 001-39692), filed with the SEC on November 12,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Exclusive License Agreement, dated March 10, 2016, between the Registrant and The UAB</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7"/>
        <w:gridCol w:w="146"/>
        <w:gridCol w:w="9442"/>
      </w:tblGrid>
      <w:tr>
        <w:trPr/>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2" w:type="dxa"/>
            <w:tcBorders/>
            <w:vAlign w:val="center"/>
          </w:tcPr>
          <w:p>
            <w:pPr>
              <w:pStyle w:val="TableContents"/>
              <w:bidi w:val="0"/>
              <w:spacing w:before="0" w:after="283"/>
              <w:jc w:val="left"/>
              <w:rPr>
                <w:sz w:val="4"/>
                <w:szCs w:val="4"/>
              </w:rPr>
            </w:pPr>
            <w:r>
              <w:rPr>
                <w:sz w:val="4"/>
                <w:szCs w:val="4"/>
              </w:rPr>
            </w:r>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Research Foundation, as amended (incorporated herein by reference to Exhibit 10.8 to the Registrant’s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First Amendment to Exclusive License Agreement, dated December 14, 2016, between the UAB Research Foundation and the Registrant (incorporated herein by reference to Exhibit 10.9 to the Registrant’s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Second Amendment to Exclusive License Agreement, dated December 14, 2016, between the UAB Research Foundation and the Registrant (incorporated herein by reference to Exhibit 10.10 to the Registrant’s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jc w:val="left"/>
              <w:rPr/>
            </w:pPr>
            <w:hyperlink r:id="rId57">
              <w:r>
                <w:rPr>
                  <w:rStyle w:val="InternetLink"/>
                  <w:rFonts w:ascii="Times New Roman" w:hAnsi="Times New Roman"/>
                  <w:color w:val="0000FF"/>
                  <w:sz w:val="20"/>
                  <w:u w:val="single"/>
                </w:rPr>
                <w:t>Third Amendment to Exclusive License Agreement, dated December 14, 2016, between the</w:t>
              </w:r>
            </w:hyperlink>
          </w:p>
          <w:p>
            <w:pPr>
              <w:pStyle w:val="TableContents"/>
              <w:bidi w:val="0"/>
              <w:spacing w:before="0" w:after="283"/>
              <w:jc w:val="left"/>
              <w:rPr/>
            </w:pPr>
            <w:hyperlink r:id="rId58">
              <w:r>
                <w:rPr>
                  <w:rStyle w:val="InternetLink"/>
                  <w:rFonts w:ascii="Times New Roman" w:hAnsi="Times New Roman"/>
                  <w:color w:val="0000FF"/>
                  <w:sz w:val="20"/>
                  <w:u w:val="single"/>
                </w:rPr>
                <w:t>UAB Research Foundation and the Registrant (incorporated herein by reference to Exhibit 10.11 to the Registrant’s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Fourth Amendment to Exclusive License Agreement, dated December 14, 2016, between the UAB Research Foundation and the Registrant (incorporated herein by reference to Exhibit 10.12 to the Registrant’s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Exclusive License Agreement, dated June 10, 2016, between Emory University, Children’s Healthcare of Atlanta, Inc., and UAB Research Foundation and the Registrant (incorporated herein by reference to Exhibit 10.13 to the Registrant’s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First Amendment to Exclusive License Agreement between Emory University, Children’s Healthcare of Atlanta, Inc., The UAB Research Foundation and the Registrant (incorporated herein by reference to Exhibit 10.14 to the Registrant’s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Second Amendment to Exclusive License Agreement between Emory University, Children’s Healthcare of Atlanta, Inc., The UAB Research Foundation and the Registrant (incorporated herein by reference to Exhibit 10.15 to the Registrant’s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Amended and Restated Employment Agreement, between Registrant and William Ho, dated December 1, 2020 (incorporated herein by reference to Exhibit 10.16 to the Registrant’s Registration Statement on Form S-1/A (File No. 333-249530), filed with the Commission on July 22, 2021).</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Amended and Restated Employment Agreement, between Registrant and William Ho, dated as of August 30, 2024 (incorporated herein by reference to Exhibit 10.1 to the Company's Current Report on Form 8-K (File No. 001-39692), filed with the SEC on September 6,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Amended and Restated Employment Agreement between Registrant and Lawrence Lamb, dated December 31, 2020 (incorporated herein by reference to Exhibit 10.17 to the Registrant’s Registration Statement on Form S-1/A (File No. 333-249530), filed with the Commission on July 22, 2021).</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Amendment to Employment Agreement, by and between the Company and Lawrence Lamb, dated as of August 30, 2024 (incorporated herein by reference to Exhibit 10.3 to the Company’s Current Report on Form 8-K (File No. 001-39692), filed with the SEC on September 6,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Employment Agreement between Registrant and Trishna Goswami, dated October 7, 2021 (incorporated herein by reference to Exhibit 10.19 to the Company’s Annual Report on Form 10-K (File No. 001-39692), filed with the SEC on March 17, 2022).</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Amendment to Employment Agreement, by and between the Company and Trishna Goswami, dated as of August 30, 2024 (incorporated herein by reference to Exhibit 10.2 to the Company’s Current Report on Form 8-K (File No. 001-39692), filed with the SEC on September 6, 2024).</w:t>
              </w:r>
            </w:hyperlink>
            <w:hyperlink r:id="rId69">
              <w:r>
                <w:rPr>
                  <w:rStyle w:val="InternetLink"/>
                  <w:rFonts w:ascii="Times New Roman" w:hAnsi="Times New Roman"/>
                  <w:color w:val="0000FF"/>
                  <w:sz w:val="20"/>
                </w:rPr>
                <w:t xml:space="preserve"> </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Separation Agreement, by and between the Company and Trishna Goswami, dated as of September 6, 2024 (incorporated herein by reference to Exhibit 10.8 to the Company’s Quarterly Report on Form 10-Q (File No. 001-39692), filed with the SEC on November 12,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Employment Agreement between Registrant and Patrick McCall, dated January 20, 2021 (incorporated herein by reference to Exhibit 10.20 to the Company’s Annual Report on Form 10-K (File No. 001-39692), filed with the SEC on March 17, 2022).</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Amendment to Employment Agreement, by and between the Company and Patrick McCall, dated as of August 30, 2024 (incorporated herein by reference to Exhibit 10.4 to the Company’s Current Report on Form 8-K (File No. 001-39692), filed with the SEC on September 6,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3">
              <w:r>
                <w:rPr>
                  <w:rStyle w:val="InternetLink"/>
                  <w:rFonts w:ascii="Times New Roman" w:hAnsi="Times New Roman"/>
                  <w:color w:val="0000FF"/>
                  <w:sz w:val="20"/>
                  <w:u w:val="single"/>
                </w:rPr>
                <w:t>Employment Agreement between Registrant and Kate Rochlin, dated March 14, 2024 (incorporated herein by reference to Exhibit 10.23 to the Company’s Annual Report on Form 10-K (File No. 001-39692), filed with the SEC on March 14, 2024).</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
        <w:gridCol w:w="146"/>
        <w:gridCol w:w="9333"/>
      </w:tblGrid>
      <w:tr>
        <w:trPr/>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3" w:type="dxa"/>
            <w:tcBorders/>
            <w:vAlign w:val="center"/>
          </w:tcPr>
          <w:p>
            <w:pPr>
              <w:pStyle w:val="TableContents"/>
              <w:bidi w:val="0"/>
              <w:spacing w:before="0" w:after="283"/>
              <w:jc w:val="left"/>
              <w:rPr>
                <w:sz w:val="4"/>
                <w:szCs w:val="4"/>
              </w:rPr>
            </w:pPr>
            <w:r>
              <w:rPr>
                <w:sz w:val="4"/>
                <w:szCs w:val="4"/>
              </w:rPr>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Amendment to Employment Agreement, by and between the Company and Kate Rochlin, dated as of August 30, 2024 (incorporated herein by reference to Exhibit 10.5 to the Company’s Current Report on Form 8-K (File No. 001-39692), filed with the SEC on September 6, 2024).</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Securities Purchase Agreement, dated as of December 11, 2023, by and among the Registrant and the Investors named therein (incorporated herein by reference to Exhibit 10.1 to the Company’s Current Report on Form 8-K (File No. 001-39692), filed with the SEC on December 11, 2023).</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6">
              <w:r>
                <w:rPr>
                  <w:rStyle w:val="InternetLink"/>
                  <w:rFonts w:ascii="Times New Roman" w:hAnsi="Times New Roman"/>
                  <w:color w:val="0000FF"/>
                  <w:sz w:val="20"/>
                  <w:u w:val="single"/>
                </w:rPr>
                <w:t>Form of Securities Purchase Agreement (incorporated herein by reference to Exhibit 10.1 to the Company’s Current Report on Form 8-K (File No. 001-39692), filed with the SEC on October 1, 2024).</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7">
              <w:r>
                <w:rPr>
                  <w:rStyle w:val="InternetLink"/>
                  <w:rFonts w:ascii="Times New Roman" w:hAnsi="Times New Roman"/>
                  <w:color w:val="0000FF"/>
                  <w:sz w:val="20"/>
                  <w:u w:val="single"/>
                </w:rPr>
                <w:t>Lease Agreement (Suite 210) between the Company and Sloss Martin Biscuit, Ltd., dated March 16, 2024 (incorporated herein by reference to Exhibit 10.2 to the Company’s Quarterly Report on Form 10-Q (File No. 001-39692), filed with the SEC on May 9, 2024).</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8">
              <w:r>
                <w:rPr>
                  <w:rStyle w:val="InternetLink"/>
                  <w:rFonts w:ascii="Times New Roman" w:hAnsi="Times New Roman"/>
                  <w:color w:val="0000FF"/>
                  <w:sz w:val="20"/>
                  <w:u w:val="single"/>
                </w:rPr>
                <w:t>Second Amendment to Lease Agreement between the Company (Suite 230) and Sloss Martin Biscuit, Ltd., dated March 16, 2024 (incorporated herein by reference to Exhibit 10.3 to the Company’s Quarterly Report on Form 10-Q (File No. 001-39692), filed with the SEC on May 9, 2024).</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9">
              <w:r>
                <w:rPr>
                  <w:rStyle w:val="InternetLink"/>
                  <w:rFonts w:ascii="Times New Roman" w:hAnsi="Times New Roman"/>
                  <w:color w:val="0000FF"/>
                  <w:sz w:val="20"/>
                  <w:u w:val="single"/>
                </w:rPr>
                <w:t>Second Amendment to Lease Agreement between the Company (Suite 270) and Sloss Martin Biscuit, Ltd., dated March 16, 2024 (incorporated herein by reference to Exhibit 10.4 to the Company’s Quarterly Report on Form 10-Q (File No. 001-39692), filed with the SEC on May 9, 2024).</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19_1.htm">
              <w:r>
                <w:rPr>
                  <w:rStyle w:val="InternetLink"/>
                  <w:rFonts w:ascii="Times New Roman" w:hAnsi="Times New Roman"/>
                  <w:color w:val="0000FF"/>
                  <w:sz w:val="20"/>
                  <w:u w:val="single"/>
                </w:rPr>
                <w:t>Insider Trading Policy.</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23_1.htm">
              <w:r>
                <w:rPr>
                  <w:rStyle w:val="InternetLink"/>
                  <w:rFonts w:ascii="Times New Roman" w:hAnsi="Times New Roman"/>
                  <w:color w:val="0000FF"/>
                  <w:sz w:val="20"/>
                  <w:u w:val="single"/>
                </w:rPr>
                <w:t>Consent of Independent Registered Public Accounting Firm.</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the signature page to this report).</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0">
              <w:r>
                <w:rPr>
                  <w:rStyle w:val="InternetLink"/>
                  <w:rFonts w:ascii="Times New Roman" w:hAnsi="Times New Roman"/>
                  <w:color w:val="0000FF"/>
                  <w:sz w:val="20"/>
                  <w:u w:val="single"/>
                </w:rPr>
                <w:t>IN8bio, Inc. Incentive Compensation Recoupment Policy, dated October 23, 2023 (incorporated herein by reference to Exhibit 97 to the Company’s Annual Report on Form 10-K (File No. 001-39692), filed with the SEC on March 14, 2024).</w:t>
              </w:r>
            </w:hyperlink>
            <w:hyperlink r:id="rId81">
              <w:r>
                <w:rPr>
                  <w:rStyle w:val="InternetLink"/>
                  <w:rFonts w:ascii="Times New Roman" w:hAnsi="Times New Roman"/>
                  <w:color w:val="0000FF"/>
                  <w:sz w:val="20"/>
                </w:rPr>
                <w:t xml:space="preserve"> </w:t>
              </w:r>
            </w:hyperlink>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Inline XBRL Instance Document - </w:t>
            </w:r>
            <w:r>
              <w:rPr>
                <w:rFonts w:ascii="Times New Roman" w:hAnsi="Times New Roman"/>
                <w:color w:val="212529"/>
                <w:sz w:val="20"/>
              </w:rPr>
              <w:t>the instance document does not appear in the Interactive Data File because its XBRL tags are embedded within the Inline XBRL Document.</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with applicable taxonomy extension information contained in Exhibit 101.</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Pursuant to Item 601(b)(10)(iv) of Regulation S-K promulgated by the Securities and Exchange Commission, certain portions of this exhibit have been redacted. The Registrant hereby agrees to furnish supplementally to the Securities and Exchange Commission, upon its request, an unredacted copy of this exhibit.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Certain of the exhibits and schedules to this Exhibit have been omitted in accordance with Regulation S-K Item 601(a)(5). The Registrant agrees to furnish a copy of all omitted exhibits and schedules to the SEC upon its request.</w:t>
      </w:r>
    </w:p>
    <w:p>
      <w:pPr>
        <w:pStyle w:val="TextBody"/>
        <w:bidi w:val="0"/>
        <w:spacing w:before="360" w:after="283"/>
        <w:jc w:val="left"/>
        <w:rPr>
          <w:rFonts w:ascii="Times New Roman" w:hAnsi="Times New Roman"/>
          <w:sz w:val="20"/>
        </w:rPr>
      </w:pPr>
      <w:bookmarkStart w:id="36" w:name="item_16_form_10k_summary"/>
      <w:bookmarkEnd w:id="36"/>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7" w:name="signatures"/>
      <w:bookmarkEnd w:id="37"/>
      <w:r>
        <w:rPr>
          <w:rFonts w:ascii="Times New Roman" w:hAnsi="Times New Roman"/>
          <w:b/>
          <w:color w:val="000000"/>
          <w:sz w:val="20"/>
        </w:rPr>
        <w:t>SIGNATURES</w:t>
      </w:r>
    </w:p>
    <w:p>
      <w:pPr>
        <w:pStyle w:val="TextBody"/>
        <w:bidi w:val="0"/>
        <w:spacing w:before="16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411"/>
        <w:gridCol w:w="109"/>
        <w:gridCol w:w="406"/>
        <w:gridCol w:w="3766"/>
      </w:tblGrid>
      <w:tr>
        <w:trPr/>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IN8bio, Inc.</w:t>
            </w:r>
          </w:p>
          <w:p>
            <w:pPr>
              <w:pStyle w:val="TableContents"/>
              <w:bidi w:val="0"/>
              <w:spacing w:before="0" w:after="283"/>
              <w:jc w:val="both"/>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William Ho</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William Ho</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Patrick McCall</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Patrick McCall</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Officer and Secretary</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sz w:val="20"/>
        </w:rPr>
      </w:pPr>
      <w:bookmarkStart w:id="38" w:name="power_of_attorney"/>
      <w:bookmarkEnd w:id="38"/>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Each person whose individual signature appears below hereby authorizes and appoints William Ho and Patrick McCall,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210" w:type="dxa"/>
        <w:jc w:val="left"/>
        <w:tblInd w:w="0" w:type="dxa"/>
        <w:tblLayout w:type="fixed"/>
        <w:tblCellMar>
          <w:top w:w="28" w:type="dxa"/>
          <w:left w:w="28" w:type="dxa"/>
          <w:bottom w:w="28" w:type="dxa"/>
          <w:right w:w="28" w:type="dxa"/>
        </w:tblCellMar>
      </w:tblPr>
      <w:tblGrid>
        <w:gridCol w:w="1756"/>
        <w:gridCol w:w="146"/>
        <w:gridCol w:w="3721"/>
        <w:gridCol w:w="146"/>
        <w:gridCol w:w="144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S. Roemer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S. Roemer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Brandt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Brandt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Corinne Epperly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Corinne Epperly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Emily Fairbairn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Emily Fairbairn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R. Graff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Jeremy R. Graff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Luba Greenwood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Luba Greenwood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Travis Whitfill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2025</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Travis Whitfill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9" w:name="inab-ex4_3.htm"/>
      <w:bookmarkStart w:id="40" w:name="ksinabex4_3"/>
      <w:bookmarkEnd w:id="39"/>
      <w:bookmarkEnd w:id="40"/>
      <w:r>
        <w:rPr>
          <w:rFonts w:ascii="Times New Roman" w:hAnsi="Times New Roman"/>
          <w:b/>
          <w:caps/>
          <w:color w:val="000000"/>
          <w:sz w:val="22"/>
        </w:rPr>
        <w:t>Exhibit</w:t>
      </w:r>
      <w:r>
        <w:rPr>
          <w:rFonts w:ascii="Times New Roman" w:hAnsi="Times New Roman"/>
          <w:color w:val="000000"/>
          <w:sz w:val="20"/>
        </w:rPr>
        <w:t xml:space="preserve"> </w:t>
      </w:r>
      <w:r>
        <w:rPr>
          <w:rFonts w:ascii="Times New Roman" w:hAnsi="Times New Roman"/>
          <w:b/>
          <w:color w:val="000000"/>
          <w:sz w:val="22"/>
        </w:rPr>
        <w:t>4.3</w:t>
      </w:r>
      <w:r>
        <w:br w:type="page"/>
      </w:r>
    </w:p>
    <w:p>
      <w:pPr>
        <w:pStyle w:val="TextBody"/>
        <w:bidi w:val="0"/>
        <w:jc w:val="center"/>
        <w:rPr>
          <w:rFonts w:ascii="Times New Roman" w:hAnsi="Times New Roman"/>
          <w:b/>
          <w:caps/>
          <w:color w:val="000000"/>
          <w:sz w:val="22"/>
        </w:rPr>
      </w:pPr>
      <w:r>
        <w:rPr>
          <w:rFonts w:ascii="Times New Roman" w:hAnsi="Times New Roman"/>
          <w:b/>
          <w:caps/>
          <w:color w:val="000000"/>
          <w:sz w:val="22"/>
        </w:rPr>
        <w:t>DESCRIPTION OF THE REGISTRANTS’ SECURITIES REGISTERED PURSUANT TO SECTION 12 OF THE SECURITIES EXCHANGE ACT OF 1934</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i/>
          <w:color w:val="000000"/>
          <w:sz w:val="22"/>
        </w:rPr>
        <w:t>The following description summarizes selected information regarding our capital stock, as well as provisions of; (i) our amended and restated certificate of incorporation; (ii) our amended and restated bylaws; and (iii) the general Corporation Law of the State of Delaware (the “DGCL”). The following summary is qualified in its entirety by, and should be read in conjunction with, the amended and restated certificate of incorporation and the amended and restated bylaws, copies of which have been filed as exhibits to our Annual Report on Form 10-K to which this exhibit is attached, and the applicable provisions of the DGCL.</w:t>
      </w:r>
      <w:r>
        <w:rPr>
          <w:rFonts w:ascii="Times New Roman" w:hAnsi="Times New Roman"/>
          <w:color w:val="000000"/>
          <w:sz w:val="20"/>
        </w:rPr>
        <w:t xml:space="preserve"> </w:t>
      </w:r>
    </w:p>
    <w:p>
      <w:pPr>
        <w:pStyle w:val="TextBody"/>
        <w:bidi w:val="0"/>
        <w:jc w:val="left"/>
        <w:rPr>
          <w:rFonts w:ascii="Times New Roman" w:hAnsi="Times New Roman"/>
          <w:b/>
          <w:color w:val="000000"/>
          <w:sz w:val="22"/>
        </w:rPr>
      </w:pPr>
      <w:r>
        <w:rPr>
          <w:rFonts w:ascii="Times New Roman" w:hAnsi="Times New Roman"/>
          <w:b/>
          <w:color w:val="000000"/>
          <w:sz w:val="22"/>
        </w:rPr>
        <w:t>Authorized Capital Stock</w:t>
      </w:r>
    </w:p>
    <w:p>
      <w:pPr>
        <w:pStyle w:val="TextBody"/>
        <w:bidi w:val="0"/>
        <w:jc w:val="left"/>
        <w:rPr>
          <w:rFonts w:ascii="Times New Roman" w:hAnsi="Times New Roman"/>
          <w:color w:val="000000"/>
          <w:sz w:val="22"/>
        </w:rPr>
      </w:pPr>
      <w:r>
        <w:rPr>
          <w:rFonts w:ascii="Times New Roman" w:hAnsi="Times New Roman"/>
          <w:color w:val="000000"/>
          <w:sz w:val="22"/>
        </w:rPr>
        <w:t>Our authorized capital stock consists of 490,000,000 shares of common stock, par value $0.0001 per share, and 10,000,000 shares of preferred stock, par value $0.0001 per share.</w:t>
      </w:r>
    </w:p>
    <w:p>
      <w:pPr>
        <w:pStyle w:val="TextBody"/>
        <w:bidi w:val="0"/>
        <w:jc w:val="left"/>
        <w:rPr>
          <w:rFonts w:ascii="Times New Roman" w:hAnsi="Times New Roman"/>
          <w:b/>
          <w:color w:val="000000"/>
          <w:sz w:val="22"/>
        </w:rPr>
      </w:pPr>
      <w:r>
        <w:rPr>
          <w:rFonts w:ascii="Times New Roman" w:hAnsi="Times New Roman"/>
          <w:b/>
          <w:color w:val="000000"/>
          <w:sz w:val="22"/>
        </w:rPr>
        <w:t>Common Stock</w:t>
      </w:r>
    </w:p>
    <w:p>
      <w:pPr>
        <w:pStyle w:val="TextBody"/>
        <w:bidi w:val="0"/>
        <w:jc w:val="left"/>
        <w:rPr>
          <w:rFonts w:ascii="Times New Roman" w:hAnsi="Times New Roman"/>
          <w:b/>
          <w:i/>
          <w:color w:val="000000"/>
          <w:sz w:val="22"/>
        </w:rPr>
      </w:pPr>
      <w:r>
        <w:rPr>
          <w:rFonts w:ascii="Times New Roman" w:hAnsi="Times New Roman"/>
          <w:b/>
          <w:i/>
          <w:color w:val="000000"/>
          <w:sz w:val="22"/>
        </w:rPr>
        <w:t>Voting Rights</w:t>
      </w:r>
    </w:p>
    <w:p>
      <w:pPr>
        <w:pStyle w:val="TextBody"/>
        <w:bidi w:val="0"/>
        <w:jc w:val="left"/>
        <w:rPr>
          <w:rFonts w:ascii="Times New Roman" w:hAnsi="Times New Roman"/>
          <w:color w:val="000000"/>
          <w:sz w:val="22"/>
        </w:rPr>
      </w:pPr>
      <w:r>
        <w:rPr>
          <w:rFonts w:ascii="Times New Roman" w:hAnsi="Times New Roman"/>
          <w:color w:val="000000"/>
          <w:sz w:val="22"/>
        </w:rPr>
        <w:t>Each holder of common stock is entitled to one vote for each share on all matters submitted to a vote of the stockholders. The affirmative vote of holders of at least 66 2∕3% of the voting power of all of the then-outstanding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pStyle w:val="TextBody"/>
        <w:bidi w:val="0"/>
        <w:jc w:val="left"/>
        <w:rPr>
          <w:rFonts w:ascii="Times New Roman" w:hAnsi="Times New Roman"/>
          <w:b/>
          <w:i/>
          <w:color w:val="000000"/>
          <w:sz w:val="22"/>
        </w:rPr>
      </w:pPr>
      <w:r>
        <w:rPr>
          <w:rFonts w:ascii="Times New Roman" w:hAnsi="Times New Roman"/>
          <w:b/>
          <w:i/>
          <w:color w:val="000000"/>
          <w:sz w:val="22"/>
        </w:rPr>
        <w:t>Dividends</w:t>
      </w:r>
    </w:p>
    <w:p>
      <w:pPr>
        <w:pStyle w:val="TextBody"/>
        <w:bidi w:val="0"/>
        <w:jc w:val="left"/>
        <w:rPr>
          <w:rFonts w:ascii="Times New Roman" w:hAnsi="Times New Roman"/>
          <w:color w:val="000000"/>
          <w:sz w:val="22"/>
        </w:rPr>
      </w:pPr>
      <w:r>
        <w:rPr>
          <w:rFonts w:ascii="Times New Roman" w:hAnsi="Times New Roman"/>
          <w:color w:val="000000"/>
          <w:sz w:val="22"/>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pStyle w:val="TextBody"/>
        <w:bidi w:val="0"/>
        <w:jc w:val="left"/>
        <w:rPr>
          <w:rFonts w:ascii="Times New Roman" w:hAnsi="Times New Roman"/>
          <w:b/>
          <w:i/>
          <w:color w:val="000000"/>
          <w:sz w:val="22"/>
        </w:rPr>
      </w:pPr>
      <w:r>
        <w:rPr>
          <w:rFonts w:ascii="Times New Roman" w:hAnsi="Times New Roman"/>
          <w:b/>
          <w:i/>
          <w:color w:val="000000"/>
          <w:sz w:val="22"/>
        </w:rPr>
        <w:t>Liquidation</w:t>
      </w:r>
    </w:p>
    <w:p>
      <w:pPr>
        <w:pStyle w:val="TextBody"/>
        <w:bidi w:val="0"/>
        <w:jc w:val="left"/>
        <w:rPr>
          <w:rFonts w:ascii="Times New Roman" w:hAnsi="Times New Roman"/>
          <w:color w:val="000000"/>
          <w:sz w:val="22"/>
        </w:rPr>
      </w:pPr>
      <w:r>
        <w:rPr>
          <w:rFonts w:ascii="Times New Roman" w:hAnsi="Times New Roman"/>
          <w:color w:val="000000"/>
          <w:sz w:val="22"/>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jc w:val="left"/>
        <w:rPr>
          <w:rFonts w:ascii="Times New Roman" w:hAnsi="Times New Roman"/>
          <w:b/>
          <w:i/>
          <w:color w:val="000000"/>
          <w:sz w:val="22"/>
        </w:rPr>
      </w:pPr>
      <w:r>
        <w:rPr>
          <w:rFonts w:ascii="Times New Roman" w:hAnsi="Times New Roman"/>
          <w:b/>
          <w:i/>
          <w:color w:val="000000"/>
          <w:sz w:val="22"/>
        </w:rPr>
        <w:t>Rights and Preferences</w:t>
      </w:r>
    </w:p>
    <w:p>
      <w:pPr>
        <w:pStyle w:val="TextBody"/>
        <w:bidi w:val="0"/>
        <w:jc w:val="left"/>
        <w:rPr>
          <w:rFonts w:ascii="Times New Roman" w:hAnsi="Times New Roman"/>
          <w:color w:val="000000"/>
          <w:sz w:val="22"/>
        </w:rPr>
      </w:pPr>
      <w:r>
        <w:rPr>
          <w:rFonts w:ascii="Times New Roman" w:hAnsi="Times New Roman"/>
          <w:color w:val="000000"/>
          <w:sz w:val="22"/>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Preferred Stock</w:t>
      </w:r>
    </w:p>
    <w:p>
      <w:pPr>
        <w:pStyle w:val="TextBody"/>
        <w:bidi w:val="0"/>
        <w:spacing w:before="0" w:after="120"/>
        <w:jc w:val="left"/>
        <w:rPr>
          <w:rFonts w:ascii="Times New Roman" w:hAnsi="Times New Roman"/>
          <w:sz w:val="20"/>
        </w:rPr>
      </w:pPr>
      <w:r>
        <w:rPr>
          <w:rFonts w:ascii="Times New Roman" w:hAnsi="Times New Roman"/>
          <w:color w:val="000000"/>
          <w:sz w:val="22"/>
        </w:rPr>
        <w:t>Under the amended and restated certificate of incorporation, our board of directors have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jc w:val="left"/>
        <w:rPr>
          <w:rFonts w:ascii="Times New Roman" w:hAnsi="Times New Roman"/>
          <w:b/>
          <w:color w:val="000000"/>
          <w:sz w:val="22"/>
        </w:rPr>
      </w:pPr>
      <w:r>
        <w:rPr>
          <w:rFonts w:ascii="Times New Roman" w:hAnsi="Times New Roman"/>
          <w:b/>
          <w:color w:val="000000"/>
          <w:sz w:val="22"/>
        </w:rPr>
        <w:t>Common Stock Issuable Upon Exercise of Warrants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Pursuant to private placements completed in December 2023 and October 2024, we have issued the following warrants (collectively, the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6,221,094 pre-funded warrants to purchase one share of common stock (the “Pre-Funded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11,823,829 Series A warrants to purchase one share of common stock (the “Series A Warrants”);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11,823,829 Series B warrants to purchase one share of common stock (the “Series B Warrants”);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31,343,158 Series C warrants to purchase one share of common stock (the “Series C Warrants”).</w:t>
      </w:r>
    </w:p>
    <w:p>
      <w:pPr>
        <w:pStyle w:val="TextBody"/>
        <w:bidi w:val="0"/>
        <w:spacing w:before="240" w:after="120"/>
        <w:jc w:val="left"/>
        <w:rPr>
          <w:rFonts w:ascii="Times New Roman" w:hAnsi="Times New Roman"/>
          <w:b/>
          <w:i/>
          <w:color w:val="000000"/>
          <w:sz w:val="22"/>
        </w:rPr>
      </w:pPr>
      <w:r>
        <w:rPr>
          <w:rFonts w:ascii="Times New Roman" w:hAnsi="Times New Roman"/>
          <w:b/>
          <w:i/>
          <w:color w:val="000000"/>
          <w:sz w:val="22"/>
        </w:rPr>
        <w:t>General</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Fractional Shares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No fractional shares or scrip representing fractional shares shall be issued upon the exercise of any Warrant. As to any fraction of a share which a holder of a Warrant would otherwise be entitled to purchase upon such exercise, we shall, at our election, either pay a cash adjustment in respect of such final fraction in an amount equal to such fraction multiplied by the exercise price of such Warrant or round down to the next whole share.</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Exercise Limitations</w:t>
      </w:r>
    </w:p>
    <w:p>
      <w:pPr>
        <w:pStyle w:val="TextBody"/>
        <w:bidi w:val="0"/>
        <w:spacing w:before="0" w:after="120"/>
        <w:jc w:val="left"/>
        <w:rPr>
          <w:rFonts w:ascii="Times New Roman" w:hAnsi="Times New Roman"/>
          <w:sz w:val="20"/>
        </w:rPr>
      </w:pPr>
      <w:r>
        <w:rPr>
          <w:rFonts w:ascii="Times New Roman" w:hAnsi="Times New Roman"/>
          <w:color w:val="000000"/>
          <w:sz w:val="22"/>
        </w:rPr>
        <w:t>Under the terms of the Warrants, we may not give effect to the exercise of any such Warrant, and a holder will not be entitled to exercise any portion of any such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Securities Exchange Act of 1934, as amended, or the Exchange Act, would exceed 4.99% of the number of shares of common stock outstanding immediately after giving effect to such exercise, which percentage may be increased or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decreased at the holder’s election upon notice to us, up to 19.99% upon at least 61 days’ prior notice from the holder to us.</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Transferability</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Subject to applicable laws, the Warrants may be offered for sale, sold, transferred or assigned without our consent.</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Exchange Listing</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There is no established trading market for the Warrants, and we do not expect a market to develop. We do not intend to apply for the listing of Warrants on the Nasdaq Stock Market, any other national securities exchange or any other nationally recognized trading system.</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No Rights as a Stockholder</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Except by virtue of such holder’s ownership of shares of our common stock, the holder of a Warrant does not have the rights or privileges of a holder of our common stock, including any voting rights, until such holder exercises the Warrant.</w:t>
      </w:r>
    </w:p>
    <w:p>
      <w:pPr>
        <w:pStyle w:val="TextBody"/>
        <w:bidi w:val="0"/>
        <w:spacing w:before="0" w:after="120"/>
        <w:jc w:val="left"/>
        <w:rPr>
          <w:rFonts w:ascii="Times New Roman" w:hAnsi="Times New Roman"/>
          <w:b/>
          <w:i/>
          <w:color w:val="000000"/>
          <w:sz w:val="22"/>
        </w:rPr>
      </w:pPr>
      <w:r>
        <w:rPr>
          <w:rFonts w:ascii="Times New Roman" w:hAnsi="Times New Roman"/>
          <w:b/>
          <w:i/>
          <w:color w:val="000000"/>
          <w:sz w:val="22"/>
        </w:rPr>
        <w:t>Pre-Funded Warrants</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Exercise Price</w:t>
      </w:r>
    </w:p>
    <w:p>
      <w:pPr>
        <w:pStyle w:val="TextBody"/>
        <w:bidi w:val="0"/>
        <w:spacing w:before="0" w:after="120"/>
        <w:jc w:val="left"/>
        <w:rPr>
          <w:rFonts w:ascii="Times New Roman" w:hAnsi="Times New Roman"/>
          <w:sz w:val="20"/>
        </w:rPr>
      </w:pPr>
      <w:r>
        <w:rPr>
          <w:rFonts w:ascii="Times New Roman" w:hAnsi="Times New Roman"/>
          <w:color w:val="000000"/>
          <w:sz w:val="22"/>
        </w:rPr>
        <w:t>Each Pre-Funded Warrant has an exercise price of $0.0001 per share. In lieu of making the cash payment otherwise contemplated to be made to the Company upon exercise of a Pre-Funded Warrant in payment of the aggregate exercise price, the holder may elect instead to receive upon such exercise (either in whole or in part) the net number of shares of common stock determined according to a formula set forth in the Pre-Funded Warrants.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Term</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Each Pre-Funded Warrant is exercisable immediately and is exercisable until the Pre-Funded Warrant is exercised in full.</w:t>
      </w:r>
    </w:p>
    <w:p>
      <w:pPr>
        <w:pStyle w:val="TextBody"/>
        <w:bidi w:val="0"/>
        <w:spacing w:before="0" w:after="120"/>
        <w:jc w:val="left"/>
        <w:rPr>
          <w:rFonts w:ascii="Times New Roman" w:hAnsi="Times New Roman"/>
          <w:sz w:val="20"/>
        </w:rPr>
      </w:pPr>
      <w:r>
        <w:rPr>
          <w:rFonts w:ascii="Times New Roman" w:hAnsi="Times New Roman"/>
          <w:i/>
          <w:color w:val="000000"/>
          <w:sz w:val="22"/>
        </w:rPr>
        <w:t>Fundamental Transactions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Upon the consummation of a fundamental transaction (as described in the Pre-Funded Warrants, and generally including the sale, transfer or other disposition of all or substantially all of our properties or assets, our consolidation or merger with or into another person, the acquisition of more than 50% of our outstanding common stock, any person or group becoming the beneficial owner of 50% of the voting power of our outstanding common stock or any reorganization, recapitalization or reclassification of our common stock), the holders of the Pre-Funded Warrants will be entitled to receive, for each share of common stock that would have been issuable upon exercise of a Pre-Funded Warrant immediately prior to the occurrence of such fundamental transaction, at the option of the holder of such Pre-Funded Warrant,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such Pre-Funded Warrant was exercisable immediately prior to such fundamental transaction.</w:t>
      </w:r>
    </w:p>
    <w:p>
      <w:pPr>
        <w:pStyle w:val="TextBody"/>
        <w:bidi w:val="0"/>
        <w:spacing w:before="0" w:after="120"/>
        <w:jc w:val="left"/>
        <w:rPr>
          <w:rFonts w:ascii="Times New Roman" w:hAnsi="Times New Roman"/>
          <w:b/>
          <w:i/>
          <w:color w:val="000000"/>
          <w:sz w:val="22"/>
        </w:rPr>
      </w:pPr>
      <w:r>
        <w:rPr>
          <w:rFonts w:ascii="Times New Roman" w:hAnsi="Times New Roman"/>
          <w:b/>
          <w:i/>
          <w:color w:val="000000"/>
          <w:sz w:val="22"/>
        </w:rPr>
        <w:t>Series A Warrants</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Exercise Price</w:t>
      </w:r>
    </w:p>
    <w:p>
      <w:pPr>
        <w:pStyle w:val="TextBody"/>
        <w:bidi w:val="0"/>
        <w:spacing w:before="0" w:after="120"/>
        <w:jc w:val="left"/>
        <w:rPr>
          <w:rFonts w:ascii="Times New Roman" w:hAnsi="Times New Roman"/>
          <w:sz w:val="20"/>
        </w:rPr>
      </w:pPr>
      <w:r>
        <w:rPr>
          <w:rFonts w:ascii="Times New Roman" w:hAnsi="Times New Roman"/>
          <w:color w:val="000000"/>
          <w:sz w:val="22"/>
        </w:rPr>
        <w:t>Each Series A Warrant was issued with an exercise price of $1.25 per share. On October 4, 2024, we amended certain of our outstanding Series A Warrants (the “Amended Series A Warrants”), representing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22"/>
        </w:rPr>
        <w:t>approximately 11,734,076 shares of our common stock, to, among other things, reduce the exercise price from $1.25 to $0.45 per share.</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Mandatory Exercise</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We have the option to cause the Series A Warrants to be exercised at a strike price of $1.25 per share upon our public announcement of INB-100 clinical data for the ten currently enrolled patients, should they remain alive and evaluable, covering a period of at least 11 months, along with certain stock price and trading volume requirements.</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Term</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Series A Warrants are exercisable immediately and were initially issued with a termination date of June 13, 2025. On October 4, 2024, the termination date of the Amended Series A Warrants was extended to October 4, 2025.</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Fundamental Transactions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Upon the consummation of a fundamental transaction (as described in the Series A Warrants, and generally including the sale, transfer or other disposition of all or substantially all of our properties or assets, our consolidation or merger with or into another person, the acquisition of more than 50% of our outstanding common stock, any person or group becoming the beneficial owner of 50% of the voting power of our outstanding common stock or any reorganization, recapitalization or reclassification of our common stock), the holders of the Series A Warrants will be entitled to receive, for each share of common stock that would have been issuable upon exercise of a Series A Warrants immediately prior to the occurrence of such fundamental transaction, at the option of the holder of such Series A Warrant,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such Series A Warrant was exercisable immediately prior to such fundamental transaction. Notwithstanding anything to the contrary, in the event of a fundamental transaction, the holder of a Series A Warrant may require the Company to repurchase such Series A Warrant at a price equal to the Black Scholes Value (as defined in the Series A Warrant) of the remaining unexercised portion of the Series A Warrant, within 30 days after the consummation of the fundamental transaction.</w:t>
      </w:r>
    </w:p>
    <w:p>
      <w:pPr>
        <w:pStyle w:val="TextBody"/>
        <w:bidi w:val="0"/>
        <w:spacing w:before="0" w:after="120"/>
        <w:jc w:val="left"/>
        <w:rPr>
          <w:rFonts w:ascii="Times New Roman" w:hAnsi="Times New Roman"/>
          <w:b/>
          <w:i/>
          <w:color w:val="000000"/>
          <w:sz w:val="22"/>
        </w:rPr>
      </w:pPr>
      <w:r>
        <w:rPr>
          <w:rFonts w:ascii="Times New Roman" w:hAnsi="Times New Roman"/>
          <w:b/>
          <w:i/>
          <w:color w:val="000000"/>
          <w:sz w:val="22"/>
        </w:rPr>
        <w:t>Series B Warrants</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Exercise Price</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Each Series B Warrant has an exercise price of $1.50 per share.</w:t>
      </w:r>
    </w:p>
    <w:p>
      <w:pPr>
        <w:pStyle w:val="TextBody"/>
        <w:bidi w:val="0"/>
        <w:spacing w:before="0" w:after="120"/>
        <w:jc w:val="left"/>
        <w:rPr>
          <w:rFonts w:ascii="Times New Roman" w:hAnsi="Times New Roman"/>
          <w:sz w:val="20"/>
        </w:rPr>
      </w:pPr>
      <w:r>
        <w:rPr>
          <w:rFonts w:ascii="Times New Roman" w:hAnsi="Times New Roman"/>
          <w:i/>
          <w:color w:val="000000"/>
          <w:sz w:val="22"/>
        </w:rPr>
        <w:t>Redemption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2"/>
        </w:rPr>
        <w:t>The Series B Warrants allow us to redeem such warrants at a price of $0.01 per Series B Warrant upon our public announcement of its INB-100 data for all enrolled patients covering a period of at least 22 months, along with certain stock price and trading volume requirements. Holders of Class B Warrants may choose to exercise such warrants at a purchase price of $1.50 per share prior to such redemption.</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Term</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Series B Warrants are exercisable immediately and will expire on December 13, 2028.</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Fundamental Transactions</w:t>
      </w:r>
    </w:p>
    <w:p>
      <w:pPr>
        <w:pStyle w:val="TextBody"/>
        <w:bidi w:val="0"/>
        <w:spacing w:before="0" w:after="120"/>
        <w:jc w:val="left"/>
        <w:rPr>
          <w:rFonts w:ascii="Times New Roman" w:hAnsi="Times New Roman"/>
          <w:sz w:val="20"/>
        </w:rPr>
      </w:pPr>
      <w:r>
        <w:rPr>
          <w:rFonts w:ascii="Times New Roman" w:hAnsi="Times New Roman"/>
          <w:color w:val="000000"/>
          <w:sz w:val="22"/>
        </w:rPr>
        <w:t>Upon the consummation of a fundamental transaction (as described in the Series B Warrants, and generally including the sale, transfer or other disposition of all or substantially all of our properties or assets, our consolidation or merger with or into another person, the acquisition of more than 50% of our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outstanding common stock, any person or group becoming the beneficial owner of 50% of the voting power of our outstanding common stock or any reorganization, recapitalization or reclassification of our common stock), the holders of the Series B Warrants will be entitled to receive, for each share of common stock that would have been issuable upon exercise of a Series B Warrants immediately prior to the occurrence of such fundamental transaction, at the option of the holder of such Series B Warrant,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such Series B Warrant was exercisable immediately prior to such fundamental transaction. Notwithstanding anything to the contrary, in the event of a fundamental transaction, the holder of a Series B Warrant may require the Company to repurchase such Series B Warrant at a price equal to the Black Scholes Value (as defined in the Series B Warrant) of the remaining unexercised portion of the Series B Warrant, within 30 days after the consummation of the fundamental transaction.</w:t>
      </w:r>
    </w:p>
    <w:p>
      <w:pPr>
        <w:pStyle w:val="TextBody"/>
        <w:bidi w:val="0"/>
        <w:spacing w:before="0" w:after="120"/>
        <w:jc w:val="left"/>
        <w:rPr>
          <w:rFonts w:ascii="Times New Roman" w:hAnsi="Times New Roman"/>
          <w:b/>
          <w:i/>
          <w:color w:val="000000"/>
          <w:sz w:val="22"/>
        </w:rPr>
      </w:pPr>
      <w:r>
        <w:rPr>
          <w:rFonts w:ascii="Times New Roman" w:hAnsi="Times New Roman"/>
          <w:b/>
          <w:i/>
          <w:color w:val="000000"/>
          <w:sz w:val="22"/>
        </w:rPr>
        <w:t>Series C Warrants</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Exercise Price</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Each Series C Warrant has an exercise price of $0.27 per share.</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Term</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Series C Warrants are exercisable immediately and will expire on October 4, 2027.</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Fundamental Transactions</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Upon the consummation of a fundamental transaction (as described in the Series C Warrants, and generally including the sale, transfer or other disposition of all or substantially all of our properties or assets, our consolidation or merger with or into another person, the acquisition of more than 50% of our outstanding common stock, any person or group becoming the beneficial owner of 50% of the voting power of our outstanding common stock or any reorganization, recapitalization or reclassification of our common stock), the holders of the Series C Warrants will be entitled to receive, for each share of common stock that would have been issuable upon exercise of a Series C Warrants immediately prior to the occurrence of such fundamental transaction, at the option of the holder of such Series C Warrant,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such Series C Warrant was exercisable immediately prior to such fundamental transaction. Notwithstanding anything to the contrary, in the event of a fundamental transaction, the holder of a Series C Warrant may require the Company to repurchase such Series C Warrant at a price equal to the Black Scholes Value (as defined in the Series C Warrant) of the remaining unexercised portion of the Series C Warrant, within 30 days after the consummation of the fundamental transaction.</w:t>
      </w:r>
    </w:p>
    <w:p>
      <w:pPr>
        <w:pStyle w:val="TextBody"/>
        <w:bidi w:val="0"/>
        <w:jc w:val="left"/>
        <w:rPr>
          <w:rFonts w:ascii="Times New Roman" w:hAnsi="Times New Roman"/>
          <w:b/>
          <w:color w:val="000000"/>
          <w:sz w:val="22"/>
        </w:rPr>
      </w:pPr>
      <w:r>
        <w:rPr>
          <w:rFonts w:ascii="Times New Roman" w:hAnsi="Times New Roman"/>
          <w:b/>
          <w:color w:val="000000"/>
          <w:sz w:val="22"/>
        </w:rPr>
        <w:t>Anti-takeover provisions</w:t>
      </w:r>
    </w:p>
    <w:p>
      <w:pPr>
        <w:pStyle w:val="TextBody"/>
        <w:bidi w:val="0"/>
        <w:jc w:val="left"/>
        <w:rPr>
          <w:rFonts w:ascii="Times New Roman" w:hAnsi="Times New Roman"/>
          <w:b/>
          <w:i/>
          <w:color w:val="000000"/>
          <w:sz w:val="22"/>
        </w:rPr>
      </w:pPr>
      <w:r>
        <w:rPr>
          <w:rFonts w:ascii="Times New Roman" w:hAnsi="Times New Roman"/>
          <w:b/>
          <w:i/>
          <w:color w:val="000000"/>
          <w:sz w:val="22"/>
        </w:rPr>
        <w:t>Certificate of Incorporation and Bylaws</w:t>
      </w:r>
    </w:p>
    <w:p>
      <w:pPr>
        <w:pStyle w:val="TextBody"/>
        <w:bidi w:val="0"/>
        <w:spacing w:before="0" w:after="120"/>
        <w:jc w:val="left"/>
        <w:rPr>
          <w:rFonts w:ascii="Times New Roman" w:hAnsi="Times New Roman"/>
          <w:sz w:val="20"/>
        </w:rPr>
      </w:pPr>
      <w:r>
        <w:rPr>
          <w:rFonts w:ascii="Times New Roman" w:hAnsi="Times New Roman"/>
          <w:color w:val="000000"/>
          <w:sz w:val="22"/>
        </w:rPr>
        <w:t>Among other things, our amended and restated certificate of incorporation and amended and restated bylaws: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permit our board of directors to issue up to 10,000,000 shares of preferred stock, with any rights, preferences and privileges as they may designate, including the right to approve an acquisition or other change in control;​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provide that the authorized number of directors may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provide that our board of directors is classified into three classes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provide that all vacancies, including newly created directorships, may, except as otherwise required by law, be filled by the affirmative vote of a majority of directors then in office, even if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require that any action to be taken by our stockholders must be effected at a duly called annual or special meeting of stockholders and not be taken by written consent or electronic transmission;​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provide that special meetings of our stockholders may be called only by the chairman of our board of directors, our chief executive officer or president or by our board of directors pursuant to a resolution adopted by a majority of the total number of authorized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not provide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before="240" w:after="283"/>
        <w:jc w:val="left"/>
        <w:rPr/>
      </w:pPr>
      <w:r>
        <w:rPr>
          <w:color w:val="000000"/>
        </w:rPr>
        <w:t xml:space="preserve">​ </w:t>
      </w:r>
      <w:r>
        <w:rPr>
          <w:rFonts w:ascii="Times New Roman" w:hAnsi="Times New Roman"/>
          <w:color w:val="000000"/>
          <w:sz w:val="22"/>
        </w:rPr>
        <w:t>The amendment of any of these provisions would require approval by the holders of at least 66 2∕3% of the voting power of all of our then-outstanding common stock entitled to vote generally in the election of directors, voting together as a single class.</w:t>
      </w:r>
    </w:p>
    <w:p>
      <w:pPr>
        <w:pStyle w:val="TextBody"/>
        <w:bidi w:val="0"/>
        <w:jc w:val="left"/>
        <w:rPr>
          <w:rFonts w:ascii="Times New Roman" w:hAnsi="Times New Roman"/>
          <w:color w:val="000000"/>
          <w:sz w:val="22"/>
        </w:rPr>
      </w:pPr>
      <w:r>
        <w:rPr>
          <w:rFonts w:ascii="Times New Roman" w:hAnsi="Times New Roman"/>
          <w:color w:val="000000"/>
          <w:sz w:val="22"/>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jc w:val="left"/>
        <w:rPr>
          <w:rFonts w:ascii="Times New Roman" w:hAnsi="Times New Roman"/>
          <w:sz w:val="20"/>
        </w:rPr>
      </w:pPr>
      <w:r>
        <w:rPr>
          <w:rFonts w:ascii="Times New Roman" w:hAnsi="Times New Roman"/>
          <w:color w:val="000000"/>
          <w:sz w:val="22"/>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company, outweigh the disadvantages of discouraging takeover proposals, because negotiation of takeover proposals could result in an improvement of their terms.</w:t>
      </w:r>
    </w:p>
    <w:p>
      <w:pPr>
        <w:pStyle w:val="TextBody"/>
        <w:bidi w:val="0"/>
        <w:jc w:val="left"/>
        <w:rPr>
          <w:rFonts w:ascii="Times New Roman" w:hAnsi="Times New Roman"/>
          <w:b/>
          <w:i/>
          <w:color w:val="000000"/>
          <w:sz w:val="22"/>
        </w:rPr>
      </w:pPr>
      <w:r>
        <w:rPr>
          <w:rFonts w:ascii="Times New Roman" w:hAnsi="Times New Roman"/>
          <w:b/>
          <w:i/>
          <w:color w:val="000000"/>
          <w:sz w:val="22"/>
        </w:rPr>
        <w:t>Section 203 of the Delaware General Corporation Law</w:t>
      </w:r>
    </w:p>
    <w:p>
      <w:pPr>
        <w:pStyle w:val="TextBody"/>
        <w:bidi w:val="0"/>
        <w:jc w:val="left"/>
        <w:rPr>
          <w:rFonts w:ascii="Times New Roman" w:hAnsi="Times New Roman"/>
          <w:sz w:val="20"/>
        </w:rPr>
      </w:pPr>
      <w:r>
        <w:rPr>
          <w:rFonts w:ascii="Times New Roman" w:hAnsi="Times New Roman"/>
          <w:color w:val="000000"/>
          <w:sz w:val="22"/>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before such date, the board of directors of the corporation approved either the business combination or the transaction that resulted in the stockholder becoming an interested stockholder;​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pStyle w:val="TextBody"/>
        <w:bidi w:val="0"/>
        <w:jc w:val="left"/>
        <w:rPr>
          <w:rFonts w:ascii="Times New Roman" w:hAnsi="Times New Roman"/>
          <w:color w:val="000000"/>
          <w:sz w:val="22"/>
        </w:rPr>
      </w:pPr>
      <w:r>
        <w:rPr>
          <w:rFonts w:ascii="Times New Roman" w:hAnsi="Times New Roman"/>
          <w:color w:val="000000"/>
          <w:sz w:val="22"/>
        </w:rPr>
        <w:t>In general, Section 203 defines a “business combination” to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merger or consolidation involving the corporation and the interested stockholder;​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sale, transfer, pledge or other disposition of 10% or more of the assets of the corporation involving the interested stockholder;​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subject to certain exceptions, any transaction that results in the issuance or transfer by the corporation of any stock of the corporation to the interested stockholder;​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transaction involving the corporation that has the effect of increasing the proportionate share of the stock or any class or series of the corporation beneficially owned by the interested stockholder;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receipt by the interested stockholder of the benefit of any loans, advances, guarantees, pledges or other financial benefits by or through the corporation.</w:t>
      </w:r>
    </w:p>
    <w:p>
      <w:pPr>
        <w:pStyle w:val="TextBody"/>
        <w:bidi w:val="0"/>
        <w:jc w:val="left"/>
        <w:rPr>
          <w:rFonts w:ascii="Times New Roman" w:hAnsi="Times New Roman"/>
          <w:color w:val="000000"/>
          <w:sz w:val="22"/>
        </w:rPr>
      </w:pPr>
      <w:r>
        <w:rPr>
          <w:rFonts w:ascii="Times New Roman" w:hAnsi="Times New Roman"/>
          <w:color w:val="000000"/>
          <w:sz w:val="22"/>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jc w:val="left"/>
        <w:rPr>
          <w:rFonts w:ascii="Times New Roman" w:hAnsi="Times New Roman"/>
          <w:color w:val="000000"/>
          <w:sz w:val="22"/>
        </w:rPr>
      </w:pPr>
      <w:r>
        <w:rPr>
          <w:rFonts w:ascii="Times New Roman" w:hAnsi="Times New Roman"/>
          <w:color w:val="000000"/>
          <w:sz w:val="22"/>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pStyle w:val="TextBody"/>
        <w:bidi w:val="0"/>
        <w:jc w:val="left"/>
        <w:rPr>
          <w:rFonts w:ascii="Times New Roman" w:hAnsi="Times New Roman"/>
          <w:b/>
          <w:i/>
          <w:color w:val="000000"/>
          <w:sz w:val="22"/>
        </w:rPr>
      </w:pPr>
      <w:r>
        <w:rPr>
          <w:rFonts w:ascii="Times New Roman" w:hAnsi="Times New Roman"/>
          <w:b/>
          <w:i/>
          <w:color w:val="000000"/>
          <w:sz w:val="22"/>
        </w:rPr>
        <w:t>Choice of Forum</w:t>
      </w:r>
    </w:p>
    <w:p>
      <w:pPr>
        <w:pStyle w:val="TextBody"/>
        <w:bidi w:val="0"/>
        <w:jc w:val="left"/>
        <w:rPr>
          <w:rFonts w:ascii="Times New Roman" w:hAnsi="Times New Roman"/>
          <w:color w:val="000000"/>
          <w:sz w:val="22"/>
        </w:rPr>
      </w:pPr>
      <w:r>
        <w:rPr>
          <w:rFonts w:ascii="Times New Roman" w:hAnsi="Times New Roman"/>
          <w:color w:val="000000"/>
          <w:sz w:val="22"/>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brought under Delaware statutory or common law: (1) any derivative claim or action brought on our behalf; (2) any claim or cause of action asserting a breach of fiduciary duty by any of our current or former director, officer or other employee; (3) any claim or cause of action asserting a claim against us arising out of, or pursuant to,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(including any right, obligation, or remedy thereunder); (5) any claim or cause of action as to which the DGCL confers jurisdiction to the Court of Chancery of the State of Delaware; or (6) any claim or cause of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The aforementioned provision will not apply to claims or causes of action brought to enforce a duty or liability created by the Securities Act, the Exchange Act or any other claim for which the federal courts have exclusive jurisdiction.</w:t>
      </w:r>
    </w:p>
    <w:p>
      <w:pPr>
        <w:pStyle w:val="TextBody"/>
        <w:bidi w:val="0"/>
        <w:jc w:val="left"/>
        <w:rPr>
          <w:rFonts w:ascii="Times New Roman" w:hAnsi="Times New Roman"/>
          <w:color w:val="000000"/>
          <w:sz w:val="22"/>
        </w:rPr>
      </w:pPr>
      <w:r>
        <w:rPr>
          <w:rFonts w:ascii="Times New Roman" w:hAnsi="Times New Roman"/>
          <w:color w:val="000000"/>
          <w:sz w:val="22"/>
        </w:rPr>
        <w:t>In addition, our amended and restated certificate of incorporation provides that, unless we consent writing to the selection of an alternative forum, the federal district courts of the United States of America will be the exclusive forum, to the fullest extent permitted by law,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jc w:val="left"/>
        <w:rPr>
          <w:rFonts w:ascii="Times New Roman" w:hAnsi="Times New Roman"/>
          <w:color w:val="000000"/>
          <w:sz w:val="22"/>
        </w:rPr>
      </w:pPr>
      <w:r>
        <w:rPr>
          <w:rFonts w:ascii="Times New Roman" w:hAnsi="Times New Roman"/>
          <w:color w:val="000000"/>
          <w:sz w:val="22"/>
        </w:rPr>
        <w:t>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amended and restated certificate of incorporation to be inapplicable or unenforceable.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41" w:name="inab-ex10_9.htm"/>
      <w:bookmarkStart w:id="42" w:name="ksinabex10_9"/>
      <w:bookmarkEnd w:id="41"/>
      <w:bookmarkEnd w:id="42"/>
      <w:r>
        <w:rPr>
          <w:rFonts w:ascii="Times New Roman" w:hAnsi="Times New Roman"/>
          <w:b/>
          <w:caps/>
          <w:color w:val="000000"/>
          <w:sz w:val="22"/>
        </w:rPr>
        <w:t>Exhibit</w:t>
      </w:r>
      <w:r>
        <w:rPr>
          <w:rFonts w:ascii="Times New Roman" w:hAnsi="Times New Roman"/>
          <w:color w:val="000000"/>
          <w:sz w:val="20"/>
        </w:rPr>
        <w:t xml:space="preserve"> </w:t>
      </w:r>
      <w:r>
        <w:rPr>
          <w:rFonts w:ascii="Times New Roman" w:hAnsi="Times New Roman"/>
          <w:b/>
          <w:color w:val="000000"/>
          <w:sz w:val="22"/>
        </w:rPr>
        <w:t>10.9</w:t>
      </w:r>
      <w:r>
        <w:br w:type="page"/>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IN8BIO, Inc.</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Policy</w:t>
      </w:r>
    </w:p>
    <w:p>
      <w:pPr>
        <w:pStyle w:val="TextBody"/>
        <w:pBdr>
          <w:bottom w:val="single" w:sz="4" w:space="9" w:color="000000"/>
        </w:pBdr>
        <w:bidi w:val="0"/>
        <w:spacing w:before="0" w:after="240"/>
        <w:jc w:val="left"/>
        <w:rPr/>
      </w:pPr>
      <w:r>
        <w:rPr/>
        <w:t> </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IN8bio,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color w:val="000000"/>
          <w:sz w:val="22"/>
        </w:rPr>
        <w:t>) will be eligible to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for his or her Board service. Unless otherwise defined herein, capitalized terms used in this Policy will have the meaning given to such terms in the Company’s 2020 Equity Incentive Plan or any successor equity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Policy may be amended at any time in the sole discretion of the Board or the Compensation Committee of the Board.</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Each Non-Employee Director will be entitled to receive the following annual cash retainers for service on the Board: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Annual Board Service Retainer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All Non-Employee Directors: $35,000</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2"/>
        </w:rPr>
        <w:t xml:space="preserve">Non-Executive Chairperson </w:t>
      </w:r>
      <w:r>
        <w:rPr>
          <w:rFonts w:ascii="Times New Roman" w:hAnsi="Times New Roman"/>
          <w:i/>
          <w:color w:val="000000"/>
          <w:sz w:val="22"/>
        </w:rPr>
        <w:t>(additional retainer)</w:t>
      </w:r>
      <w:r>
        <w:rPr>
          <w:rFonts w:ascii="Times New Roman" w:hAnsi="Times New Roman"/>
          <w:color w:val="000000"/>
          <w:sz w:val="22"/>
        </w:rPr>
        <w:t>: $65,000</w:t>
      </w:r>
      <w:r>
        <w:rPr>
          <w:color w:val="00000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Annual Committee Member Service Retainer</w:t>
      </w:r>
      <w:r>
        <w:rPr>
          <w:rFonts w:ascii="Times New Roman" w:hAnsi="Times New Roman"/>
          <w:color w:val="000000"/>
          <w:sz w:val="22"/>
        </w:rPr>
        <w: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Audit Committee: $7,500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Compensation Committee: $5,000</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Member of the Nominating and Corporate Governance Committee: $4,000</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2"/>
        </w:rPr>
        <w:t xml:space="preserve">Annual Committee Chair Service Retainer </w:t>
      </w:r>
      <w:r>
        <w:rPr>
          <w:rFonts w:ascii="Times New Roman" w:hAnsi="Times New Roman"/>
          <w:b/>
          <w:i/>
          <w:color w:val="000000"/>
          <w:sz w:val="22"/>
        </w:rPr>
        <w:t>(in lieu of Committee Member</w:t>
      </w:r>
      <w:r>
        <w:rPr>
          <w:rFonts w:ascii="Times New Roman" w:hAnsi="Times New Roman"/>
          <w:color w:val="000000"/>
          <w:sz w:val="20"/>
        </w:rPr>
        <w:t xml:space="preserve"> </w:t>
      </w:r>
      <w:r>
        <w:rPr>
          <w:rFonts w:ascii="Times New Roman" w:hAnsi="Times New Roman"/>
          <w:b/>
          <w:i/>
          <w:color w:val="000000"/>
          <w:sz w:val="22"/>
        </w:rPr>
        <w:t>Service Retainer)</w:t>
      </w:r>
      <w:r>
        <w:rPr>
          <w:rFonts w:ascii="Times New Roman" w:hAnsi="Times New Roman"/>
          <w:color w:val="000000"/>
          <w:sz w:val="22"/>
        </w:rPr>
        <w: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Audit Committee: $22,500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Compensation Committee: $15,000</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Chairperson of the Nominating and Corporate Governance Committee: $12,000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annual cash retainers set forth above will be payable in equal quarterly installments, payable in arrears on the last day of each fiscal quarter (each such date, a “</w:t>
      </w:r>
      <w:r>
        <w:rPr>
          <w:rFonts w:ascii="Times New Roman" w:hAnsi="Times New Roman"/>
          <w:b/>
          <w:i/>
          <w:color w:val="000000"/>
          <w:sz w:val="22"/>
        </w:rPr>
        <w:t>Retainer Accrual Date</w:t>
      </w:r>
      <w:r>
        <w:rPr>
          <w:rFonts w:ascii="Times New Roman" w:hAnsi="Times New Roman"/>
          <w:color w:val="000000"/>
          <w:sz w:val="20"/>
        </w:rPr>
        <w:t>”</w:t>
      </w:r>
      <w:r>
        <w:rPr>
          <w:rFonts w:ascii="Times New Roman" w:hAnsi="Times New Roman"/>
          <w:color w:val="000000"/>
          <w:sz w:val="22"/>
        </w:rPr>
        <w:t>) in which the service occurred, prorated for any partial quarter of service (based on the number of days served in the applicable position divided by the total number of days in the quarter). All annual cash fees are vested upon payment.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Election to Receive Shares of Common Stock in Lieu of Cash Retainer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both"/>
        <w:rPr/>
      </w:pPr>
      <w:r>
        <w:rPr>
          <w:rFonts w:ascii="Times New Roman" w:hAnsi="Times New Roman"/>
          <w:b/>
          <w:color w:val="000000"/>
          <w:sz w:val="22"/>
        </w:rPr>
        <w:t>Retainer Grant</w:t>
      </w:r>
      <w:r>
        <w:rPr>
          <w:rFonts w:ascii="Times New Roman" w:hAnsi="Times New Roman"/>
          <w:color w:val="000000"/>
          <w:sz w:val="22"/>
        </w:rPr>
        <w:t>. Each Non-Employee Director may elect to convert all of his or her cash compensation under Section I for the first calendar quarter that commences after December 31, 2021 and for any subsequent calendar quarter into an RSU Award (each, a “</w:t>
      </w:r>
      <w:r>
        <w:rPr>
          <w:rFonts w:ascii="Times New Roman" w:hAnsi="Times New Roman"/>
          <w:b/>
          <w:i/>
          <w:color w:val="000000"/>
          <w:sz w:val="22"/>
        </w:rPr>
        <w:t xml:space="preserve">Retainer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b/>
          <w:i/>
          <w:color w:val="000000"/>
          <w:sz w:val="22"/>
        </w:rPr>
        <w:t>Grant</w:t>
      </w:r>
      <w:r>
        <w:rPr>
          <w:color w:val="000000"/>
        </w:rPr>
        <w:t>”</w:t>
      </w:r>
      <w:r>
        <w:rPr>
          <w:rFonts w:ascii="Times New Roman" w:hAnsi="Times New Roman"/>
          <w:color w:val="000000"/>
          <w:sz w:val="22"/>
        </w:rPr>
        <w:t>) in accordance with this Section II(A) (such election, a “</w:t>
      </w:r>
      <w:r>
        <w:rPr>
          <w:rFonts w:ascii="Times New Roman" w:hAnsi="Times New Roman"/>
          <w:b/>
          <w:i/>
          <w:color w:val="000000"/>
          <w:sz w:val="22"/>
        </w:rPr>
        <w:t>Retainer Grant Election</w:t>
      </w:r>
      <w:r>
        <w:rPr>
          <w:color w:val="000000"/>
        </w:rPr>
        <w:t>”</w:t>
      </w:r>
      <w:r>
        <w:rPr>
          <w:rFonts w:ascii="Times New Roman" w:hAnsi="Times New Roman"/>
          <w:color w:val="000000"/>
          <w:sz w:val="22"/>
        </w:rPr>
        <w:t>). If a Non-Employee Director timely makes a Retainer Grant Election pursuant to Section II(B) below, then on the first business day following the applicable Retainer Accrual Date to which the Retainer Grant Election applies, and without any further action by the Board or designated committee of the Board, such Non-Employee Director automatically will be granted an RSU Award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Each Retainer Grant will be fully vested on the applicable grant date.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Election Mechanics</w:t>
      </w:r>
      <w:r>
        <w:rPr>
          <w:rFonts w:ascii="Times New Roman" w:hAnsi="Times New Roman"/>
          <w:color w:val="000000"/>
          <w:sz w:val="22"/>
        </w:rPr>
        <w:t xml:space="preserve">. Each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make a Retainer Grant Election during a period in which the Company is not in a quarterly or special blackout period and the Non-Employee Director is not aware of any material non-public information. Once a Retainer Grant Election is properly submitted, it will be in effect for the next Retainer Accrual Date and will remain in effect for successive Retainer Accrual Dates unless and until the Eligible Director revokes it in accordance with Section II(C) below. A Non-Employee Director who fails to make a timely Retainer Grant Election will not receive a Retainer Grant and instead will receive the cash compensation set forth under Section I.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pPr>
      <w:r>
        <w:rPr>
          <w:rFonts w:ascii="Times New Roman" w:hAnsi="Times New Roman"/>
          <w:b/>
          <w:color w:val="000000"/>
          <w:sz w:val="22"/>
        </w:rPr>
        <w:t>Revocation Mechanics</w:t>
      </w:r>
      <w:r>
        <w:rPr>
          <w:rFonts w:ascii="Times New Roman" w:hAnsi="Times New Roman"/>
          <w:color w:val="000000"/>
          <w:sz w:val="22"/>
        </w:rPr>
        <w:t>. The revocation of any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revoke a Retainer Grant Election during a period in which the Company is not in a quarterly or special blackout period and the Non-Employee Director is not aware of any material non-public information. Once the revocation of the Retainer Grant Election is properly submitted, it will be in effect for the next Retainer Accrual Date and will remain in effect for successive Retainer Accrual Dates unless and until the Non-Employee Director makes a new Retainer Grant Election in accordance with Section (II)(B).</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Equity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All stock options granted under this Policy will be nonstatutory stock options, with an exercise price per share equal to 100% of the Fair Market Value (as defined in the Plan) of the underlying common stock on the date of grant, and a term of 10 years from the date of grant (subject to earlier termination in connection with a termination of service as provided in the Plan), and will be automatic and nondiscretionary (without the need for any additional corporate action by the Board or designated committee of the Board) and will be made in accordance with the following provisions: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jc w:val="both"/>
        <w:rPr/>
      </w:pPr>
      <w:r>
        <w:rPr>
          <w:rFonts w:ascii="Times New Roman" w:hAnsi="Times New Roman"/>
          <w:b/>
          <w:color w:val="000000"/>
          <w:sz w:val="22"/>
        </w:rPr>
        <w:t>Initial Grant</w:t>
      </w:r>
      <w:r>
        <w:rPr>
          <w:rFonts w:ascii="Times New Roman" w:hAnsi="Times New Roman"/>
          <w:color w:val="000000"/>
          <w:sz w:val="22"/>
        </w:rPr>
        <w:t xml:space="preserve">. For each Non-Employee Director who is first elected or appointed to the Board, on the date of such Non-Employee Director’s initial election or appointment to the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Board (or, if such date is not a market trading day, the first market trading day thereafter), the Non-Employee Director will be automatically, and without further action by the Board or Compensation Committee of the Board, granted a stock option to purchase a number of shares of the Company’s common stock equal to 27,000 shares of the Company’s common stock. The shares subject to each such stock option will vest monthly over a three-year period, subject to the Non-Employee Director’s Continuous Service (as defined in the Plan) on each vesting date.</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Annual Grant</w:t>
      </w:r>
      <w:r>
        <w:rPr>
          <w:rFonts w:ascii="Times New Roman" w:hAnsi="Times New Roman"/>
          <w:color w:val="000000"/>
          <w:sz w:val="22"/>
        </w:rPr>
        <w:t>.</w:t>
      </w:r>
      <w:r>
        <w:rPr>
          <w:color w:val="000000"/>
        </w:rPr>
        <w:t xml:space="preserve"> </w:t>
      </w:r>
      <w:r>
        <w:rPr>
          <w:rFonts w:ascii="Times New Roman" w:hAnsi="Times New Roman"/>
          <w:color w:val="000000"/>
          <w:sz w:val="22"/>
        </w:rPr>
        <w:t>On the date of each annual stockholder meeting of the Company, each Non-Employee Director who continues to serve as a non-employee member of the Board following such stockholder meeting will be automatically, and without further action by the Board or Compensation Committee of the Board, granted a stock option to purchase 13,500 shares of the Company’s common stock (the “</w:t>
      </w:r>
      <w:r>
        <w:rPr>
          <w:rFonts w:ascii="Times New Roman" w:hAnsi="Times New Roman"/>
          <w:b/>
          <w:i/>
          <w:color w:val="000000"/>
          <w:sz w:val="22"/>
        </w:rPr>
        <w:t>Annual Grant</w:t>
      </w:r>
      <w:r>
        <w:rPr>
          <w:color w:val="000000"/>
        </w:rPr>
        <w:t>”</w:t>
      </w:r>
      <w:r>
        <w:rPr>
          <w:rFonts w:ascii="Times New Roman" w:hAnsi="Times New Roman"/>
          <w:color w:val="000000"/>
          <w:sz w:val="22"/>
        </w:rPr>
        <w:t xml:space="preserve">). The shares subject to the Annual Grant will vest in equal monthly installments over the 12 months following the date of grant, provided that the Annual Grant will in any case be fully vested on the date of Company’s next annual stockholder meeting, subject to the Non-Employee Director’s Continuous Service (as defined in the Plan) through such vesting date.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pPr>
      <w:r>
        <w:rPr>
          <w:rFonts w:ascii="Times New Roman" w:hAnsi="Times New Roman"/>
          <w:b/>
          <w:color w:val="000000"/>
          <w:sz w:val="22"/>
        </w:rPr>
        <w:t>Change in Control.</w:t>
      </w:r>
      <w:r>
        <w:rPr>
          <w:color w:val="000000"/>
        </w:rPr>
        <w:t xml:space="preserve"> </w:t>
      </w:r>
      <w:r>
        <w:rPr>
          <w:rFonts w:ascii="Times New Roman" w:hAnsi="Times New Roman"/>
          <w:color w:val="000000"/>
          <w:sz w:val="22"/>
        </w:rPr>
        <w:t>Notwithstanding the foregoing, for each Non-Employee Director who remains in Continuous Service as of, or immediately prior to, a Change in Control, the equity awards that were granted pursuant to this Policy will become fully vested immediately prior to such Change in Control.</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jc w:val="both"/>
        <w:rPr/>
      </w:pPr>
      <w:r>
        <w:rPr>
          <w:rFonts w:ascii="Times New Roman" w:hAnsi="Times New Roman"/>
          <w:b/>
          <w:color w:val="000000"/>
          <w:sz w:val="22"/>
        </w:rPr>
        <w:t>Additional Provisions</w:t>
      </w:r>
      <w:r>
        <w:rPr>
          <w:rFonts w:ascii="Times New Roman" w:hAnsi="Times New Roman"/>
          <w:color w:val="000000"/>
          <w:sz w:val="22"/>
        </w:rPr>
        <w:t xml:space="preserve">: All provisions of the Plan not inconsistent with this policy will apply to awards granted to a Non-Employee Director. Non-Employee Directors will be required to execute an award agreement in a form satisfactory to the Company prior to receipt of an Initial Grant or Annual Grant.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IV.</w:t>
      </w:r>
    </w:p>
    <w:p>
      <w:pPr>
        <w:pStyle w:val="TextBody"/>
        <w:bidi w:val="0"/>
        <w:jc w:val="left"/>
        <w:rPr>
          <w:rFonts w:ascii="Times New Roman" w:hAnsi="Times New Roman"/>
          <w:b/>
          <w:color w:val="000000"/>
          <w:sz w:val="22"/>
        </w:rPr>
      </w:pPr>
      <w:r>
        <w:rPr>
          <w:rFonts w:ascii="Times New Roman" w:hAnsi="Times New Roman"/>
          <w:b/>
          <w:color w:val="000000"/>
          <w:sz w:val="22"/>
        </w:rPr>
        <w:t>Non-Employee Director Compensation Limit</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herein to the contrary, the cash compensation and equity compensation that each Non-Employee Director is entitled to receive under this Policy shall be subject to the limits set forth in Section 3(d) of the Plan.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w:t>
      </w:r>
    </w:p>
    <w:p>
      <w:pPr>
        <w:pStyle w:val="TextBody"/>
        <w:bidi w:val="0"/>
        <w:jc w:val="left"/>
        <w:rPr>
          <w:rFonts w:ascii="Times New Roman" w:hAnsi="Times New Roman"/>
          <w:b/>
          <w:color w:val="000000"/>
          <w:sz w:val="22"/>
        </w:rPr>
      </w:pPr>
      <w:r>
        <w:rPr>
          <w:rFonts w:ascii="Times New Roman" w:hAnsi="Times New Roman"/>
          <w:b/>
          <w:color w:val="000000"/>
          <w:sz w:val="22"/>
        </w:rPr>
        <w:t>Ability to Decline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 Non-Employee Director may decline all or any portion of his or her compensation under this Policy by giving notice to the Company prior to the date such cash is earned or such equity awards are to be granted, as the case may be.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VI.</w:t>
      </w:r>
    </w:p>
    <w:p>
      <w:pPr>
        <w:pStyle w:val="TextBody"/>
        <w:bidi w:val="0"/>
        <w:jc w:val="left"/>
        <w:rPr>
          <w:rFonts w:ascii="Times New Roman" w:hAnsi="Times New Roman"/>
          <w:b/>
          <w:color w:val="000000"/>
          <w:sz w:val="22"/>
        </w:rPr>
      </w:pPr>
      <w:r>
        <w:rPr>
          <w:rFonts w:ascii="Times New Roman" w:hAnsi="Times New Roman"/>
          <w:b/>
          <w:color w:val="000000"/>
          <w:sz w:val="22"/>
        </w:rPr>
        <w:t>Expenses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Approved by the Board of Directors: November 4, 2020</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Effective: July 30, 2021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Amended: November 30, 2021</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inab-ex10_10.htm"/>
      <w:bookmarkStart w:id="44" w:name="ksinabex10_10"/>
      <w:bookmarkEnd w:id="43"/>
      <w:bookmarkEnd w:id="44"/>
      <w:r>
        <w:rPr/>
        <w:t> </w:t>
      </w:r>
      <w:r>
        <w:br w:type="page"/>
      </w:r>
    </w:p>
    <w:p>
      <w:pPr>
        <w:pStyle w:val="TextBody"/>
        <w:bidi w:val="0"/>
        <w:jc w:val="center"/>
        <w:rPr>
          <w:rFonts w:ascii="Times New Roman" w:hAnsi="Times New Roman"/>
          <w:sz w:val="20"/>
        </w:rPr>
      </w:pPr>
      <w:r>
        <w:rPr>
          <w:rFonts w:ascii="Times New Roman" w:hAnsi="Times New Roman"/>
          <w:b/>
          <w:caps/>
          <w:color w:val="000000"/>
          <w:sz w:val="22"/>
        </w:rPr>
        <w:t>Exhibit</w:t>
      </w:r>
      <w:r>
        <w:rPr>
          <w:rFonts w:ascii="Times New Roman" w:hAnsi="Times New Roman"/>
          <w:color w:val="000000"/>
          <w:sz w:val="20"/>
        </w:rPr>
        <w:t xml:space="preserve"> </w:t>
      </w:r>
      <w:r>
        <w:rPr>
          <w:rFonts w:ascii="Times New Roman" w:hAnsi="Times New Roman"/>
          <w:b/>
          <w:color w:val="000000"/>
          <w:sz w:val="22"/>
        </w:rPr>
        <w:t>10.10</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IN8BIO, Inc.</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Policy</w:t>
      </w:r>
    </w:p>
    <w:p>
      <w:pPr>
        <w:pStyle w:val="TextBody"/>
        <w:pBdr>
          <w:bottom w:val="single" w:sz="4" w:space="9" w:color="000000"/>
        </w:pBdr>
        <w:bidi w:val="0"/>
        <w:spacing w:before="0" w:after="240"/>
        <w:jc w:val="left"/>
        <w:rPr/>
      </w:pPr>
      <w:r>
        <w:rPr/>
        <w:t> </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IN8bio,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color w:val="000000"/>
          <w:sz w:val="22"/>
        </w:rPr>
        <w:t>) will be eligible to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for his or her Board service. Unless otherwise defined herein, capitalized terms used in this Policy will have the meaning given to such terms in the Company’s 2020 Equity Incentive Plan or any successor equity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Policy may be amended at any time in the sole discretion of the Board or the Compensation Committee of the Board.</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Each Non-Employee Director will be entitled to receive the following annual cash retainers for service on the Board: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Annual Board Service Retainer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2"/>
        </w:rPr>
        <w:t>All Non-Employee Directors: $40,000</w:t>
      </w:r>
      <w:r>
        <w:rPr>
          <w:color w:val="000000"/>
        </w:rPr>
        <w:t xml:space="preserve"> </w:t>
      </w:r>
      <w:r>
        <w:rPr>
          <w:rFonts w:ascii="Times New Roman" w:hAnsi="Times New Roman"/>
          <w:i/>
          <w:color w:val="000000"/>
          <w:sz w:val="22"/>
        </w:rPr>
        <w:t>(effective January 1, 2024)</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2"/>
        </w:rPr>
        <w:t xml:space="preserve">Non-Executive Chairperson </w:t>
      </w:r>
      <w:r>
        <w:rPr>
          <w:rFonts w:ascii="Times New Roman" w:hAnsi="Times New Roman"/>
          <w:i/>
          <w:color w:val="000000"/>
          <w:sz w:val="22"/>
        </w:rPr>
        <w:t>(additional retainer)</w:t>
      </w:r>
      <w:r>
        <w:rPr>
          <w:rFonts w:ascii="Times New Roman" w:hAnsi="Times New Roman"/>
          <w:color w:val="000000"/>
          <w:sz w:val="22"/>
        </w:rPr>
        <w:t>: $65,000</w:t>
      </w:r>
      <w:r>
        <w:rPr>
          <w:color w:val="00000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Annual Committee Member Service Retainer</w:t>
      </w:r>
      <w:r>
        <w:rPr>
          <w:rFonts w:ascii="Times New Roman" w:hAnsi="Times New Roman"/>
          <w:color w:val="000000"/>
          <w:sz w:val="22"/>
        </w:rPr>
        <w: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Audit Committee: $7,500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Compensation Committee: $5,000</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Member of the Nominating and Corporate Governance Committee: $4,000</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2"/>
        </w:rPr>
        <w:t xml:space="preserve">Annual Committee Chair Service Retainer </w:t>
      </w:r>
      <w:r>
        <w:rPr>
          <w:rFonts w:ascii="Times New Roman" w:hAnsi="Times New Roman"/>
          <w:b/>
          <w:i/>
          <w:color w:val="000000"/>
          <w:sz w:val="22"/>
        </w:rPr>
        <w:t>(in lieu of Committee Member</w:t>
      </w:r>
      <w:r>
        <w:rPr>
          <w:rFonts w:ascii="Times New Roman" w:hAnsi="Times New Roman"/>
          <w:color w:val="000000"/>
          <w:sz w:val="20"/>
        </w:rPr>
        <w:t xml:space="preserve"> </w:t>
      </w:r>
      <w:r>
        <w:rPr>
          <w:rFonts w:ascii="Times New Roman" w:hAnsi="Times New Roman"/>
          <w:b/>
          <w:i/>
          <w:color w:val="000000"/>
          <w:sz w:val="22"/>
        </w:rPr>
        <w:t>Service Retainer)</w:t>
      </w:r>
      <w:r>
        <w:rPr>
          <w:rFonts w:ascii="Times New Roman" w:hAnsi="Times New Roman"/>
          <w:color w:val="000000"/>
          <w:sz w:val="22"/>
        </w:rPr>
        <w: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Audit Committee: $22,500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Compensation Committee: $15,000</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Chairperson of the Nominating and Corporate Governance Committee: $12,000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annual cash retainers set forth above will be payable in equal quarterly installments, payable in arrears on the last day of each fiscal quarter (each such date, a “</w:t>
      </w:r>
      <w:r>
        <w:rPr>
          <w:rFonts w:ascii="Times New Roman" w:hAnsi="Times New Roman"/>
          <w:b/>
          <w:i/>
          <w:color w:val="000000"/>
          <w:sz w:val="22"/>
        </w:rPr>
        <w:t>Retainer Accrual Date</w:t>
      </w:r>
      <w:r>
        <w:rPr>
          <w:rFonts w:ascii="Times New Roman" w:hAnsi="Times New Roman"/>
          <w:color w:val="000000"/>
          <w:sz w:val="20"/>
        </w:rPr>
        <w:t>”</w:t>
      </w:r>
      <w:r>
        <w:rPr>
          <w:rFonts w:ascii="Times New Roman" w:hAnsi="Times New Roman"/>
          <w:color w:val="000000"/>
          <w:sz w:val="22"/>
        </w:rPr>
        <w:t>) in which the service occurred, prorated for any partial quarter of service (based on the number of days served in the applicable position divided by the total number of days in the quarter). All annual cash fees are vested upon payment.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Election to Receive Shares of Common Stock in Lieu of Cash Retainer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both"/>
        <w:rPr/>
      </w:pPr>
      <w:r>
        <w:rPr>
          <w:rFonts w:ascii="Times New Roman" w:hAnsi="Times New Roman"/>
          <w:b/>
          <w:color w:val="000000"/>
          <w:sz w:val="22"/>
        </w:rPr>
        <w:t>Retainer Grant</w:t>
      </w:r>
      <w:r>
        <w:rPr>
          <w:rFonts w:ascii="Times New Roman" w:hAnsi="Times New Roman"/>
          <w:color w:val="000000"/>
          <w:sz w:val="22"/>
        </w:rPr>
        <w:t>. Each Non-Employee Director may elect to convert all of his or her cash compensation under Section I for the first calendar quarter that commences after December 31, 2021 and for any subsequent calendar quarter into an RSU Award (each, a “</w:t>
      </w:r>
      <w:r>
        <w:rPr>
          <w:rFonts w:ascii="Times New Roman" w:hAnsi="Times New Roman"/>
          <w:b/>
          <w:i/>
          <w:color w:val="000000"/>
          <w:sz w:val="22"/>
        </w:rPr>
        <w:t xml:space="preserve">Retainer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b/>
          <w:i/>
          <w:color w:val="000000"/>
          <w:sz w:val="22"/>
        </w:rPr>
        <w:t>Grant</w:t>
      </w:r>
      <w:r>
        <w:rPr>
          <w:color w:val="000000"/>
        </w:rPr>
        <w:t>”</w:t>
      </w:r>
      <w:r>
        <w:rPr>
          <w:rFonts w:ascii="Times New Roman" w:hAnsi="Times New Roman"/>
          <w:color w:val="000000"/>
          <w:sz w:val="22"/>
        </w:rPr>
        <w:t>) in accordance with this Section II(A) (such election, a “</w:t>
      </w:r>
      <w:r>
        <w:rPr>
          <w:rFonts w:ascii="Times New Roman" w:hAnsi="Times New Roman"/>
          <w:b/>
          <w:i/>
          <w:color w:val="000000"/>
          <w:sz w:val="22"/>
        </w:rPr>
        <w:t>Retainer Grant Election</w:t>
      </w:r>
      <w:r>
        <w:rPr>
          <w:color w:val="000000"/>
        </w:rPr>
        <w:t>”</w:t>
      </w:r>
      <w:r>
        <w:rPr>
          <w:rFonts w:ascii="Times New Roman" w:hAnsi="Times New Roman"/>
          <w:color w:val="000000"/>
          <w:sz w:val="22"/>
        </w:rPr>
        <w:t>). If a Non-Employee Director timely makes a Retainer Grant Election pursuant to Section II(B) below, then on the first business day following the applicable Retainer Accrual Date to which the Retainer Grant Election applies, and without any further action by the Board or designated committee of the Board, such Non-Employee Director automatically will be granted an RSU Award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Each Retainer Grant will be fully vested on the applicable grant date.</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Election Mechanics</w:t>
      </w:r>
      <w:r>
        <w:rPr>
          <w:rFonts w:ascii="Times New Roman" w:hAnsi="Times New Roman"/>
          <w:color w:val="000000"/>
          <w:sz w:val="22"/>
        </w:rPr>
        <w:t xml:space="preserve">. Each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make a Retainer Grant Election during a period in which the Company is not in a quarterly or special blackout period and the Non-Employee Director is not aware of any material non-public information. Once a Retainer Grant Election is properly submitted, it will be in effect for the next Retainer Accrual Date and will remain in effect for successive Retainer Accrual Dates unless and until the Eligible Director revokes it in accordance with Section II(C) below. A Non-Employee Director who fails to make a timely Retainer Grant Election will not receive a Retainer Grant and instead will receive the cash compensation set forth under Section I.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pPr>
      <w:r>
        <w:rPr>
          <w:rFonts w:ascii="Times New Roman" w:hAnsi="Times New Roman"/>
          <w:b/>
          <w:color w:val="000000"/>
          <w:sz w:val="22"/>
        </w:rPr>
        <w:t>Revocation Mechanics</w:t>
      </w:r>
      <w:r>
        <w:rPr>
          <w:rFonts w:ascii="Times New Roman" w:hAnsi="Times New Roman"/>
          <w:color w:val="000000"/>
          <w:sz w:val="22"/>
        </w:rPr>
        <w:t>. The revocation of any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revoke a Retainer Grant Election during a period in which the Company is not in a quarterly or special blackout period and the Non-Employee Director is not aware of any material non-public information. Once the revocation of the Retainer Grant Election is properly submitted, it will be in effect for the next Retainer Accrual Date and will remain in effect for successive Retainer Accrual Dates unless and until the Non-Employee Director makes a new Retainer Grant Election in accordance with Section (II)(B).</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Equity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All stock options granted under this Policy will be nonstatutory stock options, with an exercise price per share equal to 100% of the Fair Market Value (as defined in the Plan) of the underlying common stock on the date of grant, and a term of 10 years from the date of grant (subject to earlier termination in connection with a termination of service as provided in the Plan), and will be automatic and nondiscretionary (without the need for any additional corporate action by the Board or designated committee of the Board) and will be made in accordance with the following provisions: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jc w:val="both"/>
        <w:rPr/>
      </w:pPr>
      <w:r>
        <w:rPr>
          <w:rFonts w:ascii="Times New Roman" w:hAnsi="Times New Roman"/>
          <w:b/>
          <w:color w:val="000000"/>
          <w:sz w:val="22"/>
        </w:rPr>
        <w:t>Initial Grant</w:t>
      </w:r>
      <w:r>
        <w:rPr>
          <w:rFonts w:ascii="Times New Roman" w:hAnsi="Times New Roman"/>
          <w:color w:val="000000"/>
          <w:sz w:val="22"/>
        </w:rPr>
        <w:t xml:space="preserve">. For each Non-Employee Director who is first elected or appointed to the Board on or after December 6, 2023, on the date of such Non-Employee Director’s initial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election or appointment to the Board (or, if such date is not a market trading day, the first market trading day thereafter), the Non-Employee Director will be automatically, and without further action by the Board or Compensation Committee of the Board, granted a stock option to purchase a number of shares of the Company’s common stock equal to 54,800 shares of the Company’s common stock. The shares subject to each such stock option will vest monthly over a three-year period, subject to the Non-Employee Director’s Continuous Service (as defined in the Plan) on each vesting date.</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Annual Grant</w:t>
      </w:r>
      <w:r>
        <w:rPr>
          <w:rFonts w:ascii="Times New Roman" w:hAnsi="Times New Roman"/>
          <w:color w:val="000000"/>
          <w:sz w:val="22"/>
        </w:rPr>
        <w:t>.</w:t>
      </w:r>
      <w:r>
        <w:rPr>
          <w:color w:val="000000"/>
        </w:rPr>
        <w:t xml:space="preserve"> </w:t>
      </w:r>
      <w:r>
        <w:rPr>
          <w:rFonts w:ascii="Times New Roman" w:hAnsi="Times New Roman"/>
          <w:color w:val="000000"/>
          <w:sz w:val="22"/>
        </w:rPr>
        <w:t>On the date of each annual stockholder meeting of the Company, each Non-Employee Director who continues to serve as a non-employee member of the Board following such stockholder meeting will be automatically, and without further action by the Board or Compensation Committee of the Board, granted a stock option to purchase 27,400 shares of the Company’s common stock (the “</w:t>
      </w:r>
      <w:r>
        <w:rPr>
          <w:rFonts w:ascii="Times New Roman" w:hAnsi="Times New Roman"/>
          <w:b/>
          <w:i/>
          <w:color w:val="000000"/>
          <w:sz w:val="22"/>
        </w:rPr>
        <w:t>Annual Grant</w:t>
      </w:r>
      <w:r>
        <w:rPr>
          <w:color w:val="000000"/>
        </w:rPr>
        <w:t>”</w:t>
      </w:r>
      <w:r>
        <w:rPr>
          <w:rFonts w:ascii="Times New Roman" w:hAnsi="Times New Roman"/>
          <w:color w:val="000000"/>
          <w:sz w:val="22"/>
        </w:rPr>
        <w:t xml:space="preserve">). The shares subject to the Annual Grant will vest in equal monthly installments over the 12 months following the date of grant, provided that the Annual Grant will in any case be fully vested on the date of Company’s next annual stockholder meeting, subject to the Non-Employee Director’s Continuous Service (as defined in the Plan) through such vesting date. </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pPr>
      <w:r>
        <w:rPr>
          <w:rFonts w:ascii="Times New Roman" w:hAnsi="Times New Roman"/>
          <w:b/>
          <w:color w:val="000000"/>
          <w:sz w:val="22"/>
        </w:rPr>
        <w:t>Change in Control.</w:t>
      </w:r>
      <w:r>
        <w:rPr>
          <w:color w:val="000000"/>
        </w:rPr>
        <w:t xml:space="preserve"> </w:t>
      </w:r>
      <w:r>
        <w:rPr>
          <w:rFonts w:ascii="Times New Roman" w:hAnsi="Times New Roman"/>
          <w:color w:val="000000"/>
          <w:sz w:val="22"/>
        </w:rPr>
        <w:t>Notwithstanding the foregoing, for each Non-Employee Director who remains in Continuous Service as of, or immediately prior to, a Change in Control, the equity awards that were granted pursuant to this Policy will become fully vested immediately prior to such Change in Control.</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jc w:val="both"/>
        <w:rPr/>
      </w:pPr>
      <w:r>
        <w:rPr>
          <w:rFonts w:ascii="Times New Roman" w:hAnsi="Times New Roman"/>
          <w:b/>
          <w:color w:val="000000"/>
          <w:sz w:val="22"/>
        </w:rPr>
        <w:t>Additional Provisions</w:t>
      </w:r>
      <w:r>
        <w:rPr>
          <w:rFonts w:ascii="Times New Roman" w:hAnsi="Times New Roman"/>
          <w:color w:val="000000"/>
          <w:sz w:val="22"/>
        </w:rPr>
        <w:t xml:space="preserve">: All provisions of the Plan not inconsistent with this policy will apply to awards granted to a Non-Employee Director. Non-Employee Directors will be required to execute an award agreement in a form satisfactory to the Company prior to receipt of an Initial Grant or Annual Grant.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IV.</w:t>
      </w:r>
    </w:p>
    <w:p>
      <w:pPr>
        <w:pStyle w:val="TextBody"/>
        <w:bidi w:val="0"/>
        <w:jc w:val="left"/>
        <w:rPr>
          <w:rFonts w:ascii="Times New Roman" w:hAnsi="Times New Roman"/>
          <w:b/>
          <w:color w:val="000000"/>
          <w:sz w:val="22"/>
        </w:rPr>
      </w:pPr>
      <w:r>
        <w:rPr>
          <w:rFonts w:ascii="Times New Roman" w:hAnsi="Times New Roman"/>
          <w:b/>
          <w:color w:val="000000"/>
          <w:sz w:val="22"/>
        </w:rPr>
        <w:t>Non-Employee Director Compensation Limit</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herein to the contrary, the cash compensation and equity compensation that each Non-Employee Director is entitled to receive under this Policy shall be subject to the limits set forth in Section 3(d) of the Plan.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w:t>
      </w:r>
    </w:p>
    <w:p>
      <w:pPr>
        <w:pStyle w:val="TextBody"/>
        <w:bidi w:val="0"/>
        <w:jc w:val="left"/>
        <w:rPr>
          <w:rFonts w:ascii="Times New Roman" w:hAnsi="Times New Roman"/>
          <w:b/>
          <w:color w:val="000000"/>
          <w:sz w:val="22"/>
        </w:rPr>
      </w:pPr>
      <w:r>
        <w:rPr>
          <w:rFonts w:ascii="Times New Roman" w:hAnsi="Times New Roman"/>
          <w:b/>
          <w:color w:val="000000"/>
          <w:sz w:val="22"/>
        </w:rPr>
        <w:t>Ability to Decline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 Non-Employee Director may decline all or any portion of his or her compensation under this Policy by giving notice to the Company prior to the date such cash is earned or such equity awards are to be granted, as the case may be.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VI.</w:t>
      </w:r>
    </w:p>
    <w:p>
      <w:pPr>
        <w:pStyle w:val="TextBody"/>
        <w:bidi w:val="0"/>
        <w:jc w:val="left"/>
        <w:rPr>
          <w:rFonts w:ascii="Times New Roman" w:hAnsi="Times New Roman"/>
          <w:b/>
          <w:color w:val="000000"/>
          <w:sz w:val="22"/>
        </w:rPr>
      </w:pPr>
      <w:r>
        <w:rPr>
          <w:rFonts w:ascii="Times New Roman" w:hAnsi="Times New Roman"/>
          <w:b/>
          <w:color w:val="000000"/>
          <w:sz w:val="22"/>
        </w:rPr>
        <w:t>Expenses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Approved by the Board of Directors: November 4, 2020</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Effective: July 30, 2021</w:t>
      </w:r>
    </w:p>
    <w:p>
      <w:pPr>
        <w:pStyle w:val="TextBody"/>
        <w:bidi w:val="0"/>
        <w:spacing w:before="0" w:after="60"/>
        <w:jc w:val="left"/>
        <w:rPr>
          <w:rFonts w:ascii="Times New Roman" w:hAnsi="Times New Roman"/>
          <w:b/>
          <w:color w:val="000000"/>
          <w:sz w:val="22"/>
        </w:rPr>
      </w:pPr>
      <w:r>
        <w:rPr>
          <w:rFonts w:ascii="Times New Roman" w:hAnsi="Times New Roman"/>
          <w:b/>
          <w:color w:val="000000"/>
          <w:sz w:val="22"/>
        </w:rPr>
        <w:t>Amended: December 5, 2023</w:t>
      </w:r>
    </w:p>
    <w:p>
      <w:pPr>
        <w:pStyle w:val="TextBody"/>
        <w:bidi w:val="0"/>
        <w:spacing w:before="0" w:after="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inab-ex10_19.htm"/>
      <w:bookmarkStart w:id="46" w:name="ksinabex10_19"/>
      <w:bookmarkEnd w:id="45"/>
      <w:bookmarkEnd w:id="46"/>
      <w:r>
        <w:rPr/>
        <w:t> </w:t>
      </w:r>
      <w:r>
        <w:br w:type="page"/>
      </w:r>
    </w:p>
    <w:p>
      <w:pPr>
        <w:pStyle w:val="TextBody"/>
        <w:bidi w:val="0"/>
        <w:jc w:val="center"/>
        <w:rPr/>
      </w:pPr>
      <w:r>
        <w:rPr/>
        <w:drawing>
          <wp:inline distT="0" distB="0" distL="0" distR="0">
            <wp:extent cx="1981200" cy="12192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82"/>
                    <a:stretch>
                      <a:fillRect/>
                    </a:stretch>
                  </pic:blipFill>
                  <pic:spPr bwMode="auto">
                    <a:xfrm>
                      <a:off x="0" y="0"/>
                      <a:ext cx="1981200" cy="1219200"/>
                    </a:xfrm>
                    <a:prstGeom prst="rect">
                      <a:avLst/>
                    </a:prstGeom>
                  </pic:spPr>
                </pic:pic>
              </a:graphicData>
            </a:graphic>
          </wp:inline>
        </w:drawing>
      </w:r>
    </w:p>
    <w:p>
      <w:pPr>
        <w:pStyle w:val="TextBody"/>
        <w:bidi w:val="0"/>
        <w:spacing w:before="0" w:after="360"/>
        <w:jc w:val="center"/>
        <w:rPr>
          <w:rFonts w:ascii="Times New Roman" w:hAnsi="Times New Roman"/>
          <w:b/>
          <w:smallCaps/>
          <w:color w:val="000000"/>
          <w:sz w:val="24"/>
        </w:rPr>
      </w:pPr>
      <w:r>
        <w:rPr>
          <w:rFonts w:ascii="Times New Roman" w:hAnsi="Times New Roman"/>
          <w:b/>
          <w:smallCaps/>
          <w:color w:val="000000"/>
          <w:sz w:val="24"/>
        </w:rPr>
        <w:t>EXHIBIT 10.19</w:t>
      </w:r>
    </w:p>
    <w:p>
      <w:pPr>
        <w:pStyle w:val="TextBody"/>
        <w:bidi w:val="0"/>
        <w:spacing w:before="0" w:after="360"/>
        <w:jc w:val="center"/>
        <w:rPr>
          <w:rFonts w:ascii="Times New Roman" w:hAnsi="Times New Roman"/>
          <w:b/>
          <w:smallCaps/>
          <w:color w:val="000000"/>
          <w:sz w:val="24"/>
        </w:rPr>
      </w:pPr>
      <w:r>
        <w:rPr>
          <w:rFonts w:ascii="Times New Roman" w:hAnsi="Times New Roman"/>
          <w:b/>
          <w:smallCaps/>
          <w:color w:val="000000"/>
          <w:sz w:val="24"/>
        </w:rPr>
        <w:t>EMPLOYMENT AGREEMENT</w:t>
      </w:r>
    </w:p>
    <w:p>
      <w:pPr>
        <w:pStyle w:val="TextBody"/>
        <w:bidi w:val="0"/>
        <w:spacing w:before="0" w:after="12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as of October 7, 2021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Trishna Goswami, MD (the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and IN8bio, Inc., its subsidiaries, parents, affiliates, predecessors, successors and assigns (together,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(Executive and the Company together,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20" w:after="12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WHEREAS, the Company wishes to employ Executive and Executive wishes to be employed by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and Executive desire to enter into this Agreement to establish and govern the terms and conditions of Executive’s employment by the Company.</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promises and mutual covenants contained herein and other good and valuable consideration, the receipt and sufficiency of which are hereby acknowledged, the parties hereto agree as follows:</w:t>
      </w:r>
    </w:p>
    <w:p>
      <w:pPr>
        <w:pStyle w:val="TextBody"/>
        <w:bidi w:val="0"/>
        <w:spacing w:before="120" w:after="120"/>
        <w:jc w:val="center"/>
        <w:rPr>
          <w:rFonts w:ascii="Times New Roman" w:hAnsi="Times New Roman"/>
          <w:b/>
          <w:smallCaps/>
          <w:color w:val="000000"/>
          <w:sz w:val="24"/>
        </w:rPr>
      </w:pPr>
      <w:r>
        <w:rPr>
          <w:rFonts w:ascii="Times New Roman" w:hAnsi="Times New Roman"/>
          <w:b/>
          <w:smallCaps/>
          <w:color w:val="000000"/>
          <w:sz w:val="24"/>
        </w:rPr>
        <w:t>Agreement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In consideration of the foregoing, the parties agree as follows: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Employment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Position; Duties; Location.</w:t>
      </w:r>
      <w:r>
        <w:rPr>
          <w:color w:val="000000"/>
        </w:rPr>
        <w:t xml:space="preserve"> </w:t>
      </w:r>
      <w:r>
        <w:rPr>
          <w:rFonts w:ascii="Times New Roman" w:hAnsi="Times New Roman"/>
          <w:color w:val="000000"/>
          <w:sz w:val="24"/>
        </w:rPr>
        <w:t>Subject to the terms and conditions of this Agreement, Executive shall hold the position of Chief Medical Officer. Executive’s activities shall be as directed by the Company’s Chief Executive Officer (the “</w:t>
      </w:r>
      <w:r>
        <w:rPr>
          <w:rFonts w:ascii="Times New Roman" w:hAnsi="Times New Roman"/>
          <w:b/>
          <w:color w:val="000000"/>
          <w:sz w:val="24"/>
        </w:rPr>
        <w:t>CEO</w:t>
      </w:r>
      <w:r>
        <w:rPr>
          <w:color w:val="000000"/>
        </w:rPr>
        <w:t>”</w:t>
      </w:r>
      <w:r>
        <w:rPr>
          <w:rFonts w:ascii="Times New Roman" w:hAnsi="Times New Roman"/>
          <w:color w:val="000000"/>
          <w:sz w:val="24"/>
        </w:rPr>
        <w:t xml:space="preserve">) and shall include such duties and activities as typically associated with Executive’s position, and as otherwise may be assigned to Executive from time to time. Without limiting Executive’s rights under Section 5.3 below, the Company reserves the right to change or modify Executive’s title and/or duties as business needs may require. Executive shall devote Executive’s business energies, interest, abilities and productive time to the proper and efficient performance of Executive’s duties under this Agreement. Executive initially shall report to the CEO and work from the Company’s offices/facilities in New York City when necessary. Otherwise, Executive is permitted to work from any location within 100 miles of New York City and further provided that the Company reserves the right to require business travel.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Policies and Procedures.</w:t>
      </w:r>
      <w:r>
        <w:rPr>
          <w:color w:val="000000"/>
        </w:rPr>
        <w:t xml:space="preserve"> </w:t>
      </w:r>
      <w:r>
        <w:rPr>
          <w:rFonts w:ascii="Times New Roman" w:hAnsi="Times New Roman"/>
          <w:color w:val="000000"/>
          <w:sz w:val="24"/>
        </w:rPr>
        <w:t>The employment relationship between the parties shall be governed by this Agreement and by the policies and practices established by the Company’s Board of Diretors (the “</w:t>
      </w:r>
      <w:r>
        <w:rPr>
          <w:rFonts w:ascii="Times New Roman" w:hAnsi="Times New Roman"/>
          <w:b/>
          <w:i/>
          <w:color w:val="000000"/>
          <w:sz w:val="24"/>
        </w:rPr>
        <w:t>Board</w:t>
      </w:r>
      <w:r>
        <w:rPr>
          <w:color w:val="000000"/>
        </w:rPr>
        <w:t>”</w:t>
      </w:r>
      <w:r>
        <w:rPr>
          <w:rFonts w:ascii="Times New Roman" w:hAnsi="Times New Roman"/>
          <w:color w:val="000000"/>
          <w:sz w:val="24"/>
        </w:rPr>
        <w:t>). In the event that the terms of this Agreement differ from or are in conflict with the Company’s policies or practices, this Agreement shall control.</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 xml:space="preserve">Exclusive Employment; Agreement not to Participate in Company’s Competitors. </w:t>
      </w:r>
      <w:r>
        <w:rPr>
          <w:rFonts w:ascii="Times New Roman" w:hAnsi="Times New Roman"/>
          <w:color w:val="000000"/>
          <w:sz w:val="24"/>
        </w:rPr>
        <w:t>Except with the prior written consent of the Board, Executive will not, during the period of employment by the Company, undertake or engage in any other employment, or directly or indirectly, undertake or engage in any employment, directorships, occupation, or business activity that competes with directly or indirectly, or is known by Executive to be adverse or antagonistic to the business, prospective business, or financial or other interests of the Company, provided, however, that the Company agrees that Executive may continue to serve in any roles, positions, and/or appointments listed in Exhibit A to this Agreement, or any similar roles, positions, and/or appointments mutually agreed upon by the Company and the Executive, provided, in each case, they do not interfere with Executive’s job duties for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 xml:space="preserve">Start Date. </w:t>
      </w:r>
      <w:r>
        <w:rPr>
          <w:rFonts w:ascii="Times New Roman" w:hAnsi="Times New Roman"/>
          <w:color w:val="000000"/>
          <w:sz w:val="24"/>
        </w:rPr>
        <w:t>Executive’s employment with the Company shall commence on November 15, 2021.</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both"/>
        <w:rPr/>
      </w:pPr>
      <w:r>
        <w:rPr>
          <w:rFonts w:ascii="Times New Roman" w:hAnsi="Times New Roman"/>
          <w:b/>
          <w:smallCaps/>
          <w:color w:val="000000"/>
          <w:sz w:val="24"/>
        </w:rPr>
        <w:t>At-Will Employment.</w:t>
      </w:r>
      <w:r>
        <w:rPr>
          <w:color w:val="000000"/>
        </w:rPr>
        <w:t xml:space="preserve"> </w:t>
      </w:r>
      <w:r>
        <w:rPr>
          <w:rFonts w:ascii="Times New Roman" w:hAnsi="Times New Roman"/>
          <w:color w:val="000000"/>
          <w:sz w:val="24"/>
        </w:rPr>
        <w:t xml:space="preserve">Executive’s employment relationship with the Company is, and shall at all times be, at-will. This means that either Executive or the Company may terminate the employment relationship at any time, for any reason or for no reason, with or without cause or advance notice.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Compensation and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Salary.</w:t>
      </w:r>
      <w:r>
        <w:rPr>
          <w:color w:val="000000"/>
        </w:rPr>
        <w:t xml:space="preserve"> </w:t>
      </w:r>
      <w:r>
        <w:rPr>
          <w:rFonts w:ascii="Times New Roman" w:hAnsi="Times New Roman"/>
          <w:color w:val="000000"/>
          <w:sz w:val="24"/>
        </w:rPr>
        <w:t>Beginning on the Effective Date, Executive shall earn an initial base salary of $450,000 per annum, less payroll deductions and all required withholdings (the “</w:t>
      </w:r>
      <w:r>
        <w:rPr>
          <w:rFonts w:ascii="Times New Roman" w:hAnsi="Times New Roman"/>
          <w:b/>
          <w:i/>
          <w:color w:val="000000"/>
          <w:sz w:val="24"/>
        </w:rPr>
        <w:t>Base Salary</w:t>
      </w:r>
      <w:r>
        <w:rPr>
          <w:color w:val="000000"/>
        </w:rPr>
        <w:t>”</w:t>
      </w:r>
      <w:r>
        <w:rPr>
          <w:rFonts w:ascii="Times New Roman" w:hAnsi="Times New Roman"/>
          <w:color w:val="000000"/>
          <w:sz w:val="24"/>
        </w:rPr>
        <w:t>). The Base Salary shall be prorated for any partial year of employment on the basis of a 365-day year. The Base Salary may be adjusted from time to time in the Company’s discretion.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Sign-On Bonus</w:t>
      </w:r>
      <w:r>
        <w:rPr>
          <w:rFonts w:ascii="Times New Roman" w:hAnsi="Times New Roman"/>
          <w:color w:val="000000"/>
          <w:sz w:val="24"/>
        </w:rPr>
        <w:t>. Within thirty (30) days after the Start Date, the Company will pay Executive a one-time start bonus of $10,000, less payroll deductions and all required withholdings. The net amount of this bonus must be repaid to the Company by Executive if Executive resigns from employment with the Company without Good Reason within one (1) year after the Start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Performance Bonus.</w:t>
      </w:r>
      <w:r>
        <w:rPr>
          <w:color w:val="000000"/>
        </w:rPr>
        <w:t xml:space="preserve"> </w:t>
      </w:r>
      <w:r>
        <w:rPr>
          <w:rFonts w:ascii="Times New Roman" w:hAnsi="Times New Roman"/>
          <w:color w:val="000000"/>
          <w:sz w:val="24"/>
        </w:rPr>
        <w:t>Each full calendar year, Executive will be eligible to earn a cash bonus of up to 40% of Executive’s Base Salary based on the Board’s assessment of Executive’s individual performance and overall Company performance (the “</w:t>
      </w:r>
      <w:r>
        <w:rPr>
          <w:rFonts w:ascii="Times New Roman" w:hAnsi="Times New Roman"/>
          <w:b/>
          <w:i/>
          <w:color w:val="000000"/>
          <w:sz w:val="24"/>
        </w:rPr>
        <w:t>Annual Bonus</w:t>
      </w:r>
      <w:r>
        <w:rPr>
          <w:color w:val="000000"/>
        </w:rPr>
        <w:t>”</w:t>
      </w:r>
      <w:r>
        <w:rPr>
          <w:rFonts w:ascii="Times New Roman" w:hAnsi="Times New Roman"/>
          <w:color w:val="000000"/>
          <w:sz w:val="24"/>
        </w:rPr>
        <w:t>). In order to earn and receive the bonus, Executive must remain employed by the Company through and including the bonus payout date, which will be on or before March 15</w:t>
      </w:r>
      <w:r>
        <w:rPr>
          <w:rFonts w:ascii="Times New Roman" w:hAnsi="Times New Roman"/>
          <w:color w:val="000000"/>
          <w:sz w:val="16"/>
        </w:rPr>
        <w:t>th</w:t>
      </w:r>
      <w:r>
        <w:rPr>
          <w:color w:val="000000"/>
        </w:rPr>
        <w:t xml:space="preserve"> </w:t>
      </w:r>
      <w:r>
        <w:rPr>
          <w:rFonts w:ascii="Times New Roman" w:hAnsi="Times New Roman"/>
          <w:color w:val="000000"/>
          <w:sz w:val="24"/>
        </w:rPr>
        <w:t xml:space="preserve">of the year following the year to which it relates. The determination of whether Executive has earned a bonus and the amount thereof shall be determined by the Board (and/or a committee thereof) in its sole and absolute discretion in good faith. The Company reserves the right to create or modify the bonus criteria and targets from year to year.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color w:val="000000"/>
          <w:sz w:val="24"/>
        </w:rPr>
        <w:t xml:space="preserve">Stock Options. </w:t>
      </w:r>
      <w:r>
        <w:rPr>
          <w:rFonts w:ascii="Times New Roman" w:hAnsi="Times New Roman"/>
          <w:color w:val="000000"/>
          <w:sz w:val="24"/>
        </w:rPr>
        <w:t>Subject to approval by our Board of Directors or designated committee, IN8bio will provide to you a new hire equity award of stock options representing the right to purchase shares of Company common stock (the “</w:t>
      </w:r>
      <w:r>
        <w:rPr>
          <w:rFonts w:ascii="Times New Roman" w:hAnsi="Times New Roman"/>
          <w:b/>
          <w:i/>
          <w:color w:val="000000"/>
          <w:sz w:val="24"/>
        </w:rPr>
        <w:t>Option</w:t>
      </w:r>
      <w:r>
        <w:rPr>
          <w:color w:val="000000"/>
        </w:rPr>
        <w:t>”</w:t>
      </w:r>
      <w:r>
        <w:rPr>
          <w:rFonts w:ascii="Times New Roman" w:hAnsi="Times New Roman"/>
          <w:color w:val="000000"/>
          <w:sz w:val="24"/>
        </w:rPr>
        <w:t xml:space="preserve">). Your new hire stock option award will be 250,000 stock options with an exercise or strike price equal to the closing sales price as quoted on the Nasdaq Stock Market as of the date of the grant by the Board. The anticipated Option grant will be governed by the terms and conditions of the Company’s 2021 Equity Incentive Plan and your grant agreement will include time-based vesting, as described below. No right to any stock or option is earned or accrued until such time that vesting occurs, nor does this grant confer any right to continued vesting or employment. The terms of this Option grant are as follows: one-fourth (1/4th) of the shares vest on the one year anniversary of the vesting commencement date, and none before such date; the balance of the shares vest in a series of 36 successive equal monthly installments measured from the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day after the first anniversary of the vesting commencement date, subject to your continuous service as of each such date. You will be eligible to receive awards of stock options, restricted stock or other equity awards pursuant to any plans or arrangements the Company may have in effect from time to time. The Board or a committee of the Board shall determine in its discretion whether Executive shall be granted any such equity awards and the terms of any such award in accordance with the terms of any applicable plan or arrangement that may be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0" w:after="240"/>
        <w:jc w:val="both"/>
        <w:rPr/>
      </w:pPr>
      <w:r>
        <w:rPr>
          <w:rFonts w:ascii="Times New Roman" w:hAnsi="Times New Roman"/>
          <w:b/>
          <w:color w:val="000000"/>
          <w:sz w:val="24"/>
        </w:rPr>
        <w:t>Standard Company Benefits.</w:t>
      </w:r>
      <w:r>
        <w:rPr>
          <w:color w:val="000000"/>
        </w:rPr>
        <w:t xml:space="preserve"> </w:t>
      </w:r>
      <w:r>
        <w:rPr>
          <w:rFonts w:ascii="Times New Roman" w:hAnsi="Times New Roman"/>
          <w:color w:val="000000"/>
          <w:sz w:val="24"/>
        </w:rPr>
        <w:t>Executive shall, in accordance with Company policy and the terms of the applicable plan documents, be eligible to participate in benefits under any benefit plan or arrangement that may be in effect from time to time and made available to similarly situated Company employees including, but not limited to, to the extent offered, customary health, life insurance, 401(k)/defined benefit, and disability plans. The Company reserves the right to modify, add or eliminate benefits from time to time. Executive will also be eligible to accrue and use paid time off (“</w:t>
      </w:r>
      <w:r>
        <w:rPr>
          <w:rFonts w:ascii="Times New Roman" w:hAnsi="Times New Roman"/>
          <w:b/>
          <w:i/>
          <w:color w:val="000000"/>
          <w:sz w:val="24"/>
        </w:rPr>
        <w:t>PTO</w:t>
      </w:r>
      <w:r>
        <w:rPr>
          <w:color w:val="000000"/>
        </w:rPr>
        <w:t>”</w:t>
      </w:r>
      <w:r>
        <w:rPr>
          <w:rFonts w:ascii="Times New Roman" w:hAnsi="Times New Roman"/>
          <w:color w:val="000000"/>
          <w:sz w:val="24"/>
        </w:rPr>
        <w:t xml:space="preserve">) in accordance with the Company’s PTO policy.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3.6</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The Company will reimburse Executive for all reasonable business expenses Executive incurs in conducting Executive’s duties hereunder, pursuant to the Company’s usual expense reimbursement practices.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pPr>
      <w:r>
        <w:rPr>
          <w:rFonts w:ascii="Times New Roman" w:hAnsi="Times New Roman"/>
          <w:b/>
          <w:smallCaps/>
          <w:color w:val="000000"/>
          <w:sz w:val="24"/>
        </w:rPr>
        <w:t xml:space="preserve">Proprietary Information Obligations. </w:t>
      </w:r>
      <w:r>
        <w:rPr>
          <w:rFonts w:ascii="Times New Roman" w:hAnsi="Times New Roman"/>
          <w:color w:val="000000"/>
          <w:sz w:val="24"/>
        </w:rPr>
        <w:t>In connection with Executive’s employment with the Company, Executive will receive and have access to Company confidential information and trade secrets. Accordingly, Executive acknowledges and agrees that Executive will review the enclosed Employee Confidential Information and Inventions Assignment Agreement and execute it on even date herewith (the “</w:t>
      </w:r>
      <w:r>
        <w:rPr>
          <w:rFonts w:ascii="Times New Roman" w:hAnsi="Times New Roman"/>
          <w:b/>
          <w:i/>
          <w:color w:val="000000"/>
          <w:sz w:val="24"/>
        </w:rPr>
        <w:t>CIIAA</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Termination of Employment; Severance.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At-Will Employment.</w:t>
      </w:r>
      <w:r>
        <w:rPr>
          <w:color w:val="000000"/>
        </w:rPr>
        <w:t xml:space="preserve"> </w:t>
      </w:r>
      <w:r>
        <w:rPr>
          <w:rFonts w:ascii="Times New Roman" w:hAnsi="Times New Roman"/>
          <w:color w:val="000000"/>
          <w:sz w:val="24"/>
        </w:rPr>
        <w:t xml:space="preserve">Executive’s employment relationship is at-will. Either Executive or the Company may terminate the employment relationship at any time, with or without cause or advance notice.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Executive’s Resignation without Good Reason.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may resign from employment with Company without Good Reason.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Executive resigns from employment with the Company without Good Reason (as defined below), then, provided that Executive provides at least thirty (30) days prior written notice (or such shorter prior written notice period agreed to in writing tby the Company), the Company shall pay Executive any earned but unpaid base salary accrued through the date of termination, reimbursement for any unreimbursed business expenses incurred through the termination date with proper submission of related receipts and/or invoices and all accrued but unused paid time off, at the rates then in effect, less standard deductions and withholdings. Executive will no longer vest in any equity interests (though any vested equity remains the property of the Executive, as permitted by and subject to the relevant stock agreement(s) and plan(s)) and the Company shall thereafter have no further obligations to Executive, except as may otherwise be required by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Termination Without Cause; Resignation for Good Reason.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terminate Executive’s employment with the Company at any time without Cause (as defined below). Further, Executive may resign at any time for Good Reason (as defined below).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In the event Executive’s employment with the Company is terminated by the Company without Cause, or Executive resigns for Good Reason, then provided such termination constitutes a “separation from service” (as defined under Treasury Regulation Section 1.409A-1(h), without regard to any alternative definition thereunder, a “</w:t>
      </w:r>
      <w:r>
        <w:rPr>
          <w:rFonts w:ascii="Times New Roman" w:hAnsi="Times New Roman"/>
          <w:b/>
          <w:i/>
          <w:color w:val="000000"/>
          <w:sz w:val="24"/>
        </w:rPr>
        <w:t>Separation from Service</w:t>
      </w:r>
      <w:r>
        <w:rPr>
          <w:color w:val="000000"/>
        </w:rPr>
        <w:t>”</w:t>
      </w:r>
      <w:r>
        <w:rPr>
          <w:rFonts w:ascii="Times New Roman" w:hAnsi="Times New Roman"/>
          <w:color w:val="000000"/>
          <w:sz w:val="24"/>
        </w:rPr>
        <w:t>), and provided that Executive remains in compliance with the terms of this Agreement, subject to Section 5.7, Executive shall receive the following: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pay Executive any earned but unpaid base salary accrued through the date of termination and all accrued but unused PTO, at the rates then in effect, less standard deductions and withholdings.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color w:val="000000"/>
          <w:sz w:val="24"/>
        </w:rPr>
        <w:t>The Company shall pay Executive, as severance, twelve (12) months of Executive’s Base Salary in effect as of the date of Executive’s employment termination, subject to standard payroll deductions and withholdings (the “</w:t>
      </w:r>
      <w:r>
        <w:rPr>
          <w:rFonts w:ascii="Times New Roman" w:hAnsi="Times New Roman"/>
          <w:b/>
          <w:i/>
          <w:color w:val="000000"/>
          <w:sz w:val="24"/>
        </w:rPr>
        <w:t>Severance</w:t>
      </w:r>
      <w:r>
        <w:rPr>
          <w:color w:val="000000"/>
        </w:rPr>
        <w:t>”</w:t>
      </w:r>
      <w:r>
        <w:rPr>
          <w:rFonts w:ascii="Times New Roman" w:hAnsi="Times New Roman"/>
          <w:color w:val="000000"/>
          <w:sz w:val="24"/>
        </w:rPr>
        <w:t xml:space="preserve">). The Severance will be paid in equal installments on the Company’s regular payroll schedule over the twelve (12) month period following Executive’s Separation from Service;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no payments will be made prior to the 60th day following Executive’s Separation from Service. On the 60th day following Executive’s Separation from Service, the Company will pay Executive in a lump sum the Severance that Executive would have received on or prior to such date under the standard payroll schedule but for the delay while waiting for the 60</w:t>
      </w:r>
      <w:r>
        <w:rPr>
          <w:rFonts w:ascii="Times New Roman" w:hAnsi="Times New Roman"/>
          <w:color w:val="000000"/>
          <w:sz w:val="16"/>
        </w:rPr>
        <w:t>th</w:t>
      </w:r>
      <w:r>
        <w:rPr>
          <w:color w:val="000000"/>
        </w:rPr>
        <w:t xml:space="preserve"> </w:t>
      </w:r>
      <w:r>
        <w:rPr>
          <w:rFonts w:ascii="Times New Roman" w:hAnsi="Times New Roman"/>
          <w:color w:val="000000"/>
          <w:sz w:val="24"/>
        </w:rPr>
        <w:t>day in compliance with Code Section 409A, with the balance of the Severance being paid as originally scheduled.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the Executive has actually achieved any of the performance goals set by the Board for such calendar year, the Company shall pay Executive a prorated Annual Bonus (calculated as the Annual Bonus that would have been paid for the entire calendar year multiplied by a fraction, the numerator of which is equal to the number of days Executive worked in the applicable calendar year, and the denominator of which is equal to the total number of days in such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color w:val="000000"/>
          <w:sz w:val="24"/>
        </w:rPr>
        <w:t>Provided Executive timely elects continued coverage under COBRA, the Company shall pay Executive’s COBRA premiums to continue Executive’s coverage (including coverage for eligible dependents, if applicable) (“</w:t>
      </w:r>
      <w:r>
        <w:rPr>
          <w:rFonts w:ascii="Times New Roman" w:hAnsi="Times New Roman"/>
          <w:b/>
          <w:i/>
          <w:color w:val="000000"/>
          <w:sz w:val="24"/>
        </w:rPr>
        <w:t>COBRA Premiums</w:t>
      </w:r>
      <w:r>
        <w:rPr>
          <w:color w:val="000000"/>
        </w:rPr>
        <w:t>”</w:t>
      </w:r>
      <w:r>
        <w:rPr>
          <w:rFonts w:ascii="Times New Roman" w:hAnsi="Times New Roman"/>
          <w:color w:val="000000"/>
          <w:sz w:val="24"/>
        </w:rPr>
        <w:t>) through the period (the “</w:t>
      </w:r>
      <w:r>
        <w:rPr>
          <w:rFonts w:ascii="Times New Roman" w:hAnsi="Times New Roman"/>
          <w:b/>
          <w:i/>
          <w:color w:val="000000"/>
          <w:sz w:val="24"/>
        </w:rPr>
        <w:t>COBRA Premium Period</w:t>
      </w:r>
      <w:r>
        <w:rPr>
          <w:color w:val="000000"/>
        </w:rPr>
        <w:t>”</w:t>
      </w:r>
      <w:r>
        <w:rPr>
          <w:rFonts w:ascii="Times New Roman" w:hAnsi="Times New Roman"/>
          <w:color w:val="000000"/>
          <w:sz w:val="24"/>
        </w:rPr>
        <w:t>) starting on Executive’s Separation from Service and ending on the earliest to occur of: (i) nine (9) months following Executive’s Separation from Service;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 to be eligible for COBRA during the COBRA Premium Period, Executive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Times New Roman" w:hAnsi="Times New Roman"/>
          <w:b/>
          <w:i/>
          <w:color w:val="000000"/>
          <w:sz w:val="24"/>
        </w:rPr>
        <w:t>Special Cash Payment</w:t>
      </w:r>
      <w:r>
        <w:rPr>
          <w:color w:val="000000"/>
        </w:rPr>
        <w:t>”</w:t>
      </w:r>
      <w:r>
        <w:rPr>
          <w:rFonts w:ascii="Times New Roman" w:hAnsi="Times New Roman"/>
          <w:color w:val="000000"/>
          <w:sz w:val="24"/>
        </w:rPr>
        <w:t xml:space="preserve">), for the remainder of the COBRA Premium Period. Executive may, but is not obligated to, use such Special Cash Payments toward the cost of COBRA premiums.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color w:val="000000"/>
          <w:sz w:val="24"/>
        </w:rPr>
        <w:t>Termination for Cause, Death, or Disability</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terminate Executive’s employment with the Company at any time for Cause. Executive’s employment with the Company may also be terminated due to Executive’s death or disability.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Company terminates Executive’s employment for Cause, or upon Executive’s death or disability, then Executive will no longer vest in any equity interests (though any vested equity remains the property of the Executive, as permitted by and subject to the relevant stock agreement(s) and plan(s)) and all payments of compensation by the Company to Executive hereunder will terminate immediately (except as to amounts already earned). The Company shall thereafter have no further obligations to Executive, except as may otherwise be required by law.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5.5</w:t>
      </w:r>
    </w:p>
    <w:p>
      <w:pPr>
        <w:pStyle w:val="TextBody"/>
        <w:bidi w:val="0"/>
        <w:spacing w:before="0" w:after="240"/>
        <w:jc w:val="both"/>
        <w:rPr/>
      </w:pPr>
      <w:r>
        <w:rPr>
          <w:rFonts w:ascii="Times New Roman" w:hAnsi="Times New Roman"/>
          <w:b/>
          <w:color w:val="000000"/>
          <w:sz w:val="24"/>
        </w:rPr>
        <w:t xml:space="preserve">Effect of Termination. </w:t>
      </w:r>
      <w:r>
        <w:rPr>
          <w:rFonts w:ascii="Times New Roman" w:hAnsi="Times New Roman"/>
          <w:color w:val="000000"/>
          <w:sz w:val="24"/>
        </w:rPr>
        <w:t xml:space="preserve">Executive agrees that should Executive’s employment be terminated for any reason, Executive shall be deemed to have resigned from any and all positions, including any director and/or officer positions with the Company and its affiliated entities.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w:t>
      </w:r>
    </w:p>
    <w:p>
      <w:pPr>
        <w:pStyle w:val="TextBody"/>
        <w:bidi w:val="0"/>
        <w:spacing w:before="0" w:after="240"/>
        <w:jc w:val="both"/>
        <w:rPr/>
      </w:pPr>
      <w:r>
        <w:rPr>
          <w:rFonts w:ascii="Times New Roman" w:hAnsi="Times New Roman"/>
          <w:b/>
          <w:color w:val="000000"/>
          <w:sz w:val="24"/>
        </w:rPr>
        <w:t xml:space="preserve">Section 409A Compliance. </w:t>
      </w:r>
      <w:r>
        <w:rPr>
          <w:rFonts w:ascii="Times New Roman" w:hAnsi="Times New Roman"/>
          <w:color w:val="000000"/>
          <w:sz w:val="24"/>
        </w:rPr>
        <w:t>It is intended that any benefits under this Agreement satisfy, to the greatest extent possible, the exemptions from the application of Section 409A of the Internal Revenue Code of 1986, as amended (</w:t>
      </w:r>
      <w:r>
        <w:rPr>
          <w:color w:val="000000"/>
        </w:rPr>
        <w:t>“</w:t>
      </w:r>
      <w:r>
        <w:rPr>
          <w:rFonts w:ascii="Times New Roman" w:hAnsi="Times New Roman"/>
          <w:b/>
          <w:i/>
          <w:color w:val="000000"/>
          <w:sz w:val="24"/>
        </w:rPr>
        <w:t>Section 409A</w:t>
      </w:r>
      <w:r>
        <w:rPr>
          <w:color w:val="000000"/>
        </w:rPr>
        <w:t>”</w:t>
      </w:r>
      <w:r>
        <w:rPr>
          <w:rFonts w:ascii="Times New Roman" w:hAnsi="Times New Roman"/>
          <w:color w:val="000000"/>
          <w:sz w:val="24"/>
        </w:rPr>
        <w:t>), provided under Treasury Regulations Sections 1.409A</w:t>
        <w:noBreakHyphen/>
        <w:t>1(b)(4), and 1.409A</w:t>
        <w:noBreakHyphen/>
        <w:t>1(b)(9), and this Agreement will be construed to the greatest extent possible as consistent with those provisions, and to the extent not so exempt, this Agreement (and any definitions hereunder) will be construed in a manner that complies with Section 409A. For purposes of Section 409A (including, without limitation, for purposes of Treasury Regulations Section 1.409A</w:t>
        <w:noBreakHyphen/>
        <w:t>2(b)(2)(iii)), Executive’s right to receive any installment payments under this Agreement (whether severance payments, if any, or otherwise) shall be treated as a right to receive a series of separate payments and, accordingly, each installment payment hereunder shall at all times be considered a separate and distinct payment. Severance benefits shall not commence until the Executive has a “separation from service” (as defined under Treasury Regulation Section 1.409A-1(h), without regard to any alternative definition thereunder, a “separation from service”). Notwithstanding any provision to the contrary in this Agreement, if Executive is deemed by the Company at the time of termination to be a “specified employee” for purposes of Section 409A(a)(2)(B)(i), and if any of the payments set forth herein are deemed to be “deferred compensation,” then to the extent delayed commencement of any portion of such payments is required in order to avoid a prohibited distribution under Section 409A(a)(2)(B)(i) and the related adverse taxation under Section 409A, such payments shall not be provided prior to the earliest of (i) the expiration of the six-month period measured from the date of termination, (ii) the date of Executive’s death or (iii) such earlier date as permitted under Section 409A without the imposition of adverse taxation. Upon the first business day following the expiration of such period, all payments deferred pursuant to this paragraph shall be paid in a lump sum, and any remaining payments due shall be paid as otherwise provided herein. No interest shall be due on any amounts so deferred. Finally, if the period during which Executive may consider and sign a release in connection with the receipt of severance benefits spans two calendar years, the payment of severance will not be made or begin until the later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5.7</w:t>
      </w:r>
    </w:p>
    <w:p>
      <w:pPr>
        <w:pStyle w:val="TextBody"/>
        <w:bidi w:val="0"/>
        <w:spacing w:before="0" w:after="240"/>
        <w:jc w:val="both"/>
        <w:rPr/>
      </w:pPr>
      <w:r>
        <w:rPr>
          <w:rFonts w:ascii="Times New Roman" w:hAnsi="Times New Roman"/>
          <w:b/>
          <w:color w:val="000000"/>
          <w:sz w:val="24"/>
        </w:rPr>
        <w:t>Release.</w:t>
      </w:r>
      <w:r>
        <w:rPr>
          <w:color w:val="000000"/>
        </w:rPr>
        <w:t xml:space="preserve"> </w:t>
      </w:r>
      <w:r>
        <w:rPr>
          <w:rFonts w:ascii="Times New Roman" w:hAnsi="Times New Roman"/>
          <w:color w:val="000000"/>
          <w:sz w:val="24"/>
        </w:rPr>
        <w:t xml:space="preserve">As a condition precedent to receipt of the benefits set forth in Section 5.3 above or Section 6 below, Executive shall furnish to the Company an executed waiver and release of claims in a form to be provided by the Company, which shall include confidentiality, non-disclosure, and non-disparagement provisions (the </w:t>
      </w:r>
      <w:r>
        <w:rPr>
          <w:color w:val="000000"/>
        </w:rPr>
        <w:t>“</w:t>
      </w:r>
      <w:r>
        <w:rPr>
          <w:rFonts w:ascii="Times New Roman" w:hAnsi="Times New Roman"/>
          <w:b/>
          <w:i/>
          <w:color w:val="000000"/>
          <w:sz w:val="24"/>
        </w:rPr>
        <w:t>Release”</w:t>
      </w:r>
      <w:r>
        <w:rPr>
          <w:rFonts w:ascii="Times New Roman" w:hAnsi="Times New Roman"/>
          <w:color w:val="000000"/>
          <w:sz w:val="24"/>
        </w:rPr>
        <w:t xml:space="preserve">) within the time period specified therein, but in no event later than forty-five (45) days following Executive’s termination. The Release may also include an obligation for Executive to provide reasonable transition assistance and consulting services to the Company on an as-needed basis through the first three (3) months following the Executive’s employment termination date with any additional services beyond three months to be paid at $200 per hour. During any transition period immediately commencing after employment terminates, the Company shall reimburse Executive for reasonable and necessary business expenses, and she shall remain covered under the then-current D&amp;O policy. Executive acknowledges and agrees that such transition services shall be fully compensated by the benefits described herein.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Benefits in Connection with Change of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 xml:space="preserve">Termination of Employment in Connection with a Change of Control. </w:t>
      </w:r>
      <w:r>
        <w:rPr>
          <w:rFonts w:ascii="Times New Roman" w:hAnsi="Times New Roman"/>
          <w:color w:val="000000"/>
          <w:sz w:val="24"/>
        </w:rPr>
        <w:t>If there is a Change of Control (as defined below) and (i) Executive’s employment is terminated Without Cause (as defined below), or (ii) Executive terminates his/her employment with Good Reason (as defined below), in either case within three (3) months prior to, or twelve (12) months following the effective date of the Change of Control, and provided a Release (as discussed in Section 5.7) has become effective, then, in substitution for any benefits provided in Section 5.3, Executive shall be entitled to the following benefits: (A) a lump sum payment equal to the sum of (y) twelve (12) months of Executive’s then-current annual Base Salary and (z) 100% of the current target Annual Bonus, to be made not later than 60 days following Executive’s date of termination; and (B) the amount of any COBRA continuation premium payments made by Executive during the twelve (12) month period following the date of termination, or the period ending when Executive becomes eligible for comparable group medical benefits from another source (whichever comes first). For avoidance of doubt, under no circumstances shall Executive receive benefits under both this Section 6.1 and Section 5.3.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 xml:space="preserve">Acceleration of Options; Change of Control. </w:t>
      </w:r>
      <w:r>
        <w:rPr>
          <w:rFonts w:ascii="Times New Roman" w:hAnsi="Times New Roman"/>
          <w:color w:val="000000"/>
          <w:sz w:val="24"/>
        </w:rPr>
        <w:t>If the Company terminates Executive’s employment with the Company without Cause, or Executive resigns for Good Reason, in either case within three (3) months prior to, or twelve (12) months following the closing of a Change of Control (as defined below), then in addition to the benefits set forth in Section 6.1 and pursuant to the terms of Section 5.7, the Company will fully accelerate the vesting of any equity interests granted to Executive, such that 100% of the then-unvested shares subject to such equity interests will be deemed vested and exercisable as of Executive’s last day of employment.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Definitions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rPr>
        <w:t>Cause.</w:t>
      </w:r>
      <w:r>
        <w:rPr>
          <w:color w:val="000000"/>
        </w:rPr>
        <w:t xml:space="preserve"> </w:t>
      </w:r>
      <w:r>
        <w:rPr>
          <w:rFonts w:ascii="Times New Roman" w:hAnsi="Times New Roman"/>
          <w:color w:val="000000"/>
          <w:sz w:val="24"/>
        </w:rPr>
        <w:t>For purposes of this Agreement, “</w:t>
      </w:r>
      <w:r>
        <w:rPr>
          <w:rFonts w:ascii="Times New Roman" w:hAnsi="Times New Roman"/>
          <w:b/>
          <w:color w:val="000000"/>
          <w:sz w:val="24"/>
        </w:rPr>
        <w:t>Cause</w:t>
      </w:r>
      <w:r>
        <w:rPr>
          <w:color w:val="000000"/>
        </w:rPr>
        <w:t xml:space="preserve">” </w:t>
      </w:r>
      <w:r>
        <w:rPr>
          <w:rFonts w:ascii="Times New Roman" w:hAnsi="Times New Roman"/>
          <w:color w:val="000000"/>
          <w:sz w:val="24"/>
        </w:rPr>
        <w:t>shall mean the occurrence of any of the following: (i) Executive’s conviction of any felony or any crime involving fraud or dishonesty; (ii) Executive’s participation in fraud, willful act of dishonesty or act of gross misconduct against the Company and/or its Board that results in material financial or reputational harm to the Company; (iii) Executive’s material violation of any statutory or fiduciary duty, or duty of loyalty, owed to the Company that is not sufficiently remedied within thirty days after written notice from the Company; or (iv) Executive’s material violation of material Company policy</w:t>
      </w:r>
      <w:r>
        <w:rPr>
          <w:color w:val="000000"/>
        </w:rPr>
        <w:t xml:space="preserve"> </w:t>
      </w:r>
      <w:r>
        <w:rPr>
          <w:rFonts w:ascii="Times New Roman" w:hAnsi="Times New Roman"/>
          <w:color w:val="000000"/>
          <w:sz w:val="24"/>
        </w:rPr>
        <w:t>that is not sufficiently remedied within thirty days after written notice from the Company. Prior to a termination for Cause pursuant to (iv) above, to the extent such event(s) is capable of being cured by Executive and to the extent it is the first such instance giving rise to the notice described herein, (A) the Company shall give the Executive a single notice of such event(s), which notice shall specify in reasonable detail the circumstances constituting Cause, (B) Executive shall have thirty (30) days after the delivery of such notice to cure the event(s) giving rise to Cause, the existence of such cure to be determined by the Board in good faith, provided that the Company reserves the right put Executive on a paid leave of absence during such period and limit or terminate Executive’s access to Company systems and property so long as such measures do not substantially interfere with Executive’s ability to cure the Cause of her termination during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Good Reason.</w:t>
      </w:r>
      <w:r>
        <w:rPr>
          <w:color w:val="000000"/>
        </w:rPr>
        <w:t xml:space="preserve"> </w:t>
      </w:r>
      <w:r>
        <w:rPr>
          <w:rFonts w:ascii="Times New Roman" w:hAnsi="Times New Roman"/>
          <w:color w:val="000000"/>
          <w:sz w:val="24"/>
        </w:rPr>
        <w:t>For purposes of this Agreement, Executive shall have “</w:t>
      </w:r>
      <w:r>
        <w:rPr>
          <w:rFonts w:ascii="Times New Roman" w:hAnsi="Times New Roman"/>
          <w:b/>
          <w:color w:val="000000"/>
          <w:sz w:val="24"/>
        </w:rPr>
        <w:t>Good Reason</w:t>
      </w:r>
      <w:r>
        <w:rPr>
          <w:color w:val="000000"/>
        </w:rPr>
        <w:t xml:space="preserve">” </w:t>
      </w:r>
      <w:r>
        <w:rPr>
          <w:rFonts w:ascii="Times New Roman" w:hAnsi="Times New Roman"/>
          <w:color w:val="000000"/>
          <w:sz w:val="24"/>
        </w:rPr>
        <w:t xml:space="preserve">for resignation from employment with the Company if any of the following actions are taken by the Company without Executive’s prior written consent: (a) a material reduction in Executive’s base salary, which the parties agree is a reduction of at least 10% of Executive’s base salary (unless pursuant to a salary reduction program applicable generally to the Company’s similarly situated employees); or (b) a material reduction in Executive’s title or duties (including responsibilities and/or authorities) including, but not limited to, Executive being required to report to someone other than the CEO and/or President (or division head, if Company is acquired and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operates as a division of the acquiror), </w:t>
      </w:r>
      <w:r>
        <w:rPr>
          <w:rFonts w:ascii="Times New Roman" w:hAnsi="Times New Roman"/>
          <w:i/>
          <w:color w:val="000000"/>
          <w:sz w:val="24"/>
        </w:rPr>
        <w:t xml:space="preserve">provided, however, </w:t>
      </w:r>
      <w:r>
        <w:rPr>
          <w:rFonts w:ascii="Times New Roman" w:hAnsi="Times New Roman"/>
          <w:color w:val="000000"/>
          <w:sz w:val="24"/>
        </w:rPr>
        <w:t>that a change in job position shall not be deemed a “material reduction” in and of itself unless Executive’s new duties are materially reduced from the prior duties; (c) relocation of Executive’s principal place of employment to a place that increases Executive’s one-way commute by more than sixty (60) miles as compared to Executive’s then-current principal place of employment immediately prior to such relocation; (d) a material breach by the Company of this Agreement or any equity award agreement that is not sufficiently remedied within thirty days after written notice from the Company. In order to resign for Good Reason, Executive must provide written notice to the Company’s CEO within 30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rPr>
        <w:t>Change of Control.</w:t>
      </w:r>
      <w:r>
        <w:rPr>
          <w:color w:val="000000"/>
        </w:rPr>
        <w:t xml:space="preserve"> </w:t>
      </w:r>
      <w:r>
        <w:rPr>
          <w:rFonts w:ascii="Times New Roman" w:hAnsi="Times New Roman"/>
          <w:color w:val="000000"/>
          <w:sz w:val="24"/>
        </w:rPr>
        <w:t xml:space="preserve">For purposes of this Agreement, </w:t>
      </w: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 xml:space="preserve">is defined in the Company’s 2021 Equity Incentive Plan.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both"/>
        <w:rPr/>
      </w:pPr>
      <w:r>
        <w:rPr>
          <w:rFonts w:ascii="Times New Roman" w:hAnsi="Times New Roman"/>
          <w:b/>
          <w:color w:val="000000"/>
          <w:sz w:val="24"/>
        </w:rPr>
        <w:t>Parachute Payments</w:t>
      </w:r>
      <w:r>
        <w:rPr>
          <w:rFonts w:ascii="Times New Roman" w:hAnsi="Times New Roman"/>
          <w:color w:val="000000"/>
          <w:sz w:val="24"/>
        </w:rPr>
        <w:t>. If any payment or benefit Executive would receive from the Company or otherwise in connection with a Change of Control or other similar transaction (a “</w:t>
      </w:r>
      <w:r>
        <w:rPr>
          <w:rFonts w:ascii="Times New Roman" w:hAnsi="Times New Roman"/>
          <w:b/>
          <w:i/>
          <w:color w:val="000000"/>
          <w:sz w:val="24"/>
        </w:rPr>
        <w:t>280G Payment</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b/>
          <w:i/>
          <w:color w:val="000000"/>
          <w:sz w:val="24"/>
        </w:rPr>
        <w:t>Excise Tax</w:t>
      </w:r>
      <w:r>
        <w:rPr>
          <w:color w:val="000000"/>
        </w:rPr>
        <w:t>”</w:t>
      </w:r>
      <w:r>
        <w:rPr>
          <w:rFonts w:ascii="Times New Roman" w:hAnsi="Times New Roman"/>
          <w:color w:val="000000"/>
          <w:sz w:val="24"/>
        </w:rPr>
        <w:t>), then any such 280G Payment (a "</w:t>
      </w:r>
      <w:r>
        <w:rPr>
          <w:rFonts w:ascii="Times New Roman" w:hAnsi="Times New Roman"/>
          <w:b/>
          <w:i/>
          <w:color w:val="000000"/>
          <w:sz w:val="24"/>
        </w:rPr>
        <w:t>Payment</w:t>
      </w:r>
      <w:r>
        <w:rPr>
          <w:rFonts w:ascii="Times New Roman" w:hAnsi="Times New Roman"/>
          <w:color w:val="000000"/>
          <w:sz w:val="24"/>
        </w:rPr>
        <w:t>") shall be equal to the Reduced Amount. The “</w:t>
      </w:r>
      <w:r>
        <w:rPr>
          <w:rFonts w:ascii="Times New Roman" w:hAnsi="Times New Roman"/>
          <w:b/>
          <w:i/>
          <w:color w:val="000000"/>
          <w:sz w:val="24"/>
        </w:rPr>
        <w:t>Reduced Amount</w:t>
      </w:r>
      <w:r>
        <w:rPr>
          <w:color w:val="000000"/>
        </w:rPr>
        <w:t xml:space="preserve">” </w:t>
      </w:r>
      <w:r>
        <w:rPr>
          <w:rFonts w:ascii="Times New Roman" w:hAnsi="Times New Roman"/>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4"/>
        </w:rPr>
        <w:t>Pro Rata Reduction Method</w:t>
      </w:r>
      <w:r>
        <w:rPr>
          <w:color w:val="000000"/>
        </w:rPr>
        <w:t>”</w:t>
      </w:r>
      <w:r>
        <w:rPr>
          <w:rFonts w:ascii="Times New Roman" w:hAnsi="Times New Roman"/>
          <w:color w:val="000000"/>
          <w:sz w:val="24"/>
        </w:rPr>
        <w:t xml:space="preserve">).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 </w:t>
      </w:r>
    </w:p>
    <w:p>
      <w:pPr>
        <w:pStyle w:val="TextBody"/>
        <w:bidi w:val="0"/>
        <w:spacing w:before="0" w:after="120"/>
        <w:jc w:val="both"/>
        <w:rPr>
          <w:rFonts w:ascii="Times New Roman" w:hAnsi="Times New Roman"/>
          <w:sz w:val="20"/>
        </w:rPr>
      </w:pPr>
      <w:r>
        <w:rPr>
          <w:rFonts w:ascii="Times New Roman" w:hAnsi="Times New Roman"/>
          <w:color w:val="201F1E"/>
          <w:sz w:val="24"/>
        </w:rPr>
        <w:t>The determinations made pursuant to this Section 8, and the assumptions to be utilized in arriving at such determinations, shall be made by a nationally recognized accounting or consulting firm chosen by the Board or a committee thereof (the “280G Calculation Firm”) at the expense of the Company. The 280G Calculation Firm shall take into account whether, and to what extent (if any), such Payments or portions thereof may properly be treated as “reasonable compensation for personal services rendered” by the Executive before, or after, the 280G Change in Control, within the meaning of Code section 280G(b)(4) and the regulations issued thereunder, as well as any other appropriate provisions of Section 280G of the Code and the regulations thereunder</w:t>
      </w:r>
      <w:r>
        <w:rPr>
          <w:rFonts w:ascii="Times New Roman" w:hAnsi="Times New Roman"/>
          <w:color w:val="201F1E"/>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01F1E"/>
          <w:sz w:val="24"/>
        </w:rPr>
      </w:pPr>
      <w:r>
        <w:rPr>
          <w:rFonts w:ascii="Times New Roman" w:hAnsi="Times New Roman"/>
          <w:color w:val="201F1E"/>
          <w:sz w:val="24"/>
        </w:rPr>
        <w:t>that may cause such Payments to appropriately be characterized as other than “parachute payments.” The 280G Calculation Firm shall provide a written report of its determinations hereunder, including detailed supporting calculations, both to the Executive and to the Company.</w:t>
      </w:r>
    </w:p>
    <w:p>
      <w:pPr>
        <w:pStyle w:val="TextBody"/>
        <w:bidi w:val="0"/>
        <w:spacing w:before="0" w:after="12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Executive receive a Payment for which the Reduced Amount was determined pursuant to clause (x) of the first paragraph of this Section and the Internal Revenue Service determines thereafter that some portion of the Payment is subject to the Excise Tax, Executive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Executive shall have no obligation to return any portion of the Payment pursuant to the preceding sentence.</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9.</w:t>
      </w:r>
    </w:p>
    <w:p>
      <w:pPr>
        <w:pStyle w:val="TextBody"/>
        <w:bidi w:val="0"/>
        <w:spacing w:before="0" w:after="240"/>
        <w:jc w:val="both"/>
        <w:rPr/>
      </w:pPr>
      <w:r>
        <w:rPr>
          <w:rFonts w:ascii="Times New Roman" w:hAnsi="Times New Roman"/>
          <w:b/>
          <w:smallCaps/>
          <w:color w:val="000000"/>
          <w:sz w:val="24"/>
        </w:rPr>
        <w:t>Arbitration</w:t>
      </w:r>
      <w:r>
        <w:rPr>
          <w:rFonts w:ascii="Times New Roman" w:hAnsi="Times New Roman"/>
          <w:color w:val="000000"/>
          <w:sz w:val="24"/>
        </w:rPr>
        <w:t>. 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the CIIAA, or Executive’s employment, or the termination of Executive’s employment, including but not limited to all statutory claims, with the exception of discrimination and harassment claims, will be resolved pursuant to the Federal Arbitration Act, 9 U.S.C. §1-16 (the “</w:t>
      </w:r>
      <w:r>
        <w:rPr>
          <w:rFonts w:ascii="Times New Roman" w:hAnsi="Times New Roman"/>
          <w:b/>
          <w:i/>
          <w:color w:val="000000"/>
          <w:sz w:val="24"/>
        </w:rPr>
        <w:t>FAA</w:t>
      </w:r>
      <w:r>
        <w:rPr>
          <w:color w:val="000000"/>
        </w:rPr>
        <w:t>”</w:t>
      </w:r>
      <w:r>
        <w:rPr>
          <w:rFonts w:ascii="Times New Roman" w:hAnsi="Times New Roman"/>
          <w:color w:val="000000"/>
          <w:sz w:val="24"/>
        </w:rPr>
        <w:t>), and to the fullest extent permitted by law, by final, binding and confidential arbitration by a single arbitrator conducted in New York, New York by Judicial Arbitration and Mediation Services Inc. (“</w:t>
      </w:r>
      <w:r>
        <w:rPr>
          <w:rFonts w:ascii="Times New Roman" w:hAnsi="Times New Roman"/>
          <w:b/>
          <w:i/>
          <w:color w:val="000000"/>
          <w:sz w:val="24"/>
        </w:rPr>
        <w:t>JAMS</w:t>
      </w:r>
      <w:r>
        <w:rPr>
          <w:color w:val="000000"/>
        </w:rPr>
        <w:t>”</w:t>
      </w:r>
      <w:r>
        <w:rPr>
          <w:rFonts w:ascii="Times New Roman" w:hAnsi="Times New Roman"/>
          <w:color w:val="000000"/>
          <w:sz w:val="24"/>
        </w:rPr>
        <w:t xml:space="preserve">) under the then applicable JAMS rules (at the following web address: </w:t>
      </w:r>
      <w:r>
        <w:rPr>
          <w:rFonts w:ascii="Times New Roman" w:hAnsi="Times New Roman"/>
          <w:color w:val="008080"/>
          <w:sz w:val="24"/>
          <w:u w:val="single"/>
        </w:rPr>
        <w:t>https://www.jamsadr.com/rules-employment-arbitration/</w:t>
      </w:r>
      <w:r>
        <w:rPr>
          <w:rFonts w:ascii="Times New Roman" w:hAnsi="Times New Roman"/>
          <w:color w:val="000000"/>
          <w:sz w:val="24"/>
        </w:rPr>
        <w:t xml:space="preserve">); provided, however, this arbitration provision shall not apply to sexual harassment and discrimination claims to the extent prohibited by applicable law that is not preempted by the FAA. A hard copy of the rules will be provided to Executive upon request. A hard copy of the rules will be provided to Executive upon request. </w:t>
      </w:r>
      <w:r>
        <w:rPr>
          <w:rFonts w:ascii="Times New Roman" w:hAnsi="Times New Roman"/>
          <w:b/>
          <w:color w:val="000000"/>
          <w:sz w:val="24"/>
        </w:rPr>
        <w:t xml:space="preserve">By agreeing to this arbitration procedure, both Executive and the Company waive the right to resolve any such dispute through a trial by jury or judge or administrative proceeding. </w:t>
      </w:r>
      <w:r>
        <w:rPr>
          <w:rFonts w:ascii="Times New Roman" w:hAnsi="Times New Roman"/>
          <w:color w:val="000000"/>
          <w:sz w:val="24"/>
        </w:rPr>
        <w:t xml:space="preserve">In addition, all claims, 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a federal court in the State of New York. However, procedural questions which grow out of the dispute and bear on the final disposition are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Executive and the Company shall equally share all JAMS’ arbitration fees. To the extent JAMS does not collect or Executive otherwise does not pay to JAMS an equal share of all JAMS’ arbitration fees for any reason, and the Company pays JAMS Executive’s share, Executive acknowledges and agrees that the Company shall be entitled to recover from Executive half of the JAMS arbitration fees invoiced to the parties (less any amounts Executive paid to JAMS) in a federal or state court of competent jurisdiction. Except as modified in the CIIAA, each party is responsible for its own attorneys’ fees. Nothing in this Agreement is intended to prevent either Executive or the Company from obtaining injunctive relief in court to prevent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or discrimination claims and is not preempted by the FAA, in the event Executive intends to bring multiple claims, including a sexual harassment or discrimination claim, the sexual harassment and/or discrimination claims may be publicly filed with a court, while any other claims will remain subject to mandatory arbitration.</w:t>
      </w:r>
      <w:r>
        <w:rPr>
          <w:color w:val="000000"/>
        </w:rPr>
        <w:t xml:space="preserv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10.</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 xml:space="preserve">General Provisions.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 xml:space="preserve">Representations and Warranties. </w:t>
      </w:r>
      <w:r>
        <w:rPr>
          <w:rFonts w:ascii="Times New Roman" w:hAnsi="Times New Roman"/>
          <w:color w:val="000000"/>
          <w:sz w:val="24"/>
        </w:rPr>
        <w:t>Executive represents and warrants that Executive is not restricted or prohibited, contractually or otherwise, from entering into and performing each of the terms and covenants contained in this Agreement, and that Executive’s execution and performance of this Agreement will not violate or breach any other agreements between the Executive and any other person or entity.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 xml:space="preserve">Advertising Waiver. </w:t>
      </w:r>
      <w:r>
        <w:rPr>
          <w:rFonts w:ascii="Times New Roman" w:hAnsi="Times New Roman"/>
          <w:color w:val="000000"/>
          <w:sz w:val="24"/>
        </w:rPr>
        <w:t>Executive agrees to permit the Company, and persons or other organizations authorized by the Company, to use, publish and distribute advertising or sales promotional literature concerning the products and/or services of the Company in which Executive’s name and/or pictures of Executive appear. Executive hereby waives and releases any claim or right Executive may otherwise have arising out of such use, publication or distribution.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 xml:space="preserve">D&amp;O Insurance. </w:t>
      </w:r>
      <w:r>
        <w:rPr>
          <w:rFonts w:ascii="Times New Roman" w:hAnsi="Times New Roman"/>
          <w:color w:val="000000"/>
          <w:sz w:val="24"/>
        </w:rPr>
        <w:t>Executive shall be entitled to indemnification from the Company pursuant to, and in accordance with the terms of, (i) the Company’s charter and bylaws, to the extent that indemnification of Executive is provided for therein, and (ii) any D&amp;O insurance policy covering Executive purchased by the Company. The D&amp;O insurance policy (or policies) shall be kept in place at the Company’s expense, during the term of this Agreement and thereafter until at least the second anniversary of the date Executive’s employment with the Company terminates, providing coverage to Executive that is no less favorable to her in any respect than the coverage then being provided to any other current or former director or officer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Tax Withholding</w:t>
      </w:r>
      <w:r>
        <w:rPr>
          <w:rFonts w:ascii="Times New Roman" w:hAnsi="Times New Roman"/>
          <w:color w:val="000000"/>
          <w:sz w:val="24"/>
        </w:rPr>
        <w:t>. All payments and awards contemplated or made 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 xml:space="preserve">This Agreement, along with the CIIAA, constitutes the complete, final and exclusive embodiment of the entire agreement between Executive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Executive and a duly authorized member of the Board. This Agreement will bind the heirs, personal representatives, successors and assigns of both Executive and the Company, and inure to the benefit of both Executive and the Company, and to her and its heirs, successors and assigns.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New York. Any ambiguity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executed this Agreement as of the day and year first written above.</w:t>
      </w:r>
    </w:p>
    <w:p>
      <w:pPr>
        <w:pStyle w:val="TextBody"/>
        <w:bidi w:val="0"/>
        <w:spacing w:before="0" w:after="720"/>
        <w:jc w:val="both"/>
        <w:rPr>
          <w:rFonts w:ascii="Times New Roman" w:hAnsi="Times New Roman"/>
          <w:b/>
          <w:smallCaps/>
          <w:color w:val="000000"/>
          <w:sz w:val="24"/>
        </w:rPr>
      </w:pPr>
      <w:r>
        <w:rPr>
          <w:rFonts w:ascii="Times New Roman" w:hAnsi="Times New Roman"/>
          <w:b/>
          <w:smallCaps/>
          <w:color w:val="000000"/>
          <w:sz w:val="24"/>
        </w:rPr>
        <w:t>IN8bio, Inc.</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jc w:val="both"/>
        <w:rPr>
          <w:rFonts w:ascii="Times New Roman" w:hAnsi="Times New Roman"/>
          <w:color w:val="000000"/>
          <w:sz w:val="24"/>
        </w:rPr>
      </w:pPr>
      <w:r>
        <w:rPr>
          <w:rFonts w:ascii="Times New Roman" w:hAnsi="Times New Roman"/>
          <w:color w:val="000000"/>
          <w:sz w:val="24"/>
        </w:rPr>
        <w:t>Name: William Ho</w:t>
      </w:r>
    </w:p>
    <w:p>
      <w:pPr>
        <w:pStyle w:val="TextBody"/>
        <w:bidi w:val="0"/>
        <w:jc w:val="both"/>
        <w:rPr>
          <w:rFonts w:ascii="Times New Roman" w:hAnsi="Times New Roman"/>
          <w:color w:val="000000"/>
          <w:sz w:val="24"/>
        </w:rPr>
      </w:pPr>
      <w:r>
        <w:rPr>
          <w:rFonts w:ascii="Times New Roman" w:hAnsi="Times New Roman"/>
          <w:color w:val="000000"/>
          <w:sz w:val="24"/>
        </w:rPr>
        <w:t>Title: President &amp; CEO</w:t>
      </w:r>
    </w:p>
    <w:p>
      <w:pPr>
        <w:pStyle w:val="TextBody"/>
        <w:bidi w:val="0"/>
        <w:jc w:val="both"/>
        <w:rPr>
          <w:rFonts w:ascii="Times New Roman" w:hAnsi="Times New Roman"/>
          <w:color w:val="000000"/>
          <w:sz w:val="24"/>
        </w:rPr>
      </w:pPr>
      <w:r>
        <w:rPr>
          <w:rFonts w:ascii="Times New Roman" w:hAnsi="Times New Roman"/>
          <w:color w:val="000000"/>
          <w:sz w:val="24"/>
        </w:rPr>
        <w:t>Accepted and agreed:</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 Trishna Goswami, MD</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Trishna Goswami, MD</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Permitted Non-Company Positions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both"/>
        <w:rPr/>
      </w:pPr>
      <w:r>
        <w:rPr/>
        <w:t> </w:t>
      </w:r>
    </w:p>
    <w:p>
      <w:pPr>
        <w:pStyle w:val="TextBody"/>
        <w:bidi w:val="0"/>
        <w:jc w:val="left"/>
        <w:rPr>
          <w:rFonts w:ascii="Arial" w:hAnsi="Arial"/>
          <w:color w:val="000000"/>
          <w:sz w:val="14"/>
        </w:rPr>
      </w:pPr>
      <w:r>
        <w:rPr>
          <w:rFonts w:ascii="Arial" w:hAnsi="Arial"/>
          <w:color w:val="000000"/>
          <w:sz w:val="14"/>
        </w:rPr>
        <w:t>257488580 v2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inab-ex10_20.htm"/>
      <w:bookmarkStart w:id="48" w:name="ksinabex10_20"/>
      <w:bookmarkEnd w:id="47"/>
      <w:bookmarkEnd w:id="48"/>
      <w:r>
        <w:rPr/>
        <w:t> </w:t>
      </w:r>
      <w:r>
        <w:br w:type="page"/>
      </w:r>
    </w:p>
    <w:p>
      <w:pPr>
        <w:pStyle w:val="TextBody"/>
        <w:bidi w:val="0"/>
        <w:jc w:val="center"/>
        <w:rPr/>
      </w:pPr>
      <w:r>
        <w:rPr/>
        <w:drawing>
          <wp:inline distT="0" distB="0" distL="0" distR="0">
            <wp:extent cx="1981200" cy="12192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83"/>
                    <a:stretch>
                      <a:fillRect/>
                    </a:stretch>
                  </pic:blipFill>
                  <pic:spPr bwMode="auto">
                    <a:xfrm>
                      <a:off x="0" y="0"/>
                      <a:ext cx="1981200" cy="1219200"/>
                    </a:xfrm>
                    <a:prstGeom prst="rect">
                      <a:avLst/>
                    </a:prstGeom>
                  </pic:spPr>
                </pic:pic>
              </a:graphicData>
            </a:graphic>
          </wp:inline>
        </w:drawing>
      </w:r>
    </w:p>
    <w:p>
      <w:pPr>
        <w:pStyle w:val="TextBody"/>
        <w:bidi w:val="0"/>
        <w:spacing w:before="0" w:after="360"/>
        <w:jc w:val="center"/>
        <w:rPr>
          <w:rFonts w:ascii="Times New Roman" w:hAnsi="Times New Roman"/>
          <w:b/>
          <w:smallCaps/>
          <w:color w:val="000000"/>
          <w:sz w:val="24"/>
        </w:rPr>
      </w:pPr>
      <w:r>
        <w:rPr>
          <w:rFonts w:ascii="Times New Roman" w:hAnsi="Times New Roman"/>
          <w:b/>
          <w:smallCaps/>
          <w:color w:val="000000"/>
          <w:sz w:val="24"/>
        </w:rPr>
        <w:t>EXHIBIT 10.20</w:t>
      </w:r>
    </w:p>
    <w:p>
      <w:pPr>
        <w:pStyle w:val="TextBody"/>
        <w:bidi w:val="0"/>
        <w:spacing w:before="0" w:after="360"/>
        <w:jc w:val="center"/>
        <w:rPr>
          <w:rFonts w:ascii="Times New Roman" w:hAnsi="Times New Roman"/>
          <w:b/>
          <w:smallCaps/>
          <w:color w:val="000000"/>
          <w:sz w:val="24"/>
        </w:rPr>
      </w:pPr>
      <w:r>
        <w:rPr>
          <w:rFonts w:ascii="Times New Roman" w:hAnsi="Times New Roman"/>
          <w:b/>
          <w:smallCaps/>
          <w:color w:val="000000"/>
          <w:sz w:val="24"/>
        </w:rPr>
        <w:t>EMPLOYMENT AGREEMENT</w:t>
      </w:r>
    </w:p>
    <w:p>
      <w:pPr>
        <w:pStyle w:val="TextBody"/>
        <w:bidi w:val="0"/>
        <w:spacing w:before="0" w:after="12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as of January 20, 2021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Patrick McCall (the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and IN8bio, Inc., its subsidiaries, parents, affiliates, predecessors, successors and assigns (together,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(Executive and the Company together,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20" w:after="12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WHEREAS, the Company wishes to employ Executive and Executive wishes to be employed by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and Executive desire to enter into this Agreement to establish and govern the terms and conditions of Executive’s employment by the Company.</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promises and mutual covenants contained herein and other good and valuable consideration, the receipt and sufficiency of which are hereby acknowledged, the parties hereto agree as follows:</w:t>
      </w:r>
    </w:p>
    <w:p>
      <w:pPr>
        <w:pStyle w:val="TextBody"/>
        <w:bidi w:val="0"/>
        <w:spacing w:before="120" w:after="120"/>
        <w:jc w:val="center"/>
        <w:rPr>
          <w:rFonts w:ascii="Times New Roman" w:hAnsi="Times New Roman"/>
          <w:b/>
          <w:smallCaps/>
          <w:color w:val="000000"/>
          <w:sz w:val="24"/>
        </w:rPr>
      </w:pPr>
      <w:r>
        <w:rPr>
          <w:rFonts w:ascii="Times New Roman" w:hAnsi="Times New Roman"/>
          <w:b/>
          <w:smallCaps/>
          <w:color w:val="000000"/>
          <w:sz w:val="24"/>
        </w:rPr>
        <w:t>Agreement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In consideration of the foregoing, the parties agree as follows: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Employment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Position; Duties; Location.</w:t>
      </w:r>
      <w:r>
        <w:rPr>
          <w:color w:val="000000"/>
        </w:rPr>
        <w:t xml:space="preserve"> </w:t>
      </w:r>
      <w:r>
        <w:rPr>
          <w:rFonts w:ascii="Times New Roman" w:hAnsi="Times New Roman"/>
          <w:color w:val="000000"/>
          <w:sz w:val="24"/>
        </w:rPr>
        <w:t>Subject to the terms and conditions of this Agreement, Executive shall hold the position of Chief Financial Officer. Executive’s activities shall be as directed by the Company’s Chief Executive Officer (the “</w:t>
      </w:r>
      <w:r>
        <w:rPr>
          <w:rFonts w:ascii="Times New Roman" w:hAnsi="Times New Roman"/>
          <w:b/>
          <w:color w:val="000000"/>
          <w:sz w:val="24"/>
        </w:rPr>
        <w:t>CEO</w:t>
      </w:r>
      <w:r>
        <w:rPr>
          <w:color w:val="000000"/>
        </w:rPr>
        <w:t>”</w:t>
      </w:r>
      <w:r>
        <w:rPr>
          <w:rFonts w:ascii="Times New Roman" w:hAnsi="Times New Roman"/>
          <w:color w:val="000000"/>
          <w:sz w:val="24"/>
        </w:rPr>
        <w:t xml:space="preserve">) and shall include such duties and activities as typically associated with Executive’s position, and as otherwise may be assigned to Executive from time to time. The Company reserves the right to change or modify Executive’s title and/or duties as business needs may require. Executive shall devote Executive’s business energies, interest, abilities and productive time to the proper and efficient performance of Executive’s duties under this Agreement. Executive initially shall report to the CEO and work primarily from the Company’s offices/facilities in New York City provided that the Company reserves the right to require business travel.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Policies and Procedures.</w:t>
      </w:r>
      <w:r>
        <w:rPr>
          <w:color w:val="000000"/>
        </w:rPr>
        <w:t xml:space="preserve"> </w:t>
      </w:r>
      <w:r>
        <w:rPr>
          <w:rFonts w:ascii="Times New Roman" w:hAnsi="Times New Roman"/>
          <w:color w:val="000000"/>
          <w:sz w:val="24"/>
        </w:rPr>
        <w:t>The employment relationship between the parties shall be governed by this Agreement and by the policies and practices established by the Company’s Board of Directors (the “</w:t>
      </w:r>
      <w:r>
        <w:rPr>
          <w:rFonts w:ascii="Times New Roman" w:hAnsi="Times New Roman"/>
          <w:b/>
          <w:i/>
          <w:color w:val="000000"/>
          <w:sz w:val="24"/>
        </w:rPr>
        <w:t>Board</w:t>
      </w:r>
      <w:r>
        <w:rPr>
          <w:color w:val="000000"/>
        </w:rPr>
        <w:t>”</w:t>
      </w:r>
      <w:r>
        <w:rPr>
          <w:rFonts w:ascii="Times New Roman" w:hAnsi="Times New Roman"/>
          <w:color w:val="000000"/>
          <w:sz w:val="24"/>
        </w:rPr>
        <w:t>). In the event that the terms of this Agreement differ from or are in conflict with the Company’s policies or practices, this Agreement shall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 xml:space="preserve">Exclusive Employment; Agreement not to Participate in Company’s Competitors. </w:t>
      </w:r>
      <w:r>
        <w:rPr>
          <w:rFonts w:ascii="Times New Roman" w:hAnsi="Times New Roman"/>
          <w:color w:val="000000"/>
          <w:sz w:val="24"/>
        </w:rPr>
        <w:t xml:space="preserve">Except with the prior written consent of the Board, Executive will not, during the period of employment by the Company, undertake or engage in any other employment, or directly or indirectly, undertake or engage in any employment, directorships, occupation, or business activity that competes with directly or indirectly, or is known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by Executive to be adverse or antagonistic to the business, prospective business, or financial or other interests of the Company, provided, however, that the Company agrees that Executive may continue to serve in any roles, positions, and/or appointments listed in Exhibit A to this Agreement, or any similar roles, positions, and/or appointments mutually agreed upon by the Company and the Executive, provided, in each case, they do not interfere with Executive’s job duties for the Company.</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 xml:space="preserve">Start Date. </w:t>
      </w:r>
      <w:r>
        <w:rPr>
          <w:rFonts w:ascii="Times New Roman" w:hAnsi="Times New Roman"/>
          <w:color w:val="000000"/>
          <w:sz w:val="24"/>
        </w:rPr>
        <w:t>Executive’s employment with the Company shall commence as mutually agreed upon by the parties (the “Start Date”) but in no event later than February 8, 2021.</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both"/>
        <w:rPr/>
      </w:pPr>
      <w:r>
        <w:rPr>
          <w:rFonts w:ascii="Times New Roman" w:hAnsi="Times New Roman"/>
          <w:b/>
          <w:smallCaps/>
          <w:color w:val="000000"/>
          <w:sz w:val="24"/>
        </w:rPr>
        <w:t>At-Will Employment.</w:t>
      </w:r>
      <w:r>
        <w:rPr>
          <w:color w:val="000000"/>
        </w:rPr>
        <w:t xml:space="preserve"> </w:t>
      </w:r>
      <w:r>
        <w:rPr>
          <w:rFonts w:ascii="Times New Roman" w:hAnsi="Times New Roman"/>
          <w:color w:val="000000"/>
          <w:sz w:val="24"/>
        </w:rPr>
        <w:t xml:space="preserve">Executive’s employment relationship with the Company is, and shall at all times be, at-will. This means that either Executive or the Company may terminate the employment relationship at any time, for any reason or for no reason, with or without cause or advance notice.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Compensation and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Salary.</w:t>
      </w:r>
      <w:r>
        <w:rPr>
          <w:color w:val="000000"/>
        </w:rPr>
        <w:t xml:space="preserve"> </w:t>
      </w:r>
      <w:r>
        <w:rPr>
          <w:rFonts w:ascii="Times New Roman" w:hAnsi="Times New Roman"/>
          <w:color w:val="000000"/>
          <w:sz w:val="24"/>
        </w:rPr>
        <w:t>Beginning on the Effective Date, Executive shall earn an initial base salary of $370,000 per annum, less payroll deductions and all required withholdings (the “</w:t>
      </w:r>
      <w:r>
        <w:rPr>
          <w:rFonts w:ascii="Times New Roman" w:hAnsi="Times New Roman"/>
          <w:b/>
          <w:i/>
          <w:color w:val="000000"/>
          <w:sz w:val="24"/>
        </w:rPr>
        <w:t>Base Salary</w:t>
      </w:r>
      <w:r>
        <w:rPr>
          <w:color w:val="000000"/>
        </w:rPr>
        <w:t>”</w:t>
      </w:r>
      <w:r>
        <w:rPr>
          <w:rFonts w:ascii="Times New Roman" w:hAnsi="Times New Roman"/>
          <w:color w:val="000000"/>
          <w:sz w:val="24"/>
        </w:rPr>
        <w:t>). The Base Salary shall be prorated for any partial year of employment on the basis of a 365-day year. The Base Salary may be adjusted from time to time in the Company’s discretion.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Sign-On Bonus</w:t>
      </w:r>
      <w:r>
        <w:rPr>
          <w:rFonts w:ascii="Times New Roman" w:hAnsi="Times New Roman"/>
          <w:color w:val="000000"/>
          <w:sz w:val="24"/>
        </w:rPr>
        <w:t>. Within thirty (30) days after the Start Date, the Company will pay Executive a one-time start bonus of $50,000, less payroll deductions and all required withholdings. The net amount of this bonus must be repaid to the Company by Executive if Executive resigns from employment with the Company without Good Reason within one (1) year after the Start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Performance Bonus.</w:t>
      </w:r>
      <w:r>
        <w:rPr>
          <w:color w:val="000000"/>
        </w:rPr>
        <w:t xml:space="preserve"> </w:t>
      </w:r>
      <w:r>
        <w:rPr>
          <w:rFonts w:ascii="Times New Roman" w:hAnsi="Times New Roman"/>
          <w:color w:val="000000"/>
          <w:sz w:val="24"/>
        </w:rPr>
        <w:t>Each full calendar year, Executive will be eligible to earn a cash bonus of up to 40% of Executive’s Base Salary, less payroll deductions and all required withholdings, based on the Board’s assessment of Executive’s individual performance and overall Company performance (the “</w:t>
      </w:r>
      <w:r>
        <w:rPr>
          <w:rFonts w:ascii="Times New Roman" w:hAnsi="Times New Roman"/>
          <w:b/>
          <w:i/>
          <w:color w:val="000000"/>
          <w:sz w:val="24"/>
        </w:rPr>
        <w:t>Annual Bonus</w:t>
      </w:r>
      <w:r>
        <w:rPr>
          <w:color w:val="000000"/>
        </w:rPr>
        <w:t>”</w:t>
      </w:r>
      <w:r>
        <w:rPr>
          <w:rFonts w:ascii="Times New Roman" w:hAnsi="Times New Roman"/>
          <w:color w:val="000000"/>
          <w:sz w:val="24"/>
        </w:rPr>
        <w:t>). In order to earn and receive the bonus, Executive must remain employed by the Company through and including the bonus payout date, which will be on or before March 15</w:t>
      </w:r>
      <w:r>
        <w:rPr>
          <w:rFonts w:ascii="Times New Roman" w:hAnsi="Times New Roman"/>
          <w:color w:val="000000"/>
          <w:sz w:val="16"/>
        </w:rPr>
        <w:t>th</w:t>
      </w:r>
      <w:r>
        <w:rPr>
          <w:color w:val="000000"/>
        </w:rPr>
        <w:t xml:space="preserve"> </w:t>
      </w:r>
      <w:r>
        <w:rPr>
          <w:rFonts w:ascii="Times New Roman" w:hAnsi="Times New Roman"/>
          <w:color w:val="000000"/>
          <w:sz w:val="24"/>
        </w:rPr>
        <w:t xml:space="preserve">of the year following the year to which it relates. The determination of whether Executive has earned a bonus and the amount thereof shall be determined by the Board (and/or a committee thereof) in its sole and absolute discretion. The Company reserves the right to modify the bonus criteria and targets from year to year.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color w:val="000000"/>
          <w:sz w:val="24"/>
        </w:rPr>
        <w:t xml:space="preserve">Stock Options. </w:t>
      </w:r>
      <w:r>
        <w:rPr>
          <w:rFonts w:ascii="Times New Roman" w:hAnsi="Times New Roman"/>
          <w:color w:val="000000"/>
          <w:sz w:val="24"/>
        </w:rPr>
        <w:t xml:space="preserve">Subject to approval by our Board of Directors, on or within 7 business days following the Start Date, IN8bio will provide to you a new hire equity award of stock options representing the right to purchase shares of Company common stock (the “Option”). Your new hire stock option award will be 188,816 stock options with a strike price at the then approved 409A valuation price. The anticipated Option grant will be governed by the terms and conditions of the Company’s 2018 Equity Incentive Plan (including its net exercise provision) and your grant agreement will include time-based vesting, as described below. No right to any stock or option is earned or accrued until such time that vesting occurs, nor does this grant confer any right to continued vesting or employment. The terms of this Option grant are as follows: one-fourth (1/4th) of the shares vest one year and a day after the vesting commencement date, and none before such date; the balance of the shares vest in a series of 36 successive equal monthly installments measured from the day after the first anniversary of the vesting commencement date, subject to your continuous service as of each such date. You will be eligible to receive awards of stock options, restricted stock or other equity awards pursuant to any plans or arrangements the Company may have in effect from time to time. The Board or a committee of the Board shall determine in its discretion whether Executive shall be granted any such equity awards and the terms of any such award in accordance with the terms of any applicable plan or arrangement that may be in effect from time to time. There is no Company repurchase right of vested Option shares or right of first refusal with respect to vested Option shares after a Company IPO.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0" w:after="240"/>
        <w:jc w:val="both"/>
        <w:rPr/>
      </w:pPr>
      <w:r>
        <w:rPr>
          <w:rFonts w:ascii="Times New Roman" w:hAnsi="Times New Roman"/>
          <w:b/>
          <w:color w:val="000000"/>
          <w:sz w:val="24"/>
        </w:rPr>
        <w:t>Standard Company Benefits.</w:t>
      </w:r>
      <w:r>
        <w:rPr>
          <w:color w:val="000000"/>
        </w:rPr>
        <w:t xml:space="preserve"> </w:t>
      </w:r>
      <w:r>
        <w:rPr>
          <w:rFonts w:ascii="Times New Roman" w:hAnsi="Times New Roman"/>
          <w:color w:val="000000"/>
          <w:sz w:val="24"/>
        </w:rPr>
        <w:t>Executive shall, in accordance with Company policy and the terms of the applicable plan documents, be eligible to participate in benefits under any benefit plan or arrangement that may be in effect from time to time and made available to similarly situated Company employees. The Company reserves the right to modify, add or eliminate benefits from time to time. Executive will also be eligible to accrue and use paid time off (“</w:t>
      </w:r>
      <w:r>
        <w:rPr>
          <w:rFonts w:ascii="Times New Roman" w:hAnsi="Times New Roman"/>
          <w:b/>
          <w:i/>
          <w:color w:val="000000"/>
          <w:sz w:val="24"/>
        </w:rPr>
        <w:t>PTO</w:t>
      </w:r>
      <w:r>
        <w:rPr>
          <w:color w:val="000000"/>
        </w:rPr>
        <w:t>”</w:t>
      </w:r>
      <w:r>
        <w:rPr>
          <w:rFonts w:ascii="Times New Roman" w:hAnsi="Times New Roman"/>
          <w:color w:val="000000"/>
          <w:sz w:val="24"/>
        </w:rPr>
        <w:t>) in accordance with the Company’s PTO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3.6</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The Company will reimburse Executive for all reasonable business expenses Executive incurs in conducting Executive’s duties hereunder, pursuant to the Company’s usual expense reimbursement practices.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pPr>
      <w:r>
        <w:rPr>
          <w:rFonts w:ascii="Times New Roman" w:hAnsi="Times New Roman"/>
          <w:b/>
          <w:smallCaps/>
          <w:color w:val="000000"/>
          <w:sz w:val="24"/>
        </w:rPr>
        <w:t xml:space="preserve">Proprietary Information Obligations. </w:t>
      </w:r>
      <w:r>
        <w:rPr>
          <w:rFonts w:ascii="Times New Roman" w:hAnsi="Times New Roman"/>
          <w:color w:val="000000"/>
          <w:sz w:val="24"/>
        </w:rPr>
        <w:t>In connection with Executive’s employment with the Company, Executive will receive and have access to Company confidential information and trade secrets. Accordingly, Executive acknowledges and agrees that Executive will review the enclosed Employee Confidential Information and Inventions Assignment Agreement and execute it on even date herewith (the “</w:t>
      </w:r>
      <w:r>
        <w:rPr>
          <w:rFonts w:ascii="Times New Roman" w:hAnsi="Times New Roman"/>
          <w:b/>
          <w:i/>
          <w:color w:val="000000"/>
          <w:sz w:val="24"/>
        </w:rPr>
        <w:t>CIIAA</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Termination of Employment; Severance.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At-Will Employment.</w:t>
      </w:r>
      <w:r>
        <w:rPr>
          <w:color w:val="000000"/>
        </w:rPr>
        <w:t xml:space="preserve"> </w:t>
      </w:r>
      <w:r>
        <w:rPr>
          <w:rFonts w:ascii="Times New Roman" w:hAnsi="Times New Roman"/>
          <w:color w:val="000000"/>
          <w:sz w:val="24"/>
        </w:rPr>
        <w:t xml:space="preserve">Executive’s employment relationship is at-will. Either Executive or the Company may terminate the employment relationship at any time, with or without cause or advance notice.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Executive’s Resignation without Good Reason.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may resign from employment with Company without Good Reason.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Executive resigns from employment with the Company without Good Reason (as defined below), then, provided that Executive provides at least thirty (30) days prior written notice (or such shorter prior written notice period agreed to in writing by the Company), the Company shall pay Executive any earned but unpaid base salary accrued through the date of termination and all accrued but unused paid time off, at the rates then in effect, less standard deductions and withholdings. Executive will no longer vest in any equity interests and the Company shall thereafter have no further obligations to Executive, except as may otherwise be required by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Termination Without Cause; Resignation for Good Reason.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terminate Executive’s employment with the Company at any time without Cause (as defined below). Further, Executive may resign at any time for Good Reason (as defined below).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In the event Executive’s employment with the Company is terminated by the Company without Cause, or Executive resigns for Good Reason, then provided such termination constitutes a “separation from service” (as defined under Treasury Regulation Section 1.409A-1(h), without regard to any alternative definition thereunder, a “</w:t>
      </w:r>
      <w:r>
        <w:rPr>
          <w:rFonts w:ascii="Times New Roman" w:hAnsi="Times New Roman"/>
          <w:b/>
          <w:i/>
          <w:color w:val="000000"/>
          <w:sz w:val="24"/>
        </w:rPr>
        <w:t>Separation from Service</w:t>
      </w:r>
      <w:r>
        <w:rPr>
          <w:color w:val="000000"/>
        </w:rPr>
        <w:t>”</w:t>
      </w:r>
      <w:r>
        <w:rPr>
          <w:rFonts w:ascii="Times New Roman" w:hAnsi="Times New Roman"/>
          <w:color w:val="000000"/>
          <w:sz w:val="24"/>
        </w:rPr>
        <w:t>), and provided that Executive remains in compliance with the terms of this Agreement, subject to Section 5.7, Executive shall receive the following: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pay Executive any earned but unpaid base salary accrued through the date of termination and all accrued but unused PTO, at the rates then in effect, less standard deductions and withholdings.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color w:val="000000"/>
          <w:sz w:val="24"/>
        </w:rPr>
        <w:t>The Company shall pay Executive, as severance, twelve (12) months of Executive’s Base Salary in effect as of the date of Executive’s employment termination, subject to standard payroll deductions and withholdings (the “</w:t>
      </w:r>
      <w:r>
        <w:rPr>
          <w:rFonts w:ascii="Times New Roman" w:hAnsi="Times New Roman"/>
          <w:b/>
          <w:i/>
          <w:color w:val="000000"/>
          <w:sz w:val="24"/>
        </w:rPr>
        <w:t>Severance</w:t>
      </w:r>
      <w:r>
        <w:rPr>
          <w:color w:val="000000"/>
        </w:rPr>
        <w:t>”</w:t>
      </w:r>
      <w:r>
        <w:rPr>
          <w:rFonts w:ascii="Times New Roman" w:hAnsi="Times New Roman"/>
          <w:color w:val="000000"/>
          <w:sz w:val="24"/>
        </w:rPr>
        <w:t xml:space="preserve">). The Severance will be paid in equal installments on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Company’s regular payroll schedule over the twelve (12) month period following Executive’s Separation from Service;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no payments will be made prior to the 60th day following Executive’s Separation from Service. On the 60th day following Executive’s Separation from Service, the Company will pay Executive in a lump sum the Severance that Executive would have received on or prior to such date under the standard payroll schedule but for the delay while waiting for the 60</w:t>
      </w:r>
      <w:r>
        <w:rPr>
          <w:rFonts w:ascii="Times New Roman" w:hAnsi="Times New Roman"/>
          <w:color w:val="000000"/>
          <w:sz w:val="16"/>
        </w:rPr>
        <w:t>th</w:t>
      </w:r>
      <w:r>
        <w:rPr>
          <w:color w:val="000000"/>
        </w:rPr>
        <w:t xml:space="preserve"> </w:t>
      </w:r>
      <w:r>
        <w:rPr>
          <w:rFonts w:ascii="Times New Roman" w:hAnsi="Times New Roman"/>
          <w:color w:val="000000"/>
          <w:sz w:val="24"/>
        </w:rPr>
        <w:t>day in compliance with Code Section 409A, with the balance of the Severance being paid as originally scheduled.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the Executive has actually achieved any of the performance goals set by the Board for such calendar year, the Company shall pay Executive a prorated Annual Bonus (calculated as the Annual Bonus that would have been paid for the entire calendar year multiplied by a fraction, the numerator of which is equal to the number of days Executive worked in the applicable calendar year, and the denominator of which is equal to the total number of days in such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color w:val="000000"/>
          <w:sz w:val="24"/>
        </w:rPr>
        <w:t>Provided Executive timely elects continued coverage under COBRA, the Company shall pay Executive’s COBRA premiums to continue Executive’s coverage (including coverage for eligible dependents, if applicable) (“</w:t>
      </w:r>
      <w:r>
        <w:rPr>
          <w:rFonts w:ascii="Times New Roman" w:hAnsi="Times New Roman"/>
          <w:b/>
          <w:i/>
          <w:color w:val="000000"/>
          <w:sz w:val="24"/>
        </w:rPr>
        <w:t>COBRA Premiums</w:t>
      </w:r>
      <w:r>
        <w:rPr>
          <w:color w:val="000000"/>
        </w:rPr>
        <w:t>”</w:t>
      </w:r>
      <w:r>
        <w:rPr>
          <w:rFonts w:ascii="Times New Roman" w:hAnsi="Times New Roman"/>
          <w:color w:val="000000"/>
          <w:sz w:val="24"/>
        </w:rPr>
        <w:t>) through the period (the “</w:t>
      </w:r>
      <w:r>
        <w:rPr>
          <w:rFonts w:ascii="Times New Roman" w:hAnsi="Times New Roman"/>
          <w:b/>
          <w:i/>
          <w:color w:val="000000"/>
          <w:sz w:val="24"/>
        </w:rPr>
        <w:t>COBRA Premium Period</w:t>
      </w:r>
      <w:r>
        <w:rPr>
          <w:color w:val="000000"/>
        </w:rPr>
        <w:t>”</w:t>
      </w:r>
      <w:r>
        <w:rPr>
          <w:rFonts w:ascii="Times New Roman" w:hAnsi="Times New Roman"/>
          <w:color w:val="000000"/>
          <w:sz w:val="24"/>
        </w:rPr>
        <w:t>) starting on Executive’s Separation from Service and ending on the earliest to occur of: (i) twelve (12) months following Executive’s Separation from Service;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 to be eligible for COBRA during the COBRA Premium Period, Executive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Times New Roman" w:hAnsi="Times New Roman"/>
          <w:b/>
          <w:i/>
          <w:color w:val="000000"/>
          <w:sz w:val="24"/>
        </w:rPr>
        <w:t>Special Cash Payment</w:t>
      </w:r>
      <w:r>
        <w:rPr>
          <w:color w:val="000000"/>
        </w:rPr>
        <w:t>”</w:t>
      </w:r>
      <w:r>
        <w:rPr>
          <w:rFonts w:ascii="Times New Roman" w:hAnsi="Times New Roman"/>
          <w:color w:val="000000"/>
          <w:sz w:val="24"/>
        </w:rPr>
        <w:t xml:space="preserve">), for the remainder of the COBRA Premium Period. Executive may, but is not obligated to, use such Special Cash Payments toward the cost of COBRA premiums.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color w:val="000000"/>
          <w:sz w:val="24"/>
        </w:rPr>
        <w:t>Termination for Cause, Death, or Disability</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terminate Executive’s employment with the Company at any time for Cause. Executive’s employment with the Company may also be terminated due to Executive’s death or disability.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Company terminates Executive’s employment for Cause, or upon Executive’s death or disability, then Executive will no longer vest in any equity interests and all payments of compensation by the Company to Executive hereunder will terminate immediately (except as to amounts already earned). The Company shall thereafter have no further obligations to Executive, except as may otherwise be required by law. Notwithstanding the above, to the extent that the Company’s performance goals set by the Board for such calendar year in which Executive’s employment terminates have been satisfied, the Company shall pay Executive a prorated Annual Bonus (calculated as the Annual Bonus that would have been paid for the entire calendar year multiplied by a fraction, the numerator of which is equal to the number of days Executive worked in the applicable calendar year, and the denominator of which is equal to the total number of days in such year), which shall be payable at the time that bonuses are paid to other executives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5.5</w:t>
      </w:r>
    </w:p>
    <w:p>
      <w:pPr>
        <w:pStyle w:val="TextBody"/>
        <w:bidi w:val="0"/>
        <w:spacing w:before="0" w:after="240"/>
        <w:jc w:val="both"/>
        <w:rPr/>
      </w:pPr>
      <w:r>
        <w:rPr>
          <w:rFonts w:ascii="Times New Roman" w:hAnsi="Times New Roman"/>
          <w:b/>
          <w:color w:val="000000"/>
          <w:sz w:val="24"/>
        </w:rPr>
        <w:t xml:space="preserve">Effect of Termination. </w:t>
      </w:r>
      <w:r>
        <w:rPr>
          <w:rFonts w:ascii="Times New Roman" w:hAnsi="Times New Roman"/>
          <w:color w:val="000000"/>
          <w:sz w:val="24"/>
        </w:rPr>
        <w:t xml:space="preserve">Executive agrees that should Executive’s employment be terminated for any reason, Executive shall be deemed to have resigned from any and all positions, including any director and/or officer positions with the Company and its affiliated entities.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w:t>
      </w:r>
    </w:p>
    <w:p>
      <w:pPr>
        <w:pStyle w:val="TextBody"/>
        <w:bidi w:val="0"/>
        <w:spacing w:before="0" w:after="240"/>
        <w:jc w:val="both"/>
        <w:rPr/>
      </w:pPr>
      <w:r>
        <w:rPr>
          <w:rFonts w:ascii="Times New Roman" w:hAnsi="Times New Roman"/>
          <w:b/>
          <w:color w:val="000000"/>
          <w:sz w:val="24"/>
        </w:rPr>
        <w:t xml:space="preserve">Section 409A Compliance. </w:t>
      </w:r>
      <w:r>
        <w:rPr>
          <w:rFonts w:ascii="Times New Roman" w:hAnsi="Times New Roman"/>
          <w:color w:val="000000"/>
          <w:sz w:val="24"/>
        </w:rPr>
        <w:t>It is intended that any benefits under this Agreement satisfy, to the greatest extent possible, the exemptions from the application of Section 409A of the Internal Revenue Code of 1986, as amended (</w:t>
      </w:r>
      <w:r>
        <w:rPr>
          <w:color w:val="000000"/>
        </w:rPr>
        <w:t>“</w:t>
      </w:r>
      <w:r>
        <w:rPr>
          <w:rFonts w:ascii="Times New Roman" w:hAnsi="Times New Roman"/>
          <w:b/>
          <w:i/>
          <w:color w:val="000000"/>
          <w:sz w:val="24"/>
        </w:rPr>
        <w:t>Section 409A</w:t>
      </w:r>
      <w:r>
        <w:rPr>
          <w:color w:val="000000"/>
        </w:rPr>
        <w:t>”</w:t>
      </w:r>
      <w:r>
        <w:rPr>
          <w:rFonts w:ascii="Times New Roman" w:hAnsi="Times New Roman"/>
          <w:color w:val="000000"/>
          <w:sz w:val="24"/>
        </w:rPr>
        <w:t>), provided under Treasury Regulations Sections 1.409A</w:t>
        <w:noBreakHyphen/>
        <w:t>1(b)(4), and 1.409A</w:t>
        <w:noBreakHyphen/>
        <w:t>1(b)(9), and this Agreement will be construed to the greatest extent possible as consistent with those provisions, and to the extent not so exempt, this Agreement (and any definitions hereunder) will be construed in a manner that complies with Section 409A. For purposes of Section 409A (including, without limitation, for purposes of Treasury Regulations Section 1.409A</w:t>
        <w:noBreakHyphen/>
        <w:t>2(b)(2)(iii)), Executive’s right to receive any installment payments under this Agreement (whether severance payments, if any, or otherwise) shall be treated as a right to receive a series of separate payments and, accordingly, each installment payment hereunder shall at all times be considered a separate and distinct payment. Severance benefits shall not commence until the Executive has a “separation from service” (as defined under Treasury Regulation Section 1.409A-1(h), without regard to any alternative definition thereunder, a “separation from service”). Notwithstanding any provision to the contrary in this Agreement, if Executive is deemed by the Company at the time of termination to be a “specified employee” for purposes of Section 409A(a)(2)(B)(i), and if any of the payments set forth herein are deemed to be “deferred compensation,” then to the extent delayed commencement of any portion of such payments is required in order to avoid a prohibited distribution under Section 409A(a)(2)(B)(i) and the related adverse taxation under Section 409A, such payments shall not be provided prior to the earliest of (i) the expiration of the six-month period measured from the date of termination, (ii) the date of Executive’s death or (iii) such earlier date as permitted under Section 409A without the imposition of adverse taxation. Upon the first business day following the expiration of such period, all payments deferred pursuant to this paragraph shall be paid in a lump sum, and any remaining payments due shall be paid as otherwise provided herein. No interest shall be due on any amounts so deferred. Finally, if the period during which Executive may consider and sign a release in connection with the receipt of severance benefits spans two calendar years, the payment of severance will not be made or begin until the later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5.7</w:t>
      </w:r>
    </w:p>
    <w:p>
      <w:pPr>
        <w:pStyle w:val="TextBody"/>
        <w:bidi w:val="0"/>
        <w:spacing w:before="0" w:after="240"/>
        <w:jc w:val="both"/>
        <w:rPr/>
      </w:pPr>
      <w:r>
        <w:rPr>
          <w:rFonts w:ascii="Times New Roman" w:hAnsi="Times New Roman"/>
          <w:b/>
          <w:color w:val="000000"/>
          <w:sz w:val="24"/>
        </w:rPr>
        <w:t>Release.</w:t>
      </w:r>
      <w:r>
        <w:rPr>
          <w:color w:val="000000"/>
        </w:rPr>
        <w:t xml:space="preserve"> </w:t>
      </w:r>
      <w:r>
        <w:rPr>
          <w:rFonts w:ascii="Times New Roman" w:hAnsi="Times New Roman"/>
          <w:color w:val="000000"/>
          <w:sz w:val="24"/>
        </w:rPr>
        <w:t xml:space="preserve">As a condition precedent to receipt of the benefits set forth in Section 5.3 above or Section 6 below, Executive shall furnish to the Company an executed waiver and release of claims in a form to be provided by the Company, which shall include confidentiality, non-disclosure, and non-disparagement provisions, and may include an obligation for Executive to provide reasonable transition assistance and consulting services to the Company on an as-needed basis through no later than the first anniversary of Executive’s employment termination date (the </w:t>
      </w:r>
      <w:r>
        <w:rPr>
          <w:color w:val="000000"/>
        </w:rPr>
        <w:t>“</w:t>
      </w:r>
      <w:r>
        <w:rPr>
          <w:rFonts w:ascii="Times New Roman" w:hAnsi="Times New Roman"/>
          <w:b/>
          <w:i/>
          <w:color w:val="000000"/>
          <w:sz w:val="24"/>
        </w:rPr>
        <w:t>Release”</w:t>
      </w:r>
      <w:r>
        <w:rPr>
          <w:rFonts w:ascii="Times New Roman" w:hAnsi="Times New Roman"/>
          <w:color w:val="000000"/>
          <w:sz w:val="24"/>
        </w:rPr>
        <w:t>) within the time period specified therein, but in no event later than forty-five (45) days following Executive’s termination. Executive acknowledges and agrees that such transition services shall be fully compensated by the benefits described herein.</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Benefits in Connection with Change of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 xml:space="preserve">Termination of Employment in Connection with a Change of Control. </w:t>
      </w:r>
      <w:r>
        <w:rPr>
          <w:rFonts w:ascii="Times New Roman" w:hAnsi="Times New Roman"/>
          <w:color w:val="000000"/>
          <w:sz w:val="24"/>
        </w:rPr>
        <w:t>If there is a Change of Control (as defined below) and (i) Executive’s employment is terminated Without Cause (as defined below), or (ii) Executive terminates his/her employment with Good Reason (as defined below), in either case within three (3) months prior to, or twelve (12) months following the effective date of the Change of Control, and provided a Release (as discussed in Section 5.7) has become effective, then, in substitution for any benefits provided in Section 5.3, Executive shall be entitled to the following benefits: (A) a lump sum payment equal to the sum of (y) twelve (12) months of Executive’s then-current annual Base Salary and (z) 100% of the current target Annual Bonus, to be made not later than 60 days following Executive’s date of termination; and (B) the amount of any COBRA continuation premium payments made by Executive during the twelve (12) month period following the date of termination, or the period ending when Executive becomes eligible for comparable group medical benefits from another source (whichever comes first). For avoidance of doubt, under no circumstances shall Executive receive benefits under both this Section 6.1 and Section 5.3.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 xml:space="preserve">Acceleration of Options; Change of Control. </w:t>
      </w:r>
      <w:r>
        <w:rPr>
          <w:rFonts w:ascii="Times New Roman" w:hAnsi="Times New Roman"/>
          <w:color w:val="000000"/>
          <w:sz w:val="24"/>
        </w:rPr>
        <w:t xml:space="preserve">If the Company terminates Executive’s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employment with the Company without Cause, or Executive resigns for Good Reason, in either case within three (3) months prior to, or twelve (12) months following the closing of a Change of Control (as defined below), then in addition to the benefits set forth in Section 6.1 and pursuant to the terms of Section 5.7, the Company will fully accelerate the vesting of any equity interests granted to Executive, such that 100% of the then-unvested shares subject to such equity interests will be deemed vested and exercisable as of Executive’s last day of employment.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Definitions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rPr>
        <w:t>Cause.</w:t>
      </w:r>
      <w:r>
        <w:rPr>
          <w:color w:val="000000"/>
        </w:rPr>
        <w:t xml:space="preserve"> </w:t>
      </w:r>
      <w:r>
        <w:rPr>
          <w:rFonts w:ascii="Times New Roman" w:hAnsi="Times New Roman"/>
          <w:color w:val="000000"/>
          <w:sz w:val="24"/>
        </w:rPr>
        <w:t>For purposes of this Agreement, “</w:t>
      </w:r>
      <w:r>
        <w:rPr>
          <w:rFonts w:ascii="Times New Roman" w:hAnsi="Times New Roman"/>
          <w:b/>
          <w:color w:val="000000"/>
          <w:sz w:val="24"/>
        </w:rPr>
        <w:t>Cause</w:t>
      </w:r>
      <w:r>
        <w:rPr>
          <w:color w:val="000000"/>
        </w:rPr>
        <w:t xml:space="preserve">” </w:t>
      </w:r>
      <w:r>
        <w:rPr>
          <w:rFonts w:ascii="Times New Roman" w:hAnsi="Times New Roman"/>
          <w:color w:val="000000"/>
          <w:sz w:val="24"/>
        </w:rPr>
        <w:t>shall mean the occurrence of any of the following: (i) Executive’s conviction of any felony or any crime involving fraud or dishonesty; (ii) Executive’s participation in fraud, act of dishonesty or act of gross misconduct against the Company and/or its Board that results in material financial or reputational harm to the Company; (iii) Executive’s material violation of any statutory or fiduciary duty, or duty of loyalty, owed to the Company; or (iv) Executive’s material violation of material Company policy. Prior to a termination for Cause pursuant to (iv) above, to the extent such event(s) is capable of being cured by Executive and to the extent it is the first such instance giving rise to the notice described herein, (A) the Company shall give the Executive a single notice of such event(s), which notice shall specify in reasonable detail the circumstances constituting Cause, (B) Executive shall have thirty (30) days after the delivery of such notice to cure the event(s) giving rise to Cause, the existence of such cure to be determined by the Board in good faith, provided that the Company reserves the right put Executive on a paid leave of absence during such period and terminate Executive’s access to Company systems and property so long as such measures do not substantially interfere with Executive’s ability to cure the Cause of his termination during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Good Reason.</w:t>
      </w:r>
      <w:r>
        <w:rPr>
          <w:color w:val="000000"/>
        </w:rPr>
        <w:t xml:space="preserve"> </w:t>
      </w:r>
      <w:r>
        <w:rPr>
          <w:rFonts w:ascii="Times New Roman" w:hAnsi="Times New Roman"/>
          <w:color w:val="000000"/>
          <w:sz w:val="24"/>
        </w:rPr>
        <w:t>For purposes of this Agreement, Executive shall have “</w:t>
      </w:r>
      <w:r>
        <w:rPr>
          <w:rFonts w:ascii="Times New Roman" w:hAnsi="Times New Roman"/>
          <w:b/>
          <w:color w:val="000000"/>
          <w:sz w:val="24"/>
        </w:rPr>
        <w:t>Good Reason</w:t>
      </w:r>
      <w:r>
        <w:rPr>
          <w:color w:val="000000"/>
        </w:rPr>
        <w:t xml:space="preserve">” </w:t>
      </w:r>
      <w:r>
        <w:rPr>
          <w:rFonts w:ascii="Times New Roman" w:hAnsi="Times New Roman"/>
          <w:color w:val="000000"/>
          <w:sz w:val="24"/>
        </w:rPr>
        <w:t xml:space="preserve">for resignation from employment with the Company if any of the following actions are taken by the Company without Executive’s prior written consent: (a) a material reduction in Executive’s base salary, which the parties agree is a reduction of at least 10% of Executive’s base salary (unless pursuant to a salary reduction program applicable generally to the Company’s similarly situated employees); or (b) a material reduction in Executive’s duties (including responsibilities and/or authorities), </w:t>
      </w:r>
      <w:r>
        <w:rPr>
          <w:rFonts w:ascii="Times New Roman" w:hAnsi="Times New Roman"/>
          <w:i/>
          <w:color w:val="000000"/>
          <w:sz w:val="24"/>
        </w:rPr>
        <w:t xml:space="preserve">provided, however, </w:t>
      </w:r>
      <w:r>
        <w:rPr>
          <w:rFonts w:ascii="Times New Roman" w:hAnsi="Times New Roman"/>
          <w:color w:val="000000"/>
          <w:sz w:val="24"/>
        </w:rPr>
        <w:t>that a change in job position shall not be deemed a “material reduction” in and of itself unless Executive’s new duties are materially reduced from the prior duties; or (c) relocation of Executive’s principal place of employment to a place that increases Executive’s one-way commute by more than sixty (60) miles as compared to Executive’s then-current principal place of employment immediately prior to such relocation. In order to resign for Good Reason, Executive must provide written notice to the Company’s CEO within 30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rPr>
        <w:t>Change of Control.</w:t>
      </w:r>
      <w:r>
        <w:rPr>
          <w:color w:val="000000"/>
        </w:rPr>
        <w:t xml:space="preserve"> </w:t>
      </w:r>
      <w:r>
        <w:rPr>
          <w:rFonts w:ascii="Times New Roman" w:hAnsi="Times New Roman"/>
          <w:color w:val="000000"/>
          <w:sz w:val="24"/>
        </w:rPr>
        <w:t xml:space="preserve">For purposes of this Agreement, </w:t>
      </w: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 xml:space="preserve">is defined in the Company’s 2018 Equity Incentive Plan.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both"/>
        <w:rPr/>
      </w:pPr>
      <w:r>
        <w:rPr>
          <w:rFonts w:ascii="Times New Roman" w:hAnsi="Times New Roman"/>
          <w:b/>
          <w:color w:val="000000"/>
          <w:sz w:val="24"/>
        </w:rPr>
        <w:t>Parachute Payments</w:t>
      </w:r>
      <w:r>
        <w:rPr>
          <w:rFonts w:ascii="Times New Roman" w:hAnsi="Times New Roman"/>
          <w:color w:val="000000"/>
          <w:sz w:val="24"/>
        </w:rPr>
        <w:t>. If any payment or benefit Executive would receive from the Company or otherwise in connection with a Change of Control or other similar transaction (a “</w:t>
      </w:r>
      <w:r>
        <w:rPr>
          <w:rFonts w:ascii="Times New Roman" w:hAnsi="Times New Roman"/>
          <w:b/>
          <w:i/>
          <w:color w:val="000000"/>
          <w:sz w:val="24"/>
        </w:rPr>
        <w:t>280G Payment</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b/>
          <w:i/>
          <w:color w:val="000000"/>
          <w:sz w:val="24"/>
        </w:rPr>
        <w:t>Excise Tax</w:t>
      </w:r>
      <w:r>
        <w:rPr>
          <w:color w:val="000000"/>
        </w:rPr>
        <w:t>”</w:t>
      </w:r>
      <w:r>
        <w:rPr>
          <w:rFonts w:ascii="Times New Roman" w:hAnsi="Times New Roman"/>
          <w:color w:val="000000"/>
          <w:sz w:val="24"/>
        </w:rPr>
        <w:t>), then any such 280G Payment (a "</w:t>
      </w:r>
      <w:r>
        <w:rPr>
          <w:rFonts w:ascii="Times New Roman" w:hAnsi="Times New Roman"/>
          <w:b/>
          <w:i/>
          <w:color w:val="000000"/>
          <w:sz w:val="24"/>
        </w:rPr>
        <w:t>Payment</w:t>
      </w:r>
      <w:r>
        <w:rPr>
          <w:rFonts w:ascii="Times New Roman" w:hAnsi="Times New Roman"/>
          <w:color w:val="000000"/>
          <w:sz w:val="24"/>
        </w:rPr>
        <w:t>") shall be equal to the Reduced Amount. The “</w:t>
      </w:r>
      <w:r>
        <w:rPr>
          <w:rFonts w:ascii="Times New Roman" w:hAnsi="Times New Roman"/>
          <w:b/>
          <w:i/>
          <w:color w:val="000000"/>
          <w:sz w:val="24"/>
        </w:rPr>
        <w:t>Reduced Amount</w:t>
      </w:r>
      <w:r>
        <w:rPr>
          <w:color w:val="000000"/>
        </w:rPr>
        <w:t xml:space="preserve">” </w:t>
      </w:r>
      <w:r>
        <w:rPr>
          <w:rFonts w:ascii="Times New Roman" w:hAnsi="Times New Roman"/>
          <w:color w:val="000000"/>
          <w:sz w:val="24"/>
        </w:rPr>
        <w:t xml:space="preserve">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b/>
          <w:i/>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4"/>
        </w:rPr>
        <w:t>Pro Rata Reduction Method</w:t>
      </w:r>
      <w:r>
        <w:rPr>
          <w:color w:val="000000"/>
        </w:rPr>
        <w:t>”</w:t>
      </w:r>
      <w:r>
        <w:rPr>
          <w:rFonts w:ascii="Times New Roman" w:hAnsi="Times New Roman"/>
          <w:color w:val="000000"/>
          <w:sz w:val="24"/>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Executive receive a Payment for which the Reduced Amount was determined pursuant to clause (x) of the first paragraph of this Section and the Internal Revenue Service determines thereafter that some portion of the Payment is subject to the Excise Tax, Executive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Executive shall have no obligation to return any portion of the Payment pursuant to the preceding sentence.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in this Section 8, to the extent that Executive agrees, in accordance with Section 280G of the Code, to waive his rights to receive or retain all the payments or benefits from the Company or its subsidiaries contingent on a change in ownership or control of the Company in excess of $1.00 less than the amount at which the Executive becomes subject to the excise tax imposed by Section 4999 of the Code and none of the Company’s stock is readily tradeable on an established securities market or otherwise immediately prior to such change in ownership or control, the Company shall use commercially reasonable efforts to obtain shareholder approval as may be required by the terms of Section 280G(b)(5)(B) of the Code so as to render the parachute payment provisions of Section 280G of the Code inapplicable to any and all accelerated vesting payments, benefits, options and/or shares provided pursuant to agreements, contracts or arrangements covering Executive that might otherwise result, separately or in the aggregate, in the payment of any amount and/or the provision of any benefit that would not be deductible by reason of Section 280G of the Code, with such shareholder vote to be obtained in a manner which satisfies all applicable requirements of Section 280G(b)(5)(B) of the Code and the regulations promulgated thereunder.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9.</w:t>
      </w:r>
    </w:p>
    <w:p>
      <w:pPr>
        <w:pStyle w:val="TextBody"/>
        <w:bidi w:val="0"/>
        <w:spacing w:before="0" w:after="240"/>
        <w:jc w:val="both"/>
        <w:rPr/>
      </w:pPr>
      <w:r>
        <w:rPr>
          <w:rFonts w:ascii="Times New Roman" w:hAnsi="Times New Roman"/>
          <w:b/>
          <w:smallCaps/>
          <w:color w:val="000000"/>
          <w:sz w:val="24"/>
        </w:rPr>
        <w:t>Arbitration</w:t>
      </w:r>
      <w:r>
        <w:rPr>
          <w:rFonts w:ascii="Times New Roman" w:hAnsi="Times New Roman"/>
          <w:color w:val="000000"/>
          <w:sz w:val="24"/>
        </w:rPr>
        <w:t>. 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the CIIAA, or Executive’s employment, or the termination of Executive’s employment, including but not limited to all statutory claims, with the exception of discrimination and harassment claims, will be resolved pursuant to the Federal Arbitration Act, 9 U.S.C. §1-16 (the “</w:t>
      </w:r>
      <w:r>
        <w:rPr>
          <w:rFonts w:ascii="Times New Roman" w:hAnsi="Times New Roman"/>
          <w:b/>
          <w:i/>
          <w:color w:val="000000"/>
          <w:sz w:val="24"/>
        </w:rPr>
        <w:t>FAA</w:t>
      </w:r>
      <w:r>
        <w:rPr>
          <w:color w:val="000000"/>
        </w:rPr>
        <w:t>”</w:t>
      </w:r>
      <w:r>
        <w:rPr>
          <w:rFonts w:ascii="Times New Roman" w:hAnsi="Times New Roman"/>
          <w:color w:val="000000"/>
          <w:sz w:val="24"/>
        </w:rPr>
        <w:t>), and to the fullest extent permitted by law, by final, binding and confidential arbitration by a single arbitrator conducted in New York, New York by Judicial Arbitration and Mediation Services Inc. (“</w:t>
      </w:r>
      <w:r>
        <w:rPr>
          <w:rFonts w:ascii="Times New Roman" w:hAnsi="Times New Roman"/>
          <w:b/>
          <w:i/>
          <w:color w:val="000000"/>
          <w:sz w:val="24"/>
        </w:rPr>
        <w:t>JAMS</w:t>
      </w:r>
      <w:r>
        <w:rPr>
          <w:color w:val="000000"/>
        </w:rPr>
        <w:t>”</w:t>
      </w:r>
      <w:r>
        <w:rPr>
          <w:rFonts w:ascii="Times New Roman" w:hAnsi="Times New Roman"/>
          <w:color w:val="000000"/>
          <w:sz w:val="24"/>
        </w:rPr>
        <w:t xml:space="preserve">) under the then applicable JAMS rules (at the following web address: </w:t>
      </w:r>
      <w:r>
        <w:rPr>
          <w:rFonts w:ascii="Times New Roman" w:hAnsi="Times New Roman"/>
          <w:color w:val="008080"/>
          <w:sz w:val="24"/>
          <w:u w:val="single"/>
        </w:rPr>
        <w:t>https://www.jamsadr.com/rules-employment-arbitration/</w:t>
      </w:r>
      <w:r>
        <w:rPr>
          <w:rFonts w:ascii="Times New Roman" w:hAnsi="Times New Roman"/>
          <w:color w:val="000000"/>
          <w:sz w:val="24"/>
        </w:rPr>
        <w:t xml:space="preserve">); provided, however, this arbitration provision shall not apply to sexual harassment and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discrimination claims to the extent prohibited by applicable law that is not preempted by the FAA. A hard copy of the rules will be provided to Executive upon request. A hard copy of the rules will be provided to Executive upon request. </w:t>
      </w:r>
      <w:r>
        <w:rPr>
          <w:rFonts w:ascii="Times New Roman" w:hAnsi="Times New Roman"/>
          <w:b/>
          <w:color w:val="000000"/>
          <w:sz w:val="24"/>
        </w:rPr>
        <w:t xml:space="preserve">By agreeing to this arbitration procedure, both Executive and the Company waive the right to resolve any such dispute through a trial by jury or judge or administrative proceeding. </w:t>
      </w:r>
      <w:r>
        <w:rPr>
          <w:rFonts w:ascii="Times New Roman" w:hAnsi="Times New Roman"/>
          <w:color w:val="000000"/>
          <w:sz w:val="24"/>
        </w:rPr>
        <w:t>In addition, all claims, 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a federal court in the State of New York. However, procedural questions which grow out of the dispute and bear on the final disposition are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Executive and the Company shall equally share all JAMS’ arbitration fees. To the extent JAMS does not collect or Executive otherwise does not pay to JAMS an equal share of all JAMS’ arbitration fees for any reason, and the Company pays JAMS Executive’s share, Executive acknowledges and agrees that the Company shall be entitled to recover from Executive half of the JAMS arbitration fees invoiced to the parties (less any amounts Executive paid to JAMS) in a federal or state court of competent jurisdiction. Except as modified in the CIIAA,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or discrimination claims and is not preempted by the FAA, in the event Executive intends to bring multiple claims, including a sexual harassment or discrimination claim, the sexual harassment and/or discrimination claims may be publicly filed with a court, while any other claims will remain subject to mandatory arbitration.</w:t>
      </w:r>
      <w:r>
        <w:rPr>
          <w:color w:val="000000"/>
        </w:rPr>
        <w:t xml:space="preserv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10.</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 xml:space="preserve">General Provisions.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 xml:space="preserve">Representations and Warranties. </w:t>
      </w:r>
      <w:r>
        <w:rPr>
          <w:rFonts w:ascii="Times New Roman" w:hAnsi="Times New Roman"/>
          <w:color w:val="000000"/>
          <w:sz w:val="24"/>
        </w:rPr>
        <w:t>Executive represents and warrants that Executive has provided a true and correct copy of all restrictive covenants governing his employment with Turnstone Biologics to the Company and believes that he is not restricted or prohibited, contractually or otherwise, from entering into and performing each of the terms and covenants contained in this Agreement, and that Executive’s execution and performance of this Agreement will not violate or breach any other agreements between the Executive and any other person or entity. The CEO represents and warrants that he is authorized to enter into this Agreement by and on the Company’s behalf and that the Company will not require Executive to provide any services prior to the Start Date so that Executive can meet his obligations under his agreements with Turnstone Biologics.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 xml:space="preserve">Advertising Waiver. </w:t>
      </w:r>
      <w:r>
        <w:rPr>
          <w:rFonts w:ascii="Times New Roman" w:hAnsi="Times New Roman"/>
          <w:color w:val="000000"/>
          <w:sz w:val="24"/>
        </w:rPr>
        <w:t>Executive agrees to permit the Company, and persons or other organizations authorized by the Company, to use, publish and distribute advertising or sales promotional literature concerning the products and/or services of the Company in which Executive’s name and/or pictures of Executive appear. Executive hereby waives and releases any claim or right Executive may otherwise have arising out of such use, publication or distribution.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 xml:space="preserve">D&amp;O Insurance. </w:t>
      </w:r>
      <w:r>
        <w:rPr>
          <w:rFonts w:ascii="Times New Roman" w:hAnsi="Times New Roman"/>
          <w:color w:val="000000"/>
          <w:sz w:val="24"/>
        </w:rPr>
        <w:t xml:space="preserve">Executive shall be entitled to indemnification from the Company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and in accordance with the terms of, (i) the Company’s charter and bylaws, to the extent that indemnification of Executive is provided for therein, and (ii) any D&amp;O insurance policy covering Executive purchased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Tax Withholding</w:t>
      </w:r>
      <w:r>
        <w:rPr>
          <w:rFonts w:ascii="Times New Roman" w:hAnsi="Times New Roman"/>
          <w:color w:val="000000"/>
          <w:sz w:val="24"/>
        </w:rPr>
        <w:t>. All payments and awards contemplated or made 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This Agreement, along with the CIIAA, constitutes the complete, final and exclusive embodiment of the entire agreement between Executive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Executive and a duly authorized member of the Board. This Agreement will bind the heirs, personal representatives, successors and assigns of both Executive and the Company, and inure to the benefit of both Executive and the Company, and to his and its heirs, successors and assigns. The provisions of this Agreement shall survive the termination of Executive’s employment to the extent necessary to effectuate the post-termination obligations contained herein, including but not limited to the Company’s obligation to make severance payments (if applicable) or provide indemnification and the Executive’s obligations to comply with the CIIAA and any Release.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New York.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[Signature Page Follows]</w:t>
      </w:r>
    </w:p>
    <w:p>
      <w:pPr>
        <w:pStyle w:val="TextBody"/>
        <w:bidi w:val="0"/>
        <w:spacing w:before="0" w:after="12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executed this Agreement as of the day and year first written above.</w:t>
      </w:r>
    </w:p>
    <w:p>
      <w:pPr>
        <w:pStyle w:val="TextBody"/>
        <w:bidi w:val="0"/>
        <w:spacing w:before="0" w:after="720"/>
        <w:jc w:val="both"/>
        <w:rPr>
          <w:rFonts w:ascii="Times New Roman" w:hAnsi="Times New Roman"/>
          <w:b/>
          <w:smallCaps/>
          <w:color w:val="000000"/>
          <w:sz w:val="24"/>
        </w:rPr>
      </w:pPr>
      <w:r>
        <w:rPr>
          <w:rFonts w:ascii="Times New Roman" w:hAnsi="Times New Roman"/>
          <w:b/>
          <w:smallCaps/>
          <w:color w:val="000000"/>
          <w:sz w:val="24"/>
        </w:rPr>
        <w:t>IN8bio, Inc.</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jc w:val="both"/>
        <w:rPr>
          <w:rFonts w:ascii="Times New Roman" w:hAnsi="Times New Roman"/>
          <w:color w:val="000000"/>
          <w:sz w:val="24"/>
        </w:rPr>
      </w:pPr>
      <w:r>
        <w:rPr>
          <w:rFonts w:ascii="Times New Roman" w:hAnsi="Times New Roman"/>
          <w:color w:val="000000"/>
          <w:sz w:val="24"/>
        </w:rPr>
        <w:t>Name: William Ho</w:t>
      </w:r>
    </w:p>
    <w:p>
      <w:pPr>
        <w:pStyle w:val="TextBody"/>
        <w:bidi w:val="0"/>
        <w:jc w:val="both"/>
        <w:rPr>
          <w:rFonts w:ascii="Times New Roman" w:hAnsi="Times New Roman"/>
          <w:color w:val="000000"/>
          <w:sz w:val="24"/>
        </w:rPr>
      </w:pPr>
      <w:r>
        <w:rPr>
          <w:rFonts w:ascii="Times New Roman" w:hAnsi="Times New Roman"/>
          <w:color w:val="000000"/>
          <w:sz w:val="24"/>
        </w:rPr>
        <w:t>Title: President &amp; CEO</w:t>
      </w:r>
    </w:p>
    <w:p>
      <w:pPr>
        <w:pStyle w:val="TextBody"/>
        <w:bidi w:val="0"/>
        <w:jc w:val="both"/>
        <w:rPr>
          <w:rFonts w:ascii="Times New Roman" w:hAnsi="Times New Roman"/>
          <w:color w:val="000000"/>
          <w:sz w:val="24"/>
        </w:rPr>
      </w:pPr>
      <w:r>
        <w:rPr>
          <w:rFonts w:ascii="Times New Roman" w:hAnsi="Times New Roman"/>
          <w:color w:val="000000"/>
          <w:sz w:val="24"/>
        </w:rPr>
        <w:t>Accepted and agreed:</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 Patrick McCall</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Patrick McCall</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Permitted Non-Company Positions</w:t>
      </w:r>
    </w:p>
    <w:p>
      <w:pPr>
        <w:pStyle w:val="TextBody"/>
        <w:bidi w:val="0"/>
        <w:jc w:val="both"/>
        <w:rPr/>
      </w:pPr>
      <w:r>
        <w:rPr/>
        <w:t> </w:t>
      </w:r>
    </w:p>
    <w:p>
      <w:pPr>
        <w:pStyle w:val="TextBody"/>
        <w:bidi w:val="0"/>
        <w:jc w:val="both"/>
        <w:rPr>
          <w:color w:val="000000"/>
        </w:rPr>
      </w:pPr>
      <w:r>
        <w:rPr>
          <w:color w:val="000000"/>
        </w:rPr>
        <w: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14" w:after="283"/>
        <w:jc w:val="left"/>
        <w:rPr/>
      </w:pPr>
      <w:bookmarkStart w:id="49" w:name="inab-ex10_21.htm"/>
      <w:bookmarkStart w:id="50" w:name="ksinabex10_21"/>
      <w:bookmarkEnd w:id="49"/>
      <w:bookmarkEnd w:id="50"/>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10.21</w:t>
      </w:r>
    </w:p>
    <w:p>
      <w:pPr>
        <w:pStyle w:val="TextBody"/>
        <w:bidi w:val="0"/>
        <w:spacing w:before="720" w:after="283"/>
        <w:jc w:val="center"/>
        <w:rPr/>
      </w:pPr>
      <w:r>
        <w:rPr/>
        <w:drawing>
          <wp:inline distT="0" distB="0" distL="0" distR="0">
            <wp:extent cx="1762125" cy="6858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84"/>
                    <a:stretch>
                      <a:fillRect/>
                    </a:stretch>
                  </pic:blipFill>
                  <pic:spPr bwMode="auto">
                    <a:xfrm>
                      <a:off x="0" y="0"/>
                      <a:ext cx="1762125" cy="685800"/>
                    </a:xfrm>
                    <a:prstGeom prst="rect">
                      <a:avLst/>
                    </a:prstGeom>
                  </pic:spPr>
                </pic:pic>
              </a:graphicData>
            </a:graphic>
          </wp:inline>
        </w:drawing>
      </w:r>
    </w:p>
    <w:p>
      <w:pPr>
        <w:pStyle w:val="TextBody"/>
        <w:bidi w:val="0"/>
        <w:spacing w:before="2" w:after="283"/>
        <w:jc w:val="left"/>
        <w:rPr/>
      </w:pPr>
      <w:r>
        <w:rPr/>
        <w:t> </w:t>
      </w:r>
    </w:p>
    <w:p>
      <w:pPr>
        <w:pStyle w:val="TextBody"/>
        <w:bidi w:val="0"/>
        <w:jc w:val="center"/>
        <w:rPr>
          <w:rFonts w:ascii="Times New Roman" w:hAnsi="Times New Roman"/>
          <w:b/>
          <w:color w:val="231F20"/>
          <w:sz w:val="24"/>
        </w:rPr>
      </w:pPr>
      <w:r>
        <w:rPr>
          <w:rFonts w:ascii="Times New Roman" w:hAnsi="Times New Roman"/>
          <w:b/>
          <w:color w:val="231F20"/>
          <w:sz w:val="24"/>
        </w:rPr>
        <w:t>EMPLOYEE CONFIDENTIAL INFORMATION AND INVENTION ASSIGNMENT AGREEMENT</w:t>
      </w:r>
    </w:p>
    <w:p>
      <w:pPr>
        <w:pStyle w:val="TextBody"/>
        <w:bidi w:val="0"/>
        <w:spacing w:before="240" w:after="283"/>
        <w:jc w:val="both"/>
        <w:rPr>
          <w:rFonts w:ascii="Times New Roman" w:hAnsi="Times New Roman"/>
          <w:sz w:val="20"/>
        </w:rPr>
      </w:pPr>
      <w:r>
        <w:rPr>
          <w:rFonts w:ascii="Times New Roman" w:hAnsi="Times New Roman"/>
          <w:color w:val="231F20"/>
          <w:sz w:val="24"/>
        </w:rPr>
        <w:t>In consideration of my employment or continued employment by IN8bio, Inc., its subsidiaries, parents, affiliates, predecessors, successors and assigns (together, the “</w:t>
      </w:r>
      <w:r>
        <w:rPr>
          <w:rFonts w:ascii="Times New Roman" w:hAnsi="Times New Roman"/>
          <w:b/>
          <w:i/>
          <w:color w:val="231F20"/>
          <w:sz w:val="24"/>
        </w:rPr>
        <w:t>Company</w:t>
      </w:r>
      <w:r>
        <w:rPr>
          <w:rFonts w:ascii="Times New Roman" w:hAnsi="Times New Roman"/>
          <w:color w:val="231F20"/>
          <w:sz w:val="20"/>
        </w:rPr>
        <w:t>”</w:t>
      </w:r>
      <w:r>
        <w:rPr>
          <w:rFonts w:ascii="Times New Roman" w:hAnsi="Times New Roman"/>
          <w:color w:val="231F20"/>
          <w:sz w:val="24"/>
        </w:rPr>
        <w:t>), the compensation paid to me now and during my employment with the Company, and the Company’s agreement to provide me with access to its Confidential Information (as defined below), I hereby enter into this Employee Confidential Information and Invention Assignment Agreement (the “</w:t>
      </w:r>
      <w:r>
        <w:rPr>
          <w:rFonts w:ascii="Times New Roman" w:hAnsi="Times New Roman"/>
          <w:b/>
          <w:i/>
          <w:color w:val="231F20"/>
          <w:sz w:val="24"/>
        </w:rPr>
        <w:t>Agreement</w:t>
      </w:r>
      <w:r>
        <w:rPr>
          <w:rFonts w:ascii="Times New Roman" w:hAnsi="Times New Roman"/>
          <w:color w:val="231F20"/>
          <w:sz w:val="20"/>
        </w:rPr>
        <w:t>”</w:t>
      </w:r>
      <w:r>
        <w:rPr>
          <w:rFonts w:ascii="Times New Roman" w:hAnsi="Times New Roman"/>
          <w:color w:val="231F20"/>
          <w:sz w:val="24"/>
        </w:rPr>
        <w:t>) and agree as follows:</w:t>
      </w:r>
    </w:p>
    <w:p>
      <w:pPr>
        <w:pStyle w:val="TextBody"/>
        <w:bidi w:val="0"/>
        <w:spacing w:before="240" w:after="283"/>
        <w:jc w:val="left"/>
        <w:rPr>
          <w:rFonts w:ascii="Times New Roman" w:hAnsi="Times New Roman"/>
          <w:b/>
          <w:color w:val="231F20"/>
          <w:sz w:val="22"/>
        </w:rPr>
      </w:pPr>
      <w:r>
        <w:rPr>
          <w:rFonts w:ascii="Times New Roman" w:hAnsi="Times New Roman"/>
          <w:b/>
          <w:color w:val="231F20"/>
          <w:sz w:val="22"/>
        </w:rPr>
        <w:t>1.</w:t>
      </w:r>
    </w:p>
    <w:p>
      <w:pPr>
        <w:pStyle w:val="TextBody"/>
        <w:bidi w:val="0"/>
        <w:spacing w:before="240" w:after="283"/>
        <w:jc w:val="left"/>
        <w:rPr/>
      </w:pPr>
      <w:r>
        <w:rPr>
          <w:rFonts w:ascii="Times New Roman" w:hAnsi="Times New Roman"/>
          <w:b/>
          <w:smallCaps/>
          <w:color w:val="231F20"/>
          <w:sz w:val="24"/>
        </w:rPr>
        <w:t>Confidential Information Protections</w:t>
      </w:r>
      <w:r>
        <w:rPr>
          <w:rFonts w:ascii="Times New Roman" w:hAnsi="Times New Roman"/>
          <w:color w:val="231F20"/>
          <w:sz w:val="24"/>
        </w:rPr>
        <w: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1.1</w:t>
      </w:r>
    </w:p>
    <w:p>
      <w:pPr>
        <w:pStyle w:val="TextBody"/>
        <w:bidi w:val="0"/>
        <w:spacing w:before="240" w:after="283"/>
        <w:jc w:val="both"/>
        <w:rPr/>
      </w:pPr>
      <w:r>
        <w:rPr>
          <w:rFonts w:ascii="Times New Roman" w:hAnsi="Times New Roman"/>
          <w:b/>
          <w:color w:val="231F20"/>
          <w:sz w:val="24"/>
        </w:rPr>
        <w:t>Recognition of the Company’s Rights; Nondisclosure</w:t>
      </w:r>
      <w:r>
        <w:rPr>
          <w:rFonts w:ascii="Times New Roman" w:hAnsi="Times New Roman"/>
          <w:color w:val="231F20"/>
          <w:sz w:val="24"/>
        </w:rPr>
        <w:t>. I understand and acknowledge that my employment by the Company creates a relationship of confidence and trust with respect to the Company’s Confidential Information (as defined below) and that the Company has a protectable interest therein. At all times during and after my employment, I will hold in confidence and will not disclose, use, lecture upon, or publish any of the Company’s Confidential Information, except as such disclosure, use or publication may be required in connection with my work for the Company, or unless an officer of the Company expressly authorizes such disclosure. I will obtain the Company’s written approval before publishing or submitting for publication any material (written, oral, or otherwise) that discloses and/or incorporates any Confidential Information. I hereby assign to the Company any rights I may have or acquire in such Confidential Information and recognize that all Confidential Information shall be the sole and exclusive property of the Company and its assigns. I will take all reasonable precautions to prevent the inadvertent accidental disclosure of Confidential Information. Notwithstanding the foregoing, pursuant to 18 U.S.C. Section 1833(b), I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1.2</w:t>
      </w:r>
    </w:p>
    <w:p>
      <w:pPr>
        <w:pStyle w:val="TextBody"/>
        <w:bidi w:val="0"/>
        <w:spacing w:before="240" w:after="283"/>
        <w:jc w:val="both"/>
        <w:rPr/>
      </w:pPr>
      <w:r>
        <w:rPr>
          <w:rFonts w:ascii="Times New Roman" w:hAnsi="Times New Roman"/>
          <w:b/>
          <w:color w:val="231F20"/>
          <w:sz w:val="24"/>
        </w:rPr>
        <w:t>Confidential Information</w:t>
      </w:r>
      <w:r>
        <w:rPr>
          <w:rFonts w:ascii="Times New Roman" w:hAnsi="Times New Roman"/>
          <w:color w:val="231F20"/>
          <w:sz w:val="24"/>
        </w:rPr>
        <w:t>. The term “</w:t>
      </w:r>
      <w:r>
        <w:rPr>
          <w:rFonts w:ascii="Times New Roman" w:hAnsi="Times New Roman"/>
          <w:b/>
          <w:i/>
          <w:color w:val="231F20"/>
          <w:sz w:val="24"/>
        </w:rPr>
        <w:t>Confidential Information</w:t>
      </w:r>
      <w:r>
        <w:rPr>
          <w:color w:val="231F20"/>
        </w:rPr>
        <w:t xml:space="preserve">” </w:t>
      </w:r>
      <w:r>
        <w:rPr>
          <w:rFonts w:ascii="Times New Roman" w:hAnsi="Times New Roman"/>
          <w:color w:val="231F20"/>
          <w:sz w:val="24"/>
        </w:rPr>
        <w:t>shall mean any and all confidential knowledge, data or information of the Company. By way of illustration but not limitation, “</w:t>
      </w:r>
      <w:r>
        <w:rPr>
          <w:rFonts w:ascii="Times New Roman" w:hAnsi="Times New Roman"/>
          <w:b/>
          <w:i/>
          <w:color w:val="231F20"/>
          <w:sz w:val="24"/>
        </w:rPr>
        <w:t>Confidential Information</w:t>
      </w:r>
      <w:r>
        <w:rPr>
          <w:color w:val="231F20"/>
        </w:rPr>
        <w:t xml:space="preserve">” </w:t>
      </w:r>
      <w:r>
        <w:rPr>
          <w:rFonts w:ascii="Times New Roman" w:hAnsi="Times New Roman"/>
          <w:color w:val="231F20"/>
          <w:sz w:val="24"/>
        </w:rPr>
        <w:t>includes (a) trade secrets, inventions, pre-clinical or clinical data, mask works, ideas, processes, formulas, software in source or object code versions, data, programs, other works of authorship, know- how, improvements, discoveries, developments, designs and techniques and any other proprietary technology and all Intellectual Property Rights therein (collectively, “</w:t>
      </w:r>
      <w:r>
        <w:rPr>
          <w:rFonts w:ascii="Times New Roman" w:hAnsi="Times New Roman"/>
          <w:b/>
          <w:i/>
          <w:color w:val="231F20"/>
          <w:sz w:val="24"/>
        </w:rPr>
        <w:t>Inventions</w:t>
      </w:r>
      <w:r>
        <w:rPr>
          <w:color w:val="231F20"/>
        </w:rPr>
        <w:t>”</w:t>
      </w:r>
      <w:r>
        <w:rPr>
          <w:rFonts w:ascii="Times New Roman" w:hAnsi="Times New Roman"/>
          <w:color w:val="231F20"/>
          <w:sz w:val="24"/>
        </w:rPr>
        <w:t xml:space="preserve">); (b) information regarding research, development, new products, improvements to products, marketing and selling, business plans, budgets and unpublished financial statements, licenses, prices and costs, margins, discounts, credit terms, pricing and billing policies, quoting procedures, methods of obtaining business, forecasts, future plans and potential strategies, financial projections and business strategies, operational plans, financing and capital-raising plans, activities and agreements, internal services and operational manuals, standard operating protocols, manufacturing information and know-how, methods of conducting Company business, suppliers and supplier information, and purchasing; (c) information regarding customers and potential customers of the Company, including customer lists, names, representatives, their needs or desires with respect to the types of products or services offered by the Company, proposals, bids, contracts </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1</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and their contents and parties, the type and quantity of products and services provided or sought to be provided to customers and potential customers of the Company and other non-public information relating to customers and potential customers; (d) information regarding any of the Company’s business partners and their services, including names, representatives, proposals, bids, contracts and their contents and parties, the type and quantity of products and services received by the Company, and other non-public information relating to business partners; (e) information regarding personnel, employee lists, compensation, and employee skills; and (f) any other non-public information which a competitor of the Company could use to the competitive disadvantage of the Company. Notwithstanding the foregoing, it is understood that, at all such times, I am free to use information which was known to me prior to employment with the Company or which is generally known in the trade or industry through no breach of this Agreement or other act or omission by me.</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w:t>
      </w:r>
    </w:p>
    <w:p>
      <w:pPr>
        <w:pStyle w:val="TextBody"/>
        <w:bidi w:val="0"/>
        <w:spacing w:before="240" w:after="283"/>
        <w:jc w:val="both"/>
        <w:rPr/>
      </w:pPr>
      <w:r>
        <w:rPr>
          <w:rFonts w:ascii="Times New Roman" w:hAnsi="Times New Roman"/>
          <w:b/>
          <w:color w:val="231F20"/>
          <w:sz w:val="24"/>
        </w:rPr>
        <w:t>Third Party Information</w:t>
      </w:r>
      <w:r>
        <w:rPr>
          <w:rFonts w:ascii="Times New Roman" w:hAnsi="Times New Roman"/>
          <w:color w:val="231F20"/>
          <w:sz w:val="24"/>
        </w:rPr>
        <w:t>. I understand, in addition, that the Company has received and in the future will receive from third parties their confidential and/or proprietary knowledge, data or information (</w:t>
      </w:r>
      <w:r>
        <w:rPr>
          <w:color w:val="231F20"/>
        </w:rPr>
        <w:t>“</w:t>
      </w:r>
      <w:r>
        <w:rPr>
          <w:rFonts w:ascii="Times New Roman" w:hAnsi="Times New Roman"/>
          <w:b/>
          <w:i/>
          <w:color w:val="231F20"/>
          <w:sz w:val="24"/>
        </w:rPr>
        <w:t>Third Party Information</w:t>
      </w:r>
      <w:r>
        <w:rPr>
          <w:color w:val="231F20"/>
        </w:rPr>
        <w:t>”</w:t>
      </w:r>
      <w:r>
        <w:rPr>
          <w:rFonts w:ascii="Times New Roman" w:hAnsi="Times New Roman"/>
          <w:color w:val="231F20"/>
          <w:sz w:val="24"/>
        </w:rPr>
        <w:t>) subject to a duty on the Company’s part to maintain the confidentiality of such information and to use it only for certain limited purposes. During my employment and thereafter, I will hold Third Party Information in confidence and will not disclose to anyone (other than Company personnel who need to know such information in connection with their work for the Company) or use, except in connection with my work for the Company, Third Party Information unless expressly authorized by an officer of the Company in writing.</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1.4</w:t>
      </w:r>
    </w:p>
    <w:p>
      <w:pPr>
        <w:pStyle w:val="TextBody"/>
        <w:bidi w:val="0"/>
        <w:spacing w:before="240" w:after="283"/>
        <w:jc w:val="both"/>
        <w:rPr/>
      </w:pPr>
      <w:r>
        <w:rPr>
          <w:rFonts w:ascii="Times New Roman" w:hAnsi="Times New Roman"/>
          <w:b/>
          <w:color w:val="231F20"/>
          <w:sz w:val="24"/>
        </w:rPr>
        <w:t>Term of Nondisclosure Restrictions</w:t>
      </w:r>
      <w:r>
        <w:rPr>
          <w:rFonts w:ascii="Times New Roman" w:hAnsi="Times New Roman"/>
          <w:color w:val="231F20"/>
          <w:sz w:val="24"/>
        </w:rPr>
        <w:t xml:space="preserve">. I understand that Confidential Information and Third Party Information is never to be used or disclosed by me. If a temporal limitation on my obligation not to use or disclose such information is required under applicable law, and the Agreement or its restriction(s) cannot otherwise be enforced, I agree and the Company agrees that the five (5) year period after the date my employment ends will be the temporal limitation relevant to the contested restriction; </w:t>
      </w:r>
      <w:r>
        <w:rPr>
          <w:rFonts w:ascii="Times New Roman" w:hAnsi="Times New Roman"/>
          <w:b/>
          <w:i/>
          <w:color w:val="231F20"/>
          <w:sz w:val="24"/>
        </w:rPr>
        <w:t>provided, however</w:t>
      </w:r>
      <w:r>
        <w:rPr>
          <w:rFonts w:ascii="Times New Roman" w:hAnsi="Times New Roman"/>
          <w:b/>
          <w:color w:val="231F20"/>
          <w:sz w:val="24"/>
        </w:rPr>
        <w:t xml:space="preserve">, </w:t>
      </w:r>
      <w:r>
        <w:rPr>
          <w:rFonts w:ascii="Times New Roman" w:hAnsi="Times New Roman"/>
          <w:color w:val="231F20"/>
          <w:sz w:val="24"/>
        </w:rPr>
        <w:t>that this sentence will not apply to trade secrets protected without temporal limitation under applicable law.</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1.5</w:t>
      </w:r>
    </w:p>
    <w:p>
      <w:pPr>
        <w:pStyle w:val="TextBody"/>
        <w:bidi w:val="0"/>
        <w:spacing w:before="240" w:after="283"/>
        <w:jc w:val="both"/>
        <w:rPr/>
      </w:pPr>
      <w:r>
        <w:rPr>
          <w:rFonts w:ascii="Times New Roman" w:hAnsi="Times New Roman"/>
          <w:b/>
          <w:color w:val="231F20"/>
          <w:sz w:val="24"/>
        </w:rPr>
        <w:t>No Improper Use of Information of Prior Employers and Others</w:t>
      </w:r>
      <w:r>
        <w:rPr>
          <w:rFonts w:ascii="Times New Roman" w:hAnsi="Times New Roman"/>
          <w:color w:val="231F20"/>
          <w:sz w:val="24"/>
        </w:rPr>
        <w:t>. During my employment by the Company, I will not improperly use or disclose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consented to in writing by that former employer or person.</w:t>
      </w:r>
    </w:p>
    <w:p>
      <w:pPr>
        <w:pStyle w:val="TextBody"/>
        <w:bidi w:val="0"/>
        <w:spacing w:before="240" w:after="283"/>
        <w:jc w:val="both"/>
        <w:rPr>
          <w:rFonts w:ascii="Times New Roman" w:hAnsi="Times New Roman"/>
          <w:b/>
          <w:color w:val="231F20"/>
          <w:sz w:val="22"/>
        </w:rPr>
      </w:pPr>
      <w:r>
        <w:rPr>
          <w:rFonts w:ascii="Times New Roman" w:hAnsi="Times New Roman"/>
          <w:b/>
          <w:color w:val="231F20"/>
          <w:sz w:val="22"/>
        </w:rPr>
        <w:t>2.</w:t>
      </w:r>
    </w:p>
    <w:p>
      <w:pPr>
        <w:pStyle w:val="TextBody"/>
        <w:bidi w:val="0"/>
        <w:spacing w:before="240" w:after="283"/>
        <w:jc w:val="both"/>
        <w:rPr/>
      </w:pPr>
      <w:r>
        <w:rPr>
          <w:rFonts w:ascii="Times New Roman" w:hAnsi="Times New Roman"/>
          <w:b/>
          <w:smallCaps/>
          <w:color w:val="231F20"/>
          <w:sz w:val="24"/>
        </w:rPr>
        <w:t>Assignments of Inventions</w:t>
      </w:r>
      <w:r>
        <w:rPr>
          <w:rFonts w:ascii="Times New Roman" w:hAnsi="Times New Roman"/>
          <w:color w:val="231F20"/>
          <w:sz w:val="24"/>
        </w:rPr>
        <w: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2.1</w:t>
      </w:r>
    </w:p>
    <w:p>
      <w:pPr>
        <w:pStyle w:val="TextBody"/>
        <w:bidi w:val="0"/>
        <w:spacing w:before="240" w:after="283"/>
        <w:jc w:val="both"/>
        <w:rPr/>
      </w:pPr>
      <w:r>
        <w:rPr>
          <w:rFonts w:ascii="Times New Roman" w:hAnsi="Times New Roman"/>
          <w:b/>
          <w:color w:val="231F20"/>
          <w:sz w:val="24"/>
        </w:rPr>
        <w:t>Definitions</w:t>
      </w:r>
      <w:r>
        <w:rPr>
          <w:rFonts w:ascii="Times New Roman" w:hAnsi="Times New Roman"/>
          <w:color w:val="231F20"/>
          <w:sz w:val="24"/>
        </w:rPr>
        <w:t xml:space="preserve">. As used in this Agreement, the term </w:t>
      </w:r>
      <w:r>
        <w:rPr>
          <w:color w:val="231F20"/>
        </w:rPr>
        <w:t>“</w:t>
      </w:r>
      <w:r>
        <w:rPr>
          <w:rFonts w:ascii="Times New Roman" w:hAnsi="Times New Roman"/>
          <w:b/>
          <w:i/>
          <w:color w:val="231F20"/>
          <w:sz w:val="24"/>
        </w:rPr>
        <w:t>Intellectual Property Rights</w:t>
      </w:r>
      <w:r>
        <w:rPr>
          <w:color w:val="231F20"/>
        </w:rPr>
        <w:t xml:space="preserve">” </w:t>
      </w:r>
      <w:r>
        <w:rPr>
          <w:rFonts w:ascii="Times New Roman" w:hAnsi="Times New Roman"/>
          <w:color w:val="231F20"/>
          <w:sz w:val="24"/>
        </w:rPr>
        <w:t>means all trade secrets, Copyrights, trademarks, mask work rights, patents and other intellectual property rights recognized by the laws of any jurisdiction or country; the term “</w:t>
      </w:r>
      <w:r>
        <w:rPr>
          <w:rFonts w:ascii="Times New Roman" w:hAnsi="Times New Roman"/>
          <w:b/>
          <w:i/>
          <w:color w:val="231F20"/>
          <w:sz w:val="24"/>
        </w:rPr>
        <w:t>Copyright</w:t>
      </w:r>
      <w:r>
        <w:rPr>
          <w:color w:val="231F20"/>
        </w:rPr>
        <w:t xml:space="preserve">” </w:t>
      </w:r>
      <w:r>
        <w:rPr>
          <w:rFonts w:ascii="Times New Roman" w:hAnsi="Times New Roman"/>
          <w:color w:val="231F20"/>
          <w:sz w:val="24"/>
        </w:rPr>
        <w:t>means the exclusive legal right to reproduce, perform, display, distribute and make derivative works of a work of authorship (as a literary, musical, or artistic work) recognized by the laws of any jurisdiction or country; and the term “</w:t>
      </w:r>
      <w:r>
        <w:rPr>
          <w:rFonts w:ascii="Times New Roman" w:hAnsi="Times New Roman"/>
          <w:b/>
          <w:i/>
          <w:color w:val="231F20"/>
          <w:sz w:val="24"/>
        </w:rPr>
        <w:t>Moral Rights</w:t>
      </w:r>
      <w:r>
        <w:rPr>
          <w:color w:val="231F20"/>
        </w:rPr>
        <w:t xml:space="preserve">” </w:t>
      </w:r>
      <w:r>
        <w:rPr>
          <w:rFonts w:ascii="Times New Roman" w:hAnsi="Times New Roman"/>
          <w:color w:val="231F20"/>
          <w:sz w:val="24"/>
        </w:rPr>
        <w:t>means all paternity, integrity, disclosure, withdrawal, special and any other similar rights recognized by the laws of any jurisdiction or country.</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2.2</w:t>
      </w:r>
    </w:p>
    <w:p>
      <w:pPr>
        <w:pStyle w:val="TextBody"/>
        <w:bidi w:val="0"/>
        <w:spacing w:before="240" w:after="283"/>
        <w:jc w:val="both"/>
        <w:rPr/>
      </w:pPr>
      <w:r>
        <w:rPr>
          <w:rFonts w:ascii="Times New Roman" w:hAnsi="Times New Roman"/>
          <w:b/>
          <w:color w:val="231F20"/>
          <w:sz w:val="24"/>
        </w:rPr>
        <w:t xml:space="preserve">Excluded Inventions and Other Inventions. </w:t>
      </w:r>
      <w:r>
        <w:rPr>
          <w:rFonts w:ascii="Times New Roman" w:hAnsi="Times New Roman"/>
          <w:color w:val="231F20"/>
          <w:sz w:val="24"/>
        </w:rPr>
        <w:t xml:space="preserve">Attached hereto as </w:t>
      </w:r>
      <w:r>
        <w:rPr>
          <w:rFonts w:ascii="Times New Roman" w:hAnsi="Times New Roman"/>
          <w:b/>
          <w:color w:val="231F20"/>
          <w:sz w:val="24"/>
        </w:rPr>
        <w:t xml:space="preserve">Exhibit A </w:t>
      </w:r>
      <w:r>
        <w:rPr>
          <w:rFonts w:ascii="Times New Roman" w:hAnsi="Times New Roman"/>
          <w:color w:val="231F20"/>
          <w:sz w:val="24"/>
        </w:rPr>
        <w:t>is a list describing all existing Inventions, if any, that may relate to the Company’s business or actual or demonstrably anticipated research or development and that were made by me or acquired by me prior to the commencement of my employment with, and which are not to be assigned to, the Company (</w:t>
      </w:r>
      <w:r>
        <w:rPr>
          <w:color w:val="231F20"/>
        </w:rPr>
        <w:t>“</w:t>
      </w:r>
      <w:r>
        <w:rPr>
          <w:rFonts w:ascii="Times New Roman" w:hAnsi="Times New Roman"/>
          <w:b/>
          <w:color w:val="231F20"/>
          <w:sz w:val="24"/>
        </w:rPr>
        <w:t>Excluded Inventions”</w:t>
      </w:r>
      <w:r>
        <w:rPr>
          <w:rFonts w:ascii="Times New Roman" w:hAnsi="Times New Roman"/>
          <w:color w:val="231F20"/>
          <w:sz w:val="24"/>
        </w:rPr>
        <w:t xml:space="preserve">). If no such list is attached, I represent and agree that it is because I have no rights in any existing Inventions that may relate to the Company’s business or actual or demonstrably anticipated research or development. For purposes of this Agreement, </w:t>
      </w:r>
      <w:r>
        <w:rPr>
          <w:color w:val="231F20"/>
        </w:rPr>
        <w:t>“</w:t>
      </w:r>
      <w:r>
        <w:rPr>
          <w:rFonts w:ascii="Times New Roman" w:hAnsi="Times New Roman"/>
          <w:b/>
          <w:color w:val="231F20"/>
          <w:sz w:val="24"/>
        </w:rPr>
        <w:t xml:space="preserve">Other Inventions” </w:t>
      </w:r>
      <w:r>
        <w:rPr>
          <w:rFonts w:ascii="Times New Roman" w:hAnsi="Times New Roman"/>
          <w:color w:val="231F20"/>
          <w:sz w:val="24"/>
        </w:rPr>
        <w:t xml:space="preserve">means Inventions in which I have or may have an interest, as of the </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2</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commencement of my employment or thereafter, other than Company Inventions (defined below) and Excluded Inventions. I acknowledge and agree that if I use any Excluded Inventions or any Other Inventions in the scope of my employment, or if I include any Excluded Inventions or Other Inventions in any product or service of the Company, or if my rights in any Excluded Inventions or Other Inventions may block or interfere with, or may otherwise be required for, the exercise by the Company of any rights assigned to the Company under this Agreement, I will immediately so notify the Company in writing. Unless the Company and I agree otherwise in writing as to particular Excluded Inventions or Other Inventions, I hereby grant to the Company, in such circumstances (whether or not I give the Company notice as required above), a non-exclusive, perpetual, transferable,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Excluded Inventions and Other Inventions. To the extent that any third parties have rights in any such Other Inventions, I hereby represent and warrant that such third party or parties have validly and irrevocably granted to me the right to grant the license stated above.</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2.3</w:t>
      </w:r>
    </w:p>
    <w:p>
      <w:pPr>
        <w:pStyle w:val="TextBody"/>
        <w:bidi w:val="0"/>
        <w:spacing w:before="240" w:after="283"/>
        <w:jc w:val="both"/>
        <w:rPr/>
      </w:pPr>
      <w:r>
        <w:rPr>
          <w:rFonts w:ascii="Times New Roman" w:hAnsi="Times New Roman"/>
          <w:b/>
          <w:color w:val="231F20"/>
          <w:sz w:val="24"/>
        </w:rPr>
        <w:t xml:space="preserve">Assignment of Company Inventions. </w:t>
      </w:r>
      <w:r>
        <w:rPr>
          <w:rFonts w:ascii="Times New Roman" w:hAnsi="Times New Roman"/>
          <w:color w:val="231F20"/>
          <w:sz w:val="24"/>
        </w:rPr>
        <w:t xml:space="preserve">Inventions assigned to the Company, or to a third party as directed by the Company pursuant to Section 2.6, are referred to in this Agreement as </w:t>
      </w:r>
      <w:r>
        <w:rPr>
          <w:color w:val="231F20"/>
        </w:rPr>
        <w:t>“</w:t>
      </w:r>
      <w:r>
        <w:rPr>
          <w:rFonts w:ascii="Times New Roman" w:hAnsi="Times New Roman"/>
          <w:b/>
          <w:color w:val="231F20"/>
          <w:sz w:val="24"/>
        </w:rPr>
        <w:t>Company Inventions</w:t>
      </w:r>
      <w:r>
        <w:rPr>
          <w:rFonts w:ascii="Times New Roman" w:hAnsi="Times New Roman"/>
          <w:color w:val="231F20"/>
          <w:sz w:val="24"/>
        </w:rPr>
        <w:t>.</w:t>
      </w:r>
      <w:r>
        <w:rPr>
          <w:color w:val="231F20"/>
        </w:rPr>
        <w:t xml:space="preserve">” </w:t>
      </w:r>
      <w:r>
        <w:rPr>
          <w:rFonts w:ascii="Times New Roman" w:hAnsi="Times New Roman"/>
          <w:color w:val="231F20"/>
          <w:sz w:val="24"/>
        </w:rPr>
        <w:t xml:space="preserve">Subject to Section 2.4 (Unassigned or Nonassignable Inventions) and except for Excluded Inventions set forth in </w:t>
      </w:r>
      <w:r>
        <w:rPr>
          <w:rFonts w:ascii="Times New Roman" w:hAnsi="Times New Roman"/>
          <w:b/>
          <w:color w:val="231F20"/>
          <w:sz w:val="24"/>
        </w:rPr>
        <w:t xml:space="preserve">Exhibit A </w:t>
      </w:r>
      <w:r>
        <w:rPr>
          <w:rFonts w:ascii="Times New Roman" w:hAnsi="Times New Roman"/>
          <w:color w:val="231F20"/>
          <w:sz w:val="24"/>
        </w:rPr>
        <w:t>and Other Inventions, I hereby assign to the Company all my right, title, and interest in and to any and all Inventions (and all Intellectual Property Rights with respect thereto) made, conceived, reduced to practice, or learned by me, either alone or with others, during the period of my employment by the Company. To the extent required by applicable Copyright laws, I agree to assign in the future (when any copyrightable Inventions are first fixed in a tangible medium of expression) my Copyright rights in and to such Inventions. Any assignment of the Company Inventions (and all Intellectual Property Rights with respect thereto) hereunder includes an assignment of all Moral Rights. To the extent such Moral Rights cannot be assigned to the Company and to the extent the following is allowed by the laws in any country where Moral Rights exist, I hereby unconditionally and irrevocably waive the enforcement of such Moral Rights, and all claims and causes of action of any kind against the Company or related to the Company’s customers, with respect to such rights. I further acknowledge and agree that neither my successors- in-interest nor legal heirs retain any Moral Rights in any Company Inventions (and any Intellectual Property Rights with respect thereto).</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2.4</w:t>
      </w:r>
    </w:p>
    <w:p>
      <w:pPr>
        <w:pStyle w:val="TextBody"/>
        <w:bidi w:val="0"/>
        <w:spacing w:before="240" w:after="283"/>
        <w:jc w:val="both"/>
        <w:rPr/>
      </w:pPr>
      <w:r>
        <w:rPr>
          <w:rFonts w:ascii="Times New Roman" w:hAnsi="Times New Roman"/>
          <w:b/>
          <w:color w:val="231F20"/>
          <w:sz w:val="24"/>
        </w:rPr>
        <w:t xml:space="preserve">Unassigned or Nonassignable Inventions. </w:t>
      </w:r>
      <w:r>
        <w:rPr>
          <w:rFonts w:ascii="Times New Roman" w:hAnsi="Times New Roman"/>
          <w:color w:val="231F20"/>
          <w:sz w:val="24"/>
        </w:rPr>
        <w:t>I recognize that this Agreement will not be deemed to require assignment of any Invention that I developed entirely on my own time without using the Company’s equipment, supplies, facilities, trade secrets or Confidential Information, except for those Inventions that either (i) relate to the Company’s actual or anticipated business, research or development, or (ii) result from or are connected with work performed by me for the Company. In addition, this Agreement does not apply to any Invention which qualifies fully for protection from assignment to the Company under any specifically applicable state law, regulation, rule or public policy (</w:t>
      </w:r>
      <w:r>
        <w:rPr>
          <w:color w:val="231F20"/>
        </w:rPr>
        <w:t>“</w:t>
      </w:r>
      <w:r>
        <w:rPr>
          <w:rFonts w:ascii="Times New Roman" w:hAnsi="Times New Roman"/>
          <w:b/>
          <w:color w:val="231F20"/>
          <w:sz w:val="24"/>
        </w:rPr>
        <w:t>Specific Inventions Law”</w:t>
      </w:r>
      <w:r>
        <w:rPr>
          <w:rFonts w:ascii="Times New Roman" w:hAnsi="Times New Roman"/>
          <w:color w:val="231F20"/>
          <w:sz w:val="24"/>
        </w:rPr>
        <w:t>).</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3</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2.5</w:t>
      </w:r>
    </w:p>
    <w:p>
      <w:pPr>
        <w:pStyle w:val="TextBody"/>
        <w:bidi w:val="0"/>
        <w:spacing w:before="240" w:after="283"/>
        <w:jc w:val="both"/>
        <w:rPr/>
      </w:pPr>
      <w:r>
        <w:rPr>
          <w:rFonts w:ascii="Times New Roman" w:hAnsi="Times New Roman"/>
          <w:b/>
          <w:color w:val="231F20"/>
          <w:sz w:val="24"/>
        </w:rPr>
        <w:t>Obligation to Keep the Company Informed</w:t>
      </w:r>
      <w:r>
        <w:rPr>
          <w:rFonts w:ascii="Times New Roman" w:hAnsi="Times New Roman"/>
          <w:color w:val="231F20"/>
          <w:sz w:val="24"/>
        </w:rPr>
        <w:t>. During the period of my employment and for one (1) year after termination of my employment, I will promptly and fully disclose to the Company in writing all Inventions authored, conceived, or reduced to practice by me, either alone or jointly with others. In addition, I will promptly disclose to the Company all patent applications filed by me or on my behalf within one (1) year after termination of employment. At the time of each such disclosure, I will advise the Company in writing of any Inventions that I believe fully qualify for protection under the provisions of any applicable Specific Inventions Law; and I will at that time provide to the Company in writing all evidence necessary to substantiate that belief. The Company will keep in confidence and will not use for any purpose or disclose to third parties without my consent any confidential information disclosed in writing to the Company pursuant to this Agreement relating to Inventions that qualify fully for protection under a Specific Inventions Law. I will preserve the confidentiality of any Invention that does not fully qualify for protection under a Specific Inventions Law.</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2.6</w:t>
      </w:r>
    </w:p>
    <w:p>
      <w:pPr>
        <w:pStyle w:val="TextBody"/>
        <w:bidi w:val="0"/>
        <w:spacing w:before="240" w:after="283"/>
        <w:jc w:val="both"/>
        <w:rPr/>
      </w:pPr>
      <w:r>
        <w:rPr>
          <w:rFonts w:ascii="Times New Roman" w:hAnsi="Times New Roman"/>
          <w:b/>
          <w:color w:val="231F20"/>
          <w:sz w:val="24"/>
        </w:rPr>
        <w:t xml:space="preserve">Government or Third Party. </w:t>
      </w:r>
      <w:r>
        <w:rPr>
          <w:rFonts w:ascii="Times New Roman" w:hAnsi="Times New Roman"/>
          <w:color w:val="231F20"/>
          <w:sz w:val="24"/>
        </w:rPr>
        <w:t>I agree that, as directed by the Company, I will assign to a third party, including without limitation the United States, all my right, title, and interest in and to any particular Company Invention.</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2.7</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Ownership of Work Product.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(a)</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 acknowledge that all original works of authorship which are made by me (solely or jointly with others) within the scope of my employment and which are protectable by Copyright are “works made for hire,” pursuant to United States Copyright Act (17 U.S.C., Section 101).</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(b)</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 agree that the Company will exclusively own all work product that is made by me (solely or jointly with others) within the scope of my employment, and I hereby irrevocably and unconditionally assign to the Company all right, title, and interest worldwide in and to such work product. I understand and agree that I have no right to publish on, submit for publishing, or use for any publication any work product protected by this Section, except as necessary to perform services for the Company.</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2.8</w:t>
      </w:r>
    </w:p>
    <w:p>
      <w:pPr>
        <w:pStyle w:val="TextBody"/>
        <w:bidi w:val="0"/>
        <w:spacing w:before="240" w:after="283"/>
        <w:jc w:val="both"/>
        <w:rPr/>
      </w:pPr>
      <w:r>
        <w:rPr>
          <w:rFonts w:ascii="Times New Roman" w:hAnsi="Times New Roman"/>
          <w:b/>
          <w:color w:val="231F20"/>
          <w:sz w:val="24"/>
        </w:rPr>
        <w:t xml:space="preserve">Enforcement of Intellectual Property Rights and Assistance. </w:t>
      </w:r>
      <w:r>
        <w:rPr>
          <w:rFonts w:ascii="Times New Roman" w:hAnsi="Times New Roman"/>
          <w:color w:val="231F20"/>
          <w:sz w:val="24"/>
        </w:rPr>
        <w:t>I will assist the Company in every proper way to obtain, and from time to time enforce, United States and foreign Intellectual Property Rights and Moral Rights relating to Company Inventions in any and all countries. To that end I will execute, verify and deliver such documents and perform such other acts (including appearances as a witness) as the Company may reasonably request for use in applying for, obtaining, perfecting, evidencing, sustaining and enforcing such Intellectual Property Rights and the assignment thereof. In addition, I will execute, verify and deliver assignments of such Intellectual Property Rights to the Company or its designee, including the United States or any third party designated by the Company. My obligation to assist the Company with respect to Intellectual Property Rights relating to such Company Inventions in any and all countries will continue beyond the termination of my employment, but the Company will compensate me at a reasonable rate after my termination for the time actually spent by me at the Company's request on such assistance. In the event the Company is unable for any reason, after reasonable effort, to secure my signature on any document needed in connection with the actions specified in this paragraph, I hereby irrevocably designate and appoint the Company and its duly authorized officers and agents as my agent and attorney in fact, which appointment is coupled with an interest, to act for and on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Intellectual Property Rights assigned under this Agreement to the Company.</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2.9</w:t>
      </w:r>
    </w:p>
    <w:p>
      <w:pPr>
        <w:pStyle w:val="TextBody"/>
        <w:bidi w:val="0"/>
        <w:spacing w:before="240" w:after="283"/>
        <w:jc w:val="both"/>
        <w:rPr/>
      </w:pPr>
      <w:r>
        <w:rPr>
          <w:rFonts w:ascii="Times New Roman" w:hAnsi="Times New Roman"/>
          <w:b/>
          <w:color w:val="231F20"/>
          <w:sz w:val="24"/>
        </w:rPr>
        <w:t xml:space="preserve">Incorporation of Software Code. </w:t>
      </w:r>
      <w:r>
        <w:rPr>
          <w:rFonts w:ascii="Times New Roman" w:hAnsi="Times New Roman"/>
          <w:color w:val="231F20"/>
          <w:sz w:val="24"/>
        </w:rPr>
        <w:t xml:space="preserve">I agree that I will not incorporate into any Company software or otherwise deliver to the Company any software code licensed under the GNU General Public License </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4</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or Lesser General Public License or any other license that, by its terms, requires or conditions the use or distribution of such code on the disclosure, licensing, or distribution of any source code owned or licensed by the Company except in strict compliance with the Company’s policies regarding the use of such software.</w:t>
      </w:r>
    </w:p>
    <w:p>
      <w:pPr>
        <w:pStyle w:val="TextBody"/>
        <w:bidi w:val="0"/>
        <w:spacing w:before="240" w:after="283"/>
        <w:jc w:val="both"/>
        <w:rPr>
          <w:rFonts w:ascii="Times New Roman" w:hAnsi="Times New Roman"/>
          <w:b/>
          <w:smallCaps/>
          <w:color w:val="231F20"/>
          <w:sz w:val="24"/>
        </w:rPr>
      </w:pPr>
      <w:r>
        <w:rPr>
          <w:rFonts w:ascii="Times New Roman" w:hAnsi="Times New Roman"/>
          <w:b/>
          <w:smallCaps/>
          <w:color w:val="231F20"/>
          <w:sz w:val="24"/>
        </w:rPr>
        <w:t>3.</w:t>
      </w:r>
    </w:p>
    <w:p>
      <w:pPr>
        <w:pStyle w:val="TextBody"/>
        <w:bidi w:val="0"/>
        <w:spacing w:before="240" w:after="283"/>
        <w:jc w:val="both"/>
        <w:rPr/>
      </w:pPr>
      <w:r>
        <w:rPr>
          <w:rFonts w:ascii="Times New Roman" w:hAnsi="Times New Roman"/>
          <w:b/>
          <w:smallCaps/>
          <w:color w:val="231F20"/>
          <w:sz w:val="24"/>
        </w:rPr>
        <w:t>Records</w:t>
      </w:r>
      <w:r>
        <w:rPr>
          <w:rFonts w:ascii="Times New Roman" w:hAnsi="Times New Roman"/>
          <w:color w:val="231F20"/>
          <w:sz w:val="24"/>
        </w:rPr>
        <w:t>. I agree to keep and maintain adequate and current records (in the form of notes, sketches, drawings and in any other form that is required by the Company) of all Confidential Information developed by me and all Company Inventions made by me during the period of my employment at the Company, which records will be available to and remain the sole property of the Company at all times.</w:t>
      </w:r>
    </w:p>
    <w:p>
      <w:pPr>
        <w:pStyle w:val="TextBody"/>
        <w:bidi w:val="0"/>
        <w:spacing w:before="240" w:after="283"/>
        <w:jc w:val="both"/>
        <w:rPr>
          <w:rFonts w:ascii="Times New Roman" w:hAnsi="Times New Roman"/>
          <w:b/>
          <w:smallCaps/>
          <w:color w:val="231F20"/>
          <w:sz w:val="24"/>
        </w:rPr>
      </w:pPr>
      <w:r>
        <w:rPr>
          <w:rFonts w:ascii="Times New Roman" w:hAnsi="Times New Roman"/>
          <w:b/>
          <w:smallCaps/>
          <w:color w:val="231F20"/>
          <w:sz w:val="24"/>
        </w:rPr>
        <w:t>4.</w:t>
      </w:r>
    </w:p>
    <w:p>
      <w:pPr>
        <w:pStyle w:val="TextBody"/>
        <w:bidi w:val="0"/>
        <w:spacing w:before="240" w:after="283"/>
        <w:jc w:val="both"/>
        <w:rPr/>
      </w:pPr>
      <w:r>
        <w:rPr>
          <w:rFonts w:ascii="Times New Roman" w:hAnsi="Times New Roman"/>
          <w:b/>
          <w:smallCaps/>
          <w:color w:val="231F20"/>
          <w:sz w:val="24"/>
        </w:rPr>
        <w:t>Duty of Loyalty During Employment</w:t>
      </w:r>
      <w:r>
        <w:rPr>
          <w:rFonts w:ascii="Times New Roman" w:hAnsi="Times New Roman"/>
          <w:color w:val="231F20"/>
          <w:sz w:val="24"/>
        </w:rPr>
        <w:t>. I agree that during the period of my employment by the Company, I will not, without the Company’s express written consent, directly or indirectly engage in any employment or business activity which is directly or indirectly competitive with, or would otherwise conflict with, my employment by the Company. Notwithstanding, to the extent my then- current employment agreement with the Company contains carve-outs and/or exceptions with respect to potentially conflicting activities, those carve-outs and/or exceptions will also apply to this Section 4.</w:t>
      </w:r>
    </w:p>
    <w:p>
      <w:pPr>
        <w:pStyle w:val="TextBody"/>
        <w:bidi w:val="0"/>
        <w:spacing w:before="240" w:after="283"/>
        <w:jc w:val="both"/>
        <w:rPr>
          <w:rFonts w:ascii="Times New Roman" w:hAnsi="Times New Roman"/>
          <w:b/>
          <w:smallCaps/>
          <w:color w:val="231F20"/>
          <w:sz w:val="24"/>
        </w:rPr>
      </w:pPr>
      <w:r>
        <w:rPr>
          <w:rFonts w:ascii="Times New Roman" w:hAnsi="Times New Roman"/>
          <w:b/>
          <w:smallCaps/>
          <w:color w:val="231F20"/>
          <w:sz w:val="24"/>
        </w:rPr>
        <w:t>5.</w:t>
      </w:r>
    </w:p>
    <w:p>
      <w:pPr>
        <w:pStyle w:val="TextBody"/>
        <w:bidi w:val="0"/>
        <w:spacing w:before="240" w:after="283"/>
        <w:jc w:val="both"/>
        <w:rPr/>
      </w:pPr>
      <w:r>
        <w:rPr>
          <w:rFonts w:ascii="Times New Roman" w:hAnsi="Times New Roman"/>
          <w:b/>
          <w:smallCaps/>
          <w:color w:val="231F20"/>
          <w:sz w:val="24"/>
        </w:rPr>
        <w:t>No Solicitation of Employees, Consultants, Contractors, or Customers or Potential Customers</w:t>
      </w:r>
      <w:r>
        <w:rPr>
          <w:rFonts w:ascii="Times New Roman" w:hAnsi="Times New Roman"/>
          <w:color w:val="231F20"/>
          <w:sz w:val="24"/>
        </w:rPr>
        <w:t>. Except as modified by Section 10.3 below, I agree that during the period of my employment and for the twelve (12) month period after the termination of my relationship with the Company for any reason, including but not limited to voluntary termination by me or involuntary termination by the Company, I will not, as an officer, director, employee, consultant, owner, partner, or in any other capacity, either directly or through others, except on behalf of the Company:</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5.1.</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hire, recruit, solicit, induce, encourage, or participate in hiring, recruiting, soliciting, inducing or encouraging any person known to me to be an employee, consultant, or independent contractor of the Company to terminate his or her relationship with the Company, even if I did not initiate the discussion or seek out the contact;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5.2.</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solicit, induce, encourage or attempt to solicit, induce, or encourage any Customer or Potential Customer (as defined below), to terminate, diminish, or otherwise alter in a manner harmful to the Company, its relationship with the Company;</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5.3.</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perform, provide or attempt to perform or provide any Conflicting Services for a Customer or Potential Customer; or</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5.4.</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solicit, induce, encourage or attempt to solicit, induce, or encourage, any franchisee, joint venture, supplier, vendor or contractor who conducted business with the Company at any time during the twenty-four month year period preceding the termination of my employment with the Company, to terminate or adversely modify any business relationship with the Company or not to proceed with, or enter into, any business relationship with the Company, nor shall I otherwise interfere with any business relationship between the Company and any such franchisee, joint venture, supplier, vendor or contractor.</w:t>
      </w:r>
    </w:p>
    <w:p>
      <w:pPr>
        <w:pStyle w:val="TextBody"/>
        <w:bidi w:val="0"/>
        <w:spacing w:before="240" w:after="283"/>
        <w:jc w:val="both"/>
        <w:rPr>
          <w:rFonts w:ascii="Times New Roman" w:hAnsi="Times New Roman"/>
          <w:sz w:val="20"/>
        </w:rPr>
      </w:pPr>
      <w:r>
        <w:rPr>
          <w:rFonts w:ascii="Times New Roman" w:hAnsi="Times New Roman"/>
          <w:color w:val="231F20"/>
          <w:sz w:val="24"/>
        </w:rPr>
        <w:t>I agree that for purposes of this Agreement, a “</w:t>
      </w:r>
      <w:r>
        <w:rPr>
          <w:rFonts w:ascii="Times New Roman" w:hAnsi="Times New Roman"/>
          <w:b/>
          <w:i/>
          <w:color w:val="231F20"/>
          <w:sz w:val="24"/>
        </w:rPr>
        <w:t>Customer or Potential Customer</w:t>
      </w:r>
      <w:r>
        <w:rPr>
          <w:rFonts w:ascii="Times New Roman" w:hAnsi="Times New Roman"/>
          <w:color w:val="231F20"/>
          <w:sz w:val="20"/>
        </w:rPr>
        <w:t xml:space="preserve">” </w:t>
      </w:r>
      <w:r>
        <w:rPr>
          <w:rFonts w:ascii="Times New Roman" w:hAnsi="Times New Roman"/>
          <w:color w:val="231F20"/>
          <w:sz w:val="24"/>
        </w:rPr>
        <w:t>is any person or entity who or which used or inquired of the Company’s services at any time during the twenty-four (24) month period preceding the termination of my employment with the Company. I acknowledge and agree that the Customers or Potential Customers did not use or inquire of the Company’s services solely as a result of my efforts, and that the efforts of other Company personnel and resources are responsible for the Company’s relationship with the Customers or Potential Customers. I further acknowledge and agree that the identity of the Customers or Potential Customers is not readily ascertainable or discoverable through public sources, and that the Company’s list of Customers or Potential Customers was cultivated with great effort and secured through the expenditure of considerable time and money by the Company.</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5</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6.</w:t>
      </w:r>
    </w:p>
    <w:p>
      <w:pPr>
        <w:pStyle w:val="TextBody"/>
        <w:bidi w:val="0"/>
        <w:spacing w:before="240" w:after="283"/>
        <w:jc w:val="both"/>
        <w:rPr/>
      </w:pPr>
      <w:r>
        <w:rPr>
          <w:rFonts w:ascii="Times New Roman" w:hAnsi="Times New Roman"/>
          <w:b/>
          <w:smallCaps/>
          <w:color w:val="231F20"/>
          <w:sz w:val="24"/>
        </w:rPr>
        <w:t>Non-Compete Provision</w:t>
      </w:r>
      <w:r>
        <w:rPr>
          <w:rFonts w:ascii="Times New Roman" w:hAnsi="Times New Roman"/>
          <w:color w:val="231F20"/>
          <w:sz w:val="24"/>
        </w:rPr>
        <w: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6.1</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Except as modified by Section 10.3 below, I agree that during the period of my employment and for the twelve (12) month period after the termination of my relationship with the Company for any reason, including but not limited to voluntary termination by me or involuntary termination by the Company, I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myself with, any business whose business, products or operations are in any respect involved in Conflicting Services (defined below) anywhere in the Restricted Territory (defined below). Should I obtain other employment during my employment with the Company or within twelve (12) months immediately following the termination of my relationship with the Company, I agree to provide written notification to the Company as to the name and address of my new employer, the position that I expect to hold, and a general description of my duties and responsibilities, at least three (3) business days prior to starting such employment. Nothing herein shall prohibit you from being a passive owner of not more than 2% of the outstanding equity interest in any publicly traded company, so long as you have no active participation in the business of such company.</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6.2</w:t>
      </w:r>
    </w:p>
    <w:p>
      <w:pPr>
        <w:pStyle w:val="TextBody"/>
        <w:bidi w:val="0"/>
        <w:spacing w:before="240" w:after="283"/>
        <w:jc w:val="both"/>
        <w:rPr/>
      </w:pPr>
      <w:r>
        <w:rPr>
          <w:rFonts w:ascii="Times New Roman" w:hAnsi="Times New Roman"/>
          <w:color w:val="231F20"/>
          <w:sz w:val="24"/>
        </w:rPr>
        <w:t>I agree that for purposes of this Agreement, “</w:t>
      </w:r>
      <w:r>
        <w:rPr>
          <w:rFonts w:ascii="Times New Roman" w:hAnsi="Times New Roman"/>
          <w:b/>
          <w:i/>
          <w:color w:val="231F20"/>
          <w:sz w:val="24"/>
        </w:rPr>
        <w:t>Conflicting Service</w:t>
      </w:r>
      <w:r>
        <w:rPr>
          <w:rFonts w:ascii="Times New Roman" w:hAnsi="Times New Roman"/>
          <w:b/>
          <w:color w:val="231F20"/>
          <w:sz w:val="24"/>
        </w:rPr>
        <w:t>s</w:t>
      </w:r>
      <w:r>
        <w:rPr>
          <w:color w:val="231F20"/>
        </w:rPr>
        <w:t xml:space="preserve">” </w:t>
      </w:r>
      <w:r>
        <w:rPr>
          <w:rFonts w:ascii="Times New Roman" w:hAnsi="Times New Roman"/>
          <w:color w:val="231F20"/>
          <w:sz w:val="24"/>
        </w:rPr>
        <w:t>means any business in gamma delta T-cell therapy in which the Company is engaged or other specific therapeutics the Company has taken material steps to plan or develop.</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6.3</w:t>
      </w:r>
    </w:p>
    <w:p>
      <w:pPr>
        <w:pStyle w:val="TextBody"/>
        <w:bidi w:val="0"/>
        <w:spacing w:before="240" w:after="283"/>
        <w:jc w:val="both"/>
        <w:rPr/>
      </w:pPr>
      <w:r>
        <w:rPr>
          <w:rFonts w:ascii="Times New Roman" w:hAnsi="Times New Roman"/>
          <w:color w:val="231F20"/>
          <w:sz w:val="24"/>
        </w:rPr>
        <w:t>I agree that for purposes of this Agreement, “</w:t>
      </w:r>
      <w:r>
        <w:rPr>
          <w:rFonts w:ascii="Times New Roman" w:hAnsi="Times New Roman"/>
          <w:b/>
          <w:i/>
          <w:color w:val="231F20"/>
          <w:sz w:val="24"/>
        </w:rPr>
        <w:t>Restricted Territory</w:t>
      </w:r>
      <w:r>
        <w:rPr>
          <w:color w:val="231F20"/>
        </w:rPr>
        <w:t xml:space="preserve">” </w:t>
      </w:r>
      <w:r>
        <w:rPr>
          <w:rFonts w:ascii="Times New Roman" w:hAnsi="Times New Roman"/>
          <w:color w:val="231F20"/>
          <w:sz w:val="24"/>
        </w:rPr>
        <w:t>means (i) all counties in the state in which I primarily perform services for the Company; (ii) all other states of the United States of America in which the Company provided goods or services, had customers, or otherwise conducted business at any time during the twenty-four-month period prior to the date of the termination of my relationship with the Company; and (ii) any other countries from which the Company provided goods or services, had customers, or otherwise conducted business at any time during the twelve-month period prior to the date of the termination of my relationship with the Company.</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7.</w:t>
      </w:r>
    </w:p>
    <w:p>
      <w:pPr>
        <w:pStyle w:val="TextBody"/>
        <w:bidi w:val="0"/>
        <w:spacing w:before="240" w:after="283"/>
        <w:jc w:val="both"/>
        <w:rPr/>
      </w:pPr>
      <w:r>
        <w:rPr>
          <w:rFonts w:ascii="Times New Roman" w:hAnsi="Times New Roman"/>
          <w:b/>
          <w:smallCaps/>
          <w:color w:val="231F20"/>
          <w:sz w:val="24"/>
        </w:rPr>
        <w:t>Reasonableness of Restrictions</w:t>
      </w:r>
      <w:r>
        <w:rPr>
          <w:rFonts w:ascii="Times New Roman" w:hAnsi="Times New Roman"/>
          <w:color w:val="231F20"/>
          <w:sz w:val="24"/>
        </w:rPr>
        <w: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7.1</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 acknowledge that I will derive significant value from the Company’s agreement to provide me with Company Confidential Information to enable me to optimize the performance of my duties to the Company. I further acknowledge that my fulfillment of the obligations contained in this Agreement, including, but not limited to, my obligation neither to disclose nor to use Company Confidential Information other than for the Company’s exclusive benefit and my obligations not to compete and not to solicit are necessary to protect Company Confidential Information and, consequently, to preserve the value and goodwill of the Company. I agree that this Agreement does not prevent me from earning a living or pursuing my career. I agree that the restrictions contained in this Agreement are reasonable, proper, and necessitated by the Company’s legitimate business interests. I represent and agree that I am entering into this Agreement freely and with knowledge of its contents with the intent to be bound by the Agreement and the restrictions contained in it.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7.2</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In the event that a court finds this Agreement, or any of its restrictions, to be overbroad, ambiguous, unenforceable, or invalid, I and the Company agree that the court will read the Agreement as a whole and interpret the restriction(s) at issue to be enforceable and valid to the maximum extent allowed by law.</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6</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7.3</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The covenants contained in Section 5 and 6 above shall be construed as a series of separate covenants, one for each city, county and state of any geographic area in the Restricted Territory. If the court declines to enforce this Agreement in the manner provided in subsection 7.2, the Company and I agree that this Agreement will be automatically modified to provide the Company with the maximum protection of its business interests allowed by law and I agree to be bound by this Agreement as modified.</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8.</w:t>
      </w:r>
    </w:p>
    <w:p>
      <w:pPr>
        <w:pStyle w:val="TextBody"/>
        <w:bidi w:val="0"/>
        <w:spacing w:before="240" w:after="283"/>
        <w:jc w:val="both"/>
        <w:rPr/>
      </w:pPr>
      <w:r>
        <w:rPr>
          <w:rFonts w:ascii="Times New Roman" w:hAnsi="Times New Roman"/>
          <w:b/>
          <w:smallCaps/>
          <w:color w:val="231F20"/>
          <w:sz w:val="24"/>
        </w:rPr>
        <w:t>No Conflicting Agreement or Obligation</w:t>
      </w:r>
      <w:r>
        <w:rPr>
          <w:rFonts w:ascii="Times New Roman" w:hAnsi="Times New Roman"/>
          <w:color w:val="231F20"/>
          <w:sz w:val="24"/>
        </w:rPr>
        <w:t>. Irepresent that my performance of all the terms of this Agreement and as an employee of the Company does not and will not breach any agreement to keep in confidence information acquired by me in confidence or in trust prior to my employment by the Company. I have not entered into, and I agree I will not enter into, any agreement either written or oral in conflict with this Agreement.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9.</w:t>
      </w:r>
    </w:p>
    <w:p>
      <w:pPr>
        <w:pStyle w:val="TextBody"/>
        <w:bidi w:val="0"/>
        <w:spacing w:before="240" w:after="283"/>
        <w:jc w:val="both"/>
        <w:rPr/>
      </w:pPr>
      <w:r>
        <w:rPr>
          <w:rFonts w:ascii="Times New Roman" w:hAnsi="Times New Roman"/>
          <w:b/>
          <w:smallCaps/>
          <w:color w:val="231F20"/>
          <w:sz w:val="24"/>
        </w:rPr>
        <w:t>Return of Company Property</w:t>
      </w:r>
      <w:r>
        <w:rPr>
          <w:rFonts w:ascii="Times New Roman" w:hAnsi="Times New Roman"/>
          <w:color w:val="231F20"/>
          <w:sz w:val="24"/>
        </w:rPr>
        <w:t>. When I leave the employ of the Company, I will deliver to the Company any and all drawings, notes, memoranda, specifications, devices, formulas and documents, together with all copies thereof, and any other material containing or disclosing any Company Inventions, Third Party Information or Confidential Information of the Company. I agree that I will not copy, delete, or alter any information contained upon my Company computer or Company equipment before I return it to the Company. In addition, if I have used any personal computer, server, or e-mail system to receive, store, review, prepare or transmit any Company information, including but not limited to, Confidential Information, 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 situated on the Company’s premises and owned by the Company, including disks and other storage media, filing cabinets or other work areas, is subject to inspection by the Company’s personnel at any time with or without notice. Prior to leaving, I will cooperate with the Company in attending an exit interview and completing and signing the Company’s termination statement if required to do so by the Company.</w:t>
      </w:r>
    </w:p>
    <w:p>
      <w:pPr>
        <w:pStyle w:val="TextBody"/>
        <w:bidi w:val="0"/>
        <w:spacing w:before="240" w:after="283"/>
        <w:jc w:val="both"/>
        <w:rPr>
          <w:rFonts w:ascii="Times New Roman" w:hAnsi="Times New Roman"/>
          <w:b/>
          <w:smallCaps/>
          <w:color w:val="231F20"/>
          <w:sz w:val="24"/>
        </w:rPr>
      </w:pPr>
      <w:r>
        <w:rPr>
          <w:rFonts w:ascii="Times New Roman" w:hAnsi="Times New Roman"/>
          <w:b/>
          <w:smallCaps/>
          <w:color w:val="231F20"/>
          <w:sz w:val="24"/>
        </w:rPr>
        <w:t>10.</w:t>
      </w:r>
    </w:p>
    <w:p>
      <w:pPr>
        <w:pStyle w:val="TextBody"/>
        <w:bidi w:val="0"/>
        <w:spacing w:before="240" w:after="283"/>
        <w:jc w:val="both"/>
        <w:rPr/>
      </w:pPr>
      <w:r>
        <w:rPr>
          <w:rFonts w:ascii="Times New Roman" w:hAnsi="Times New Roman"/>
          <w:b/>
          <w:smallCaps/>
          <w:color w:val="231F20"/>
          <w:sz w:val="24"/>
        </w:rPr>
        <w:t>Legal and Equitable Remedies</w:t>
      </w:r>
      <w:r>
        <w:rPr>
          <w:rFonts w:ascii="Times New Roman" w:hAnsi="Times New Roman"/>
          <w:color w:val="231F20"/>
          <w:sz w:val="24"/>
        </w:rPr>
        <w: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10.1.</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 agree that it may be impossible to assess the damages caused by my violation of this Agreement or any of its terms. I agree that any threatened or actual violation of this Agreement or any of its terms will constitute immediate and irreparable injury to the Company, and the Company will have the right to enforce this Agreement and any of its provisions by injunction, specific performance or other equitable relief, without bond and without prejudice to any other rights and remedies that the Company may have for a breach or threatened breach of this Agreement.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10.2.</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 agree that if the Company is successful in whole or in part in any legal or equitable action under this Agreement (including, but not limited to, a court partially or fully granting any application, motion, or petition by the Company for injunctive relief, including, but not limited to, a temporary restraining order, preliminary injunction, or permanent injunction), whether against or commenced by me, the Company will be entitled to recover from me all costs, fees, or expenses it incurred at any time during the course of the dispute, including, but not limited to, reasonable attorney’s fees. A final resolution of such dispute or a final judgment is not a prerequisite to the Company’s right to demand payment hereunder and such amounts must be paid by me to the Company within thirty (30) days after I receive written notice of such demand. In the event the Company demands only a portion of such costs, fees, or expenses incurred, such demand shall be without prejudice to further demands for (i) the remainder of any outstanding costs, fees, or expenses incurred, or (ii) costs, fees, or expenses incurred after the prior demand. Notwithstanding anything to the contrary in this provision, the Company and I shall equally share any fees charged by an arbitral body (e.g., JAMS).</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7</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10.3.</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In the event the Company enforces this Agreement through a court order, I agree that the restrictions of Sections 5 and 6 will remain in effect for a period of twelve (12) months from the effective date of the Order enforcing the Agreement.</w:t>
      </w:r>
    </w:p>
    <w:p>
      <w:pPr>
        <w:pStyle w:val="TextBody"/>
        <w:bidi w:val="0"/>
        <w:spacing w:before="240" w:after="283"/>
        <w:jc w:val="both"/>
        <w:rPr>
          <w:rFonts w:ascii="Times New Roman" w:hAnsi="Times New Roman"/>
          <w:b/>
          <w:smallCaps/>
          <w:color w:val="231F20"/>
          <w:sz w:val="24"/>
        </w:rPr>
      </w:pPr>
      <w:r>
        <w:rPr>
          <w:rFonts w:ascii="Times New Roman" w:hAnsi="Times New Roman"/>
          <w:b/>
          <w:smallCaps/>
          <w:color w:val="231F20"/>
          <w:sz w:val="24"/>
        </w:rPr>
        <w:t>11.</w:t>
      </w:r>
    </w:p>
    <w:p>
      <w:pPr>
        <w:pStyle w:val="TextBody"/>
        <w:bidi w:val="0"/>
        <w:spacing w:before="240" w:after="283"/>
        <w:jc w:val="both"/>
        <w:rPr/>
      </w:pPr>
      <w:r>
        <w:rPr>
          <w:rFonts w:ascii="Times New Roman" w:hAnsi="Times New Roman"/>
          <w:b/>
          <w:smallCaps/>
          <w:color w:val="231F20"/>
          <w:sz w:val="24"/>
        </w:rPr>
        <w:t>Notices</w:t>
      </w:r>
      <w:r>
        <w:rPr>
          <w:rFonts w:ascii="Times New Roman" w:hAnsi="Times New Roman"/>
          <w:color w:val="231F20"/>
          <w:sz w:val="24"/>
        </w:rPr>
        <w:t>. Any notices required or permitted under this Agreement will be given to the Company at its headquarters location at the time notice is given, labeled “Attention Chief Executive Officer,” and to me at my address as listed on the Company payroll, or at such other address as the Company or I may designate by written notice to the other.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w:t>
      </w:r>
    </w:p>
    <w:p>
      <w:pPr>
        <w:pStyle w:val="TextBody"/>
        <w:bidi w:val="0"/>
        <w:spacing w:before="240" w:after="283"/>
        <w:jc w:val="both"/>
        <w:rPr>
          <w:rFonts w:ascii="Times New Roman" w:hAnsi="Times New Roman"/>
          <w:b/>
          <w:smallCaps/>
          <w:color w:val="231F20"/>
          <w:sz w:val="24"/>
        </w:rPr>
      </w:pPr>
      <w:r>
        <w:rPr>
          <w:rFonts w:ascii="Times New Roman" w:hAnsi="Times New Roman"/>
          <w:b/>
          <w:smallCaps/>
          <w:color w:val="231F20"/>
          <w:sz w:val="24"/>
        </w:rPr>
        <w:t>12.</w:t>
      </w:r>
    </w:p>
    <w:p>
      <w:pPr>
        <w:pStyle w:val="TextBody"/>
        <w:bidi w:val="0"/>
        <w:spacing w:before="240" w:after="283"/>
        <w:jc w:val="both"/>
        <w:rPr/>
      </w:pPr>
      <w:r>
        <w:rPr>
          <w:rFonts w:ascii="Times New Roman" w:hAnsi="Times New Roman"/>
          <w:b/>
          <w:smallCaps/>
          <w:color w:val="231F20"/>
          <w:sz w:val="24"/>
        </w:rPr>
        <w:t>Publication of This Agreement to Subsequent Employer or Business Associates of Employee</w:t>
      </w:r>
      <w:r>
        <w:rPr>
          <w:rFonts w:ascii="Times New Roman" w:hAnsi="Times New Roman"/>
          <w:color w:val="231F20"/>
          <w:sz w:val="24"/>
        </w:rPr>
        <w: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12.1.</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If I am offered employment or the opportunity to enter into any business venture as owner, partner, consultant or other capacity while the restrictions described in Sections 5 and 6 of this Agreement are in effect, I agree to inform my potential employer, partner, co-owner and/or others involved in managing the business with which I have an opportunity to be associated of my obligations under this Agreement and also agree to provide such person or persons with a copy of this Agreement.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12.2.</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 agree to inform the Company of all employment and business ventures which I enter into while the restrictions described in Sections 5 and 6 of this Agreement are in effect and I also authorize the Company to provide copies of this Agreement to my employer, partner, co-owner and/or others involved in managing the business with which I am employed or associated and to make such persons aware of my obligations under this Agreement.</w:t>
      </w:r>
    </w:p>
    <w:p>
      <w:pPr>
        <w:pStyle w:val="TextBody"/>
        <w:bidi w:val="0"/>
        <w:spacing w:before="120" w:after="283"/>
        <w:jc w:val="left"/>
        <w:rPr>
          <w:rFonts w:ascii="Times New Roman" w:hAnsi="Times New Roman"/>
          <w:b/>
          <w:smallCaps/>
          <w:color w:val="231F20"/>
          <w:sz w:val="24"/>
        </w:rPr>
      </w:pPr>
      <w:r>
        <w:rPr>
          <w:rFonts w:ascii="Times New Roman" w:hAnsi="Times New Roman"/>
          <w:b/>
          <w:smallCaps/>
          <w:color w:val="231F20"/>
          <w:sz w:val="24"/>
        </w:rPr>
        <w:t>13.</w:t>
      </w:r>
    </w:p>
    <w:p>
      <w:pPr>
        <w:pStyle w:val="TextBody"/>
        <w:bidi w:val="0"/>
        <w:spacing w:before="120" w:after="283"/>
        <w:jc w:val="left"/>
        <w:rPr/>
      </w:pPr>
      <w:r>
        <w:rPr>
          <w:rFonts w:ascii="Times New Roman" w:hAnsi="Times New Roman"/>
          <w:b/>
          <w:smallCaps/>
          <w:color w:val="231F20"/>
          <w:sz w:val="24"/>
        </w:rPr>
        <w:t>General Provisions</w:t>
      </w:r>
      <w:r>
        <w:rPr>
          <w:rFonts w:ascii="Times New Roman" w:hAnsi="Times New Roman"/>
          <w:color w:val="231F20"/>
          <w:sz w:val="24"/>
        </w:rPr>
        <w: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13.1.</w:t>
      </w:r>
    </w:p>
    <w:p>
      <w:pPr>
        <w:pStyle w:val="TextBody"/>
        <w:bidi w:val="0"/>
        <w:spacing w:before="240" w:after="283"/>
        <w:jc w:val="both"/>
        <w:rPr/>
      </w:pPr>
      <w:r>
        <w:rPr>
          <w:rFonts w:ascii="Times New Roman" w:hAnsi="Times New Roman"/>
          <w:b/>
          <w:color w:val="231F20"/>
          <w:sz w:val="24"/>
        </w:rPr>
        <w:t>Governing Law; Consent to Personal Jurisdiction</w:t>
      </w:r>
      <w:r>
        <w:rPr>
          <w:rFonts w:ascii="Times New Roman" w:hAnsi="Times New Roman"/>
          <w:color w:val="231F20"/>
          <w:sz w:val="24"/>
        </w:rPr>
        <w:t>. This Agreement will be governed by and construed according to the laws of the State of New York as such laws are applied to agreements entered into and to be performed entirely within New York between residents of New York. I hereby expressly consent to the personal jurisdiction and venue of the state and federal courts located in the State of New York for any lawsuit filed there against me by the Company arising from or related to this Agreement.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13.2.</w:t>
      </w:r>
    </w:p>
    <w:p>
      <w:pPr>
        <w:pStyle w:val="TextBody"/>
        <w:bidi w:val="0"/>
        <w:spacing w:before="240" w:after="283"/>
        <w:jc w:val="both"/>
        <w:rPr/>
      </w:pPr>
      <w:r>
        <w:rPr>
          <w:rFonts w:ascii="Times New Roman" w:hAnsi="Times New Roman"/>
          <w:b/>
          <w:color w:val="231F20"/>
          <w:sz w:val="24"/>
        </w:rPr>
        <w:t>Severability</w:t>
      </w:r>
      <w:r>
        <w:rPr>
          <w:rFonts w:ascii="Times New Roman" w:hAnsi="Times New Roman"/>
          <w:color w:val="231F20"/>
          <w:sz w:val="24"/>
        </w:rPr>
        <w:t>. In case any one or more of the provisions, subsections, or sentences contained in this Agreement will, for any reason, be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moreover, any one or more of the provisions contained in this Agreement will for any reason be held to be excessively broad as to duration, geographical scope, activity or subject, it will be construed by limiting and reducing it, so as to be enforceable to the extent compatible with the applicable law as it will then appear.</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13.3.</w:t>
      </w:r>
    </w:p>
    <w:p>
      <w:pPr>
        <w:pStyle w:val="TextBody"/>
        <w:bidi w:val="0"/>
        <w:spacing w:before="240" w:after="283"/>
        <w:jc w:val="both"/>
        <w:rPr/>
      </w:pPr>
      <w:r>
        <w:rPr>
          <w:rFonts w:ascii="Times New Roman" w:hAnsi="Times New Roman"/>
          <w:b/>
          <w:color w:val="231F20"/>
          <w:sz w:val="24"/>
        </w:rPr>
        <w:t>Successors and Assigns</w:t>
      </w:r>
      <w:r>
        <w:rPr>
          <w:rFonts w:ascii="Times New Roman" w:hAnsi="Times New Roman"/>
          <w:color w:val="231F20"/>
          <w:sz w:val="24"/>
        </w:rPr>
        <w:t>. This Agreement is for my benefit and the benefit of the Company, its successors, assigns, parent corporations, subsidiaries, affiliates, and purchasers, and will be binding upon my heirs, executors, administrators and other legal representatives. Notwithstanding anything to the contrary herein, the Company may assign this Agreement and its rights and obligations under this Agreement to any successor to all or substantially all of the Company’s relevant assets, whether by merger, consolidation, reorganization, reincorporation, sale of assets or stock, or otherwise. For avoidance of doubt, the Company’s successors and assigns are authorized to enforce the Company’s rights under this Agreement.</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8</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13.4.</w:t>
      </w:r>
    </w:p>
    <w:p>
      <w:pPr>
        <w:pStyle w:val="TextBody"/>
        <w:bidi w:val="0"/>
        <w:spacing w:before="240" w:after="283"/>
        <w:jc w:val="both"/>
        <w:rPr/>
      </w:pPr>
      <w:r>
        <w:rPr>
          <w:rFonts w:ascii="Times New Roman" w:hAnsi="Times New Roman"/>
          <w:b/>
          <w:color w:val="231F20"/>
          <w:sz w:val="24"/>
        </w:rPr>
        <w:t>Survival</w:t>
      </w:r>
      <w:r>
        <w:rPr>
          <w:rFonts w:ascii="Times New Roman" w:hAnsi="Times New Roman"/>
          <w:color w:val="231F20"/>
          <w:sz w:val="24"/>
        </w:rPr>
        <w:t>. This Agreement shall survive the termination of my employment, regardless of the reason, and the assignment of this Agreement by the Company to any successor in interest or other assignee.</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13.5.</w:t>
      </w:r>
    </w:p>
    <w:p>
      <w:pPr>
        <w:pStyle w:val="TextBody"/>
        <w:bidi w:val="0"/>
        <w:spacing w:before="240" w:after="283"/>
        <w:jc w:val="both"/>
        <w:rPr/>
      </w:pPr>
      <w:r>
        <w:rPr>
          <w:rFonts w:ascii="Times New Roman" w:hAnsi="Times New Roman"/>
          <w:b/>
          <w:color w:val="231F20"/>
          <w:sz w:val="24"/>
        </w:rPr>
        <w:t>Employment At-Will</w:t>
      </w:r>
      <w:r>
        <w:rPr>
          <w:rFonts w:ascii="Times New Roman" w:hAnsi="Times New Roman"/>
          <w:color w:val="231F20"/>
          <w:sz w:val="24"/>
        </w:rPr>
        <w:t>. I agree and understand that nothing in this Agreement will change my at-will employment status or confer any right with respect to continuation of employment by the Company, nor will it interfere in any way with my right or the Company’s right to terminate my employment at any time, with or without cause or advance notice.</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13.6.</w:t>
      </w:r>
    </w:p>
    <w:p>
      <w:pPr>
        <w:pStyle w:val="TextBody"/>
        <w:bidi w:val="0"/>
        <w:spacing w:before="240" w:after="283"/>
        <w:jc w:val="both"/>
        <w:rPr/>
      </w:pPr>
      <w:r>
        <w:rPr>
          <w:rFonts w:ascii="Times New Roman" w:hAnsi="Times New Roman"/>
          <w:b/>
          <w:color w:val="231F20"/>
          <w:sz w:val="24"/>
        </w:rPr>
        <w:t>Waiver</w:t>
      </w:r>
      <w:r>
        <w:rPr>
          <w:rFonts w:ascii="Times New Roman" w:hAnsi="Times New Roman"/>
          <w:color w:val="231F20"/>
          <w:sz w:val="24"/>
        </w:rPr>
        <w:t>. No waiver by the Company of any breach of this Agreement will be a waiver of any preceding or succeeding breach. No waiver by the Company of any right under this Agreement will be construed as a waiver of any other right. The Company will not be required to give notice to enforce strict adherence to all terms of this Agreement.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13.7.</w:t>
      </w:r>
    </w:p>
    <w:p>
      <w:pPr>
        <w:pStyle w:val="TextBody"/>
        <w:bidi w:val="0"/>
        <w:spacing w:before="240" w:after="283"/>
        <w:jc w:val="both"/>
        <w:rPr/>
      </w:pPr>
      <w:r>
        <w:rPr>
          <w:rFonts w:ascii="Times New Roman" w:hAnsi="Times New Roman"/>
          <w:b/>
          <w:color w:val="231F20"/>
          <w:sz w:val="24"/>
        </w:rPr>
        <w:t>Waiver of Statutory Information Rights</w:t>
      </w:r>
      <w:r>
        <w:rPr>
          <w:rFonts w:ascii="Times New Roman" w:hAnsi="Times New Roman"/>
          <w:color w:val="231F20"/>
          <w:sz w:val="24"/>
        </w:rPr>
        <w:t>. I hereby waive any current or future rights I may have under Section 220 of the Delaware General Corporation Law (and similar rights under other applicable law) to inspect, or make copies and extracts from, the Company’s stock ledger, any list of its stockholders, or any other books and records of the Company or any of its affiliates or subsidiaries, in my capacity as a holder of stock, shares, units, options, or any other equity instrument.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13.8.</w:t>
      </w:r>
    </w:p>
    <w:p>
      <w:pPr>
        <w:pStyle w:val="TextBody"/>
        <w:bidi w:val="0"/>
        <w:spacing w:before="240" w:after="283"/>
        <w:jc w:val="both"/>
        <w:rPr/>
      </w:pPr>
      <w:r>
        <w:rPr>
          <w:rFonts w:ascii="Times New Roman" w:hAnsi="Times New Roman"/>
          <w:b/>
          <w:color w:val="231F20"/>
          <w:sz w:val="24"/>
        </w:rPr>
        <w:t>Export</w:t>
      </w:r>
      <w:r>
        <w:rPr>
          <w:rFonts w:ascii="Times New Roman" w:hAnsi="Times New Roman"/>
          <w:color w:val="231F20"/>
          <w:sz w:val="24"/>
        </w:rPr>
        <w:t>. I agree not to export, reexport, or transfer, directly or indirectly, any U.S. technical data acquired from the Company or any products utilizing such data, in violation of the United States export laws or regulations.</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13.9.</w:t>
      </w:r>
    </w:p>
    <w:p>
      <w:pPr>
        <w:pStyle w:val="TextBody"/>
        <w:bidi w:val="0"/>
        <w:spacing w:before="240" w:after="283"/>
        <w:jc w:val="both"/>
        <w:rPr/>
      </w:pPr>
      <w:r>
        <w:rPr>
          <w:rFonts w:ascii="Times New Roman" w:hAnsi="Times New Roman"/>
          <w:b/>
          <w:color w:val="231F20"/>
          <w:sz w:val="24"/>
        </w:rPr>
        <w:t>Counterparts</w:t>
      </w:r>
      <w:r>
        <w:rPr>
          <w:rFonts w:ascii="Times New Roman" w:hAnsi="Times New Roman"/>
          <w:color w:val="231F20"/>
          <w:sz w:val="24"/>
        </w:rPr>
        <w:t>. This Agreement may be executed in one or more counterparts, each of which shall be deemed an original and all of which shall be taken together and deemed to be one instrument. This Agreement may also be executed and delivered by facsimile signature, PDF or any electronic signature complying with the U.S. federal ESIGN Act of 2000 (e.g., www.docusign.com).</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13.10.</w:t>
      </w:r>
    </w:p>
    <w:p>
      <w:pPr>
        <w:pStyle w:val="TextBody"/>
        <w:bidi w:val="0"/>
        <w:spacing w:before="240" w:after="283"/>
        <w:jc w:val="both"/>
        <w:rPr/>
      </w:pPr>
      <w:r>
        <w:rPr>
          <w:rFonts w:ascii="Times New Roman" w:hAnsi="Times New Roman"/>
          <w:b/>
          <w:color w:val="231F20"/>
          <w:sz w:val="24"/>
        </w:rPr>
        <w:t>Advice of Counsel</w:t>
      </w:r>
      <w:r>
        <w:rPr>
          <w:rFonts w:ascii="Times New Roman" w:hAnsi="Times New Roman"/>
          <w:color w:val="231F20"/>
          <w:sz w:val="24"/>
        </w:rPr>
        <w:t xml:space="preserve">. </w:t>
      </w:r>
      <w:r>
        <w:rPr>
          <w:rFonts w:ascii="Times New Roman" w:hAnsi="Times New Roman"/>
          <w:b/>
          <w:color w:val="231F20"/>
          <w:sz w:val="24"/>
        </w:rPr>
        <w:t>I ACKNOWLEDGE THAT, IN EXECUTING THIS AGREEMENT, I HAVE HAD THE OPPORTUNITY TO SEEK THE ADVICE OF INDEPENDENT LEGAL COUNSEL, AND I HAVE READ AND UNDERSTOOD ALL OF THE TERMS AND PROVISIONS OF THIS AGREEMENT. THIS AGREEMENT WILL NOT BE CONSTRUED AGAINST ANY PARTY BY REASON OF THE DRAFTING OR PREPARATION OF THIS AGREEMENT.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13.11.</w:t>
      </w:r>
    </w:p>
    <w:p>
      <w:pPr>
        <w:pStyle w:val="TextBody"/>
        <w:bidi w:val="0"/>
        <w:spacing w:before="240" w:after="283"/>
        <w:jc w:val="both"/>
        <w:rPr/>
      </w:pPr>
      <w:r>
        <w:rPr>
          <w:rFonts w:ascii="Times New Roman" w:hAnsi="Times New Roman"/>
          <w:b/>
          <w:color w:val="231F20"/>
          <w:sz w:val="24"/>
        </w:rPr>
        <w:t>Entire Agreement</w:t>
      </w:r>
      <w:r>
        <w:rPr>
          <w:rFonts w:ascii="Times New Roman" w:hAnsi="Times New Roman"/>
          <w:color w:val="231F20"/>
          <w:sz w:val="24"/>
        </w:rPr>
        <w:t>. This Agreement, together with the Exhibit herein and the executed written offer letter or employment agreement between the Company and me, is the final, complete and exclusive agreement between me and the Company with respect to the subject matter of this Agreement and supersedes and merges all prior discussions between us; provided, however, prior to the execution of this Agreement, if the Company and I were parties to any agreement regarding the subject matter hereof, that agreement will be superseded by this Agreement prospectively only. No modification of or amendment to this Agreement will be effective unless in writing and signed by the party to be charged. Any subsequent change or changes in my duties, salary or compensation will not affect the validity or scope of this Agreement.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13.12.</w:t>
      </w:r>
    </w:p>
    <w:p>
      <w:pPr>
        <w:pStyle w:val="TextBody"/>
        <w:bidi w:val="0"/>
        <w:spacing w:before="240" w:after="283"/>
        <w:jc w:val="both"/>
        <w:rPr/>
      </w:pPr>
      <w:r>
        <w:rPr>
          <w:rFonts w:ascii="Times New Roman" w:hAnsi="Times New Roman"/>
          <w:b/>
          <w:color w:val="231F20"/>
          <w:sz w:val="24"/>
        </w:rPr>
        <w:t>Protected Activity Not Prohibited</w:t>
      </w:r>
      <w:r>
        <w:rPr>
          <w:rFonts w:ascii="Times New Roman" w:hAnsi="Times New Roman"/>
          <w:color w:val="231F20"/>
          <w:sz w:val="24"/>
        </w:rPr>
        <w:t xml:space="preserve">. I understand that nothing in this Agreement limits or prohibits me from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b/>
          <w:color w:val="231F20"/>
          <w:sz w:val="24"/>
        </w:rPr>
        <w:t>(“Government Agencies”</w:t>
      </w:r>
      <w:r>
        <w:rPr>
          <w:rFonts w:ascii="Times New Roman" w:hAnsi="Times New Roman"/>
          <w:color w:val="231F20"/>
          <w:sz w:val="24"/>
        </w:rPr>
        <w:t>), including disclosing</w:t>
      </w:r>
      <w:r>
        <w:rPr>
          <w:color w:val="000000"/>
        </w:rPr>
        <w:t xml:space="preserve"> </w:t>
      </w:r>
      <w:r>
        <w:rPr>
          <w:rFonts w:ascii="Times New Roman" w:hAnsi="Times New Roman"/>
          <w:color w:val="231F20"/>
          <w:sz w:val="24"/>
        </w:rPr>
        <w:t xml:space="preserve">documents or other information as permitted by law, without giving notice to, or receiving authorization from, the Company, discussing the terms and conditions of my employment with others to </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9</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the extent expressly permitted by Section 7 of the National Labor Relations Act. Notwithstanding, in making any such disclosures or communications, I agree to take all reasonable precautions to prevent any unauthorized use or disclosure of any information that may constitute Company Confidential Information to any parties other than the Government Agencies. I further understand that I am not permitted to disclose the Company’s attorney-client privileged communications or attorney work product.</w:t>
      </w:r>
    </w:p>
    <w:p>
      <w:pPr>
        <w:pStyle w:val="TextBody"/>
        <w:bidi w:val="0"/>
        <w:spacing w:before="240" w:after="283"/>
        <w:jc w:val="both"/>
        <w:rPr>
          <w:rFonts w:ascii="Times New Roman" w:hAnsi="Times New Roman"/>
          <w:b/>
          <w:color w:val="231F20"/>
          <w:sz w:val="24"/>
        </w:rPr>
      </w:pPr>
      <w:r>
        <w:rPr>
          <w:rFonts w:ascii="Times New Roman" w:hAnsi="Times New Roman"/>
          <w:b/>
          <w:color w:val="231F20"/>
          <w:sz w:val="24"/>
        </w:rPr>
        <w:t>13.13.</w:t>
      </w:r>
    </w:p>
    <w:p>
      <w:pPr>
        <w:pStyle w:val="TextBody"/>
        <w:bidi w:val="0"/>
        <w:spacing w:before="240" w:after="283"/>
        <w:jc w:val="both"/>
        <w:rPr/>
      </w:pPr>
      <w:r>
        <w:rPr>
          <w:rFonts w:ascii="Times New Roman" w:hAnsi="Times New Roman"/>
          <w:b/>
          <w:color w:val="231F20"/>
          <w:sz w:val="24"/>
        </w:rPr>
        <w:t>Prior Engagement</w:t>
      </w:r>
      <w:r>
        <w:rPr>
          <w:rFonts w:ascii="Times New Roman" w:hAnsi="Times New Roman"/>
          <w:color w:val="231F20"/>
          <w:sz w:val="24"/>
        </w:rPr>
        <w:t>. I acknowledge that I have been engaged to provide services by the Company for a period of time prior to the date of this Agreement (the “</w:t>
      </w:r>
      <w:r>
        <w:rPr>
          <w:rFonts w:ascii="Times New Roman" w:hAnsi="Times New Roman"/>
          <w:b/>
          <w:color w:val="231F20"/>
          <w:sz w:val="24"/>
        </w:rPr>
        <w:t>Prior Engagement Period</w:t>
      </w:r>
      <w:r>
        <w:rPr>
          <w:color w:val="231F20"/>
        </w:rPr>
        <w:t>”</w:t>
      </w:r>
      <w:r>
        <w:rPr>
          <w:rFonts w:ascii="Times New Roman" w:hAnsi="Times New Roman"/>
          <w:color w:val="231F20"/>
          <w:sz w:val="24"/>
        </w:rPr>
        <w:t>). Accordingly, I agree that if and to the extent that, during the Prior Engagement Period: (i) I received access to any information from or on behalf of the Company that would have been “Confidential Information” (as defined above) if I received access to such information during the period of my employment with the Company under this Agreement; or (ii) I conceived, created, authored, invented, developed or reduced to practice any item, including any intellectual property rights with respect thereto, that would have been an “Invention” (as defined above) if conceived, created, authored, invented, developed or reduced to practice during the period of my employment with the Company under this Agreement; then any such information shall be deemed “Confidential Information” hereunder and any such item shall be deemed an “Invention” hereunder, and this Agreement shall apply to such information or item as if conceived, created, authored, invented, developed or reduced to practice under this Agreement.</w:t>
      </w:r>
    </w:p>
    <w:p>
      <w:pPr>
        <w:pStyle w:val="TextBody"/>
        <w:bidi w:val="0"/>
        <w:spacing w:before="180" w:after="283"/>
        <w:jc w:val="center"/>
        <w:rPr>
          <w:rFonts w:ascii="Times New Roman" w:hAnsi="Times New Roman"/>
          <w:color w:val="231F20"/>
          <w:sz w:val="24"/>
        </w:rPr>
      </w:pPr>
      <w:r>
        <w:rPr>
          <w:rFonts w:ascii="Times New Roman" w:hAnsi="Times New Roman"/>
          <w:color w:val="231F20"/>
          <w:sz w:val="24"/>
        </w:rPr>
        <w:t>[signatures to follow on next page]</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10</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0" w:after="240"/>
        <w:jc w:val="left"/>
        <w:rPr>
          <w:rFonts w:ascii="Times New Roman" w:hAnsi="Times New Roman"/>
          <w:color w:val="231F20"/>
          <w:sz w:val="24"/>
        </w:rPr>
      </w:pPr>
      <w:r>
        <w:rPr>
          <w:rFonts w:ascii="Times New Roman" w:hAnsi="Times New Roman"/>
          <w:color w:val="231F20"/>
          <w:sz w:val="24"/>
        </w:rPr>
        <w:t>This Agreement will be effective as of my first day of service with the Company.</w:t>
      </w:r>
    </w:p>
    <w:tbl>
      <w:tblPr>
        <w:tblW w:w="10205" w:type="dxa"/>
        <w:jc w:val="left"/>
        <w:tblInd w:w="0" w:type="dxa"/>
        <w:tblLayout w:type="fixed"/>
        <w:tblCellMar>
          <w:top w:w="28" w:type="dxa"/>
          <w:left w:w="28" w:type="dxa"/>
          <w:bottom w:w="28" w:type="dxa"/>
          <w:right w:w="28" w:type="dxa"/>
        </w:tblCellMar>
      </w:tblPr>
      <w:tblGrid>
        <w:gridCol w:w="161"/>
        <w:gridCol w:w="9853"/>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9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EMPLOYEE: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985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231F20"/>
                <w:sz w:val="22"/>
              </w:rPr>
            </w:pPr>
            <w:r>
              <w:rPr>
                <w:rFonts w:ascii="Times New Roman" w:hAnsi="Times New Roman"/>
                <w:b/>
                <w:smallCaps/>
                <w:color w:val="231F20"/>
                <w:sz w:val="22"/>
              </w:rPr>
              <w:t>I have read this agreement carefully and understand its terms. I have completely filled out Exhibit A to this Agreement.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 Kate Rochlin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4"/>
              </w:rPr>
            </w:pPr>
            <w:r>
              <w:rPr>
                <w:rFonts w:ascii="Times New Roman" w:hAnsi="Times New Roman"/>
                <w:color w:val="231F20"/>
                <w:sz w:val="24"/>
              </w:rPr>
              <w:t>(Signature)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4"/>
              </w:rPr>
            </w:pPr>
            <w:r>
              <w:rPr>
                <w:rFonts w:ascii="Times New Roman" w:hAnsi="Times New Roman"/>
                <w:color w:val="231F2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10202"/>
                <w:sz w:val="24"/>
              </w:rPr>
            </w:pPr>
            <w:r>
              <w:rPr>
                <w:rFonts w:ascii="Arial" w:hAnsi="Arial"/>
                <w:color w:val="010202"/>
                <w:sz w:val="24"/>
              </w:rPr>
              <w:t>12/31/2020</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4"/>
              </w:rPr>
            </w:pPr>
            <w:r>
              <w:rPr>
                <w:rFonts w:ascii="Times New Roman" w:hAnsi="Times New Roman"/>
                <w:color w:val="231F20"/>
                <w:sz w:val="24"/>
              </w:rPr>
              <w:t>Date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 w:after="283"/>
        <w:jc w:val="left"/>
        <w:rPr/>
      </w:pPr>
      <w:r>
        <w:rPr/>
        <w:t> </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11</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jc w:val="center"/>
        <w:rPr>
          <w:rFonts w:ascii="Times New Roman" w:hAnsi="Times New Roman"/>
          <w:b/>
          <w:smallCaps/>
          <w:color w:val="231F20"/>
          <w:sz w:val="24"/>
        </w:rPr>
      </w:pPr>
      <w:r>
        <w:rPr>
          <w:rFonts w:ascii="Times New Roman" w:hAnsi="Times New Roman"/>
          <w:b/>
          <w:smallCaps/>
          <w:color w:val="231F20"/>
          <w:sz w:val="24"/>
        </w:rPr>
        <w:t>Exhibit A</w:t>
      </w:r>
    </w:p>
    <w:p>
      <w:pPr>
        <w:pStyle w:val="TextBody"/>
        <w:bidi w:val="0"/>
        <w:spacing w:before="240" w:after="283"/>
        <w:jc w:val="center"/>
        <w:rPr>
          <w:rFonts w:ascii="Times New Roman" w:hAnsi="Times New Roman"/>
          <w:b/>
          <w:smallCaps/>
          <w:color w:val="231F20"/>
          <w:sz w:val="24"/>
        </w:rPr>
      </w:pPr>
      <w:r>
        <w:rPr>
          <w:rFonts w:ascii="Times New Roman" w:hAnsi="Times New Roman"/>
          <w:b/>
          <w:smallCaps/>
          <w:color w:val="231F20"/>
          <w:sz w:val="24"/>
        </w:rPr>
        <w:t>Prior Inventions</w:t>
      </w:r>
    </w:p>
    <w:p>
      <w:pPr>
        <w:pStyle w:val="TextBody"/>
        <w:bidi w:val="0"/>
        <w:spacing w:before="240" w:after="283"/>
        <w:jc w:val="both"/>
        <w:rPr>
          <w:rFonts w:ascii="Times New Roman" w:hAnsi="Times New Roman"/>
          <w:b/>
          <w:color w:val="231F20"/>
          <w:sz w:val="22"/>
        </w:rPr>
      </w:pPr>
      <w:r>
        <w:rPr>
          <w:rFonts w:ascii="Times New Roman" w:hAnsi="Times New Roman"/>
          <w:b/>
          <w:color w:val="231F20"/>
          <w:sz w:val="22"/>
        </w:rPr>
        <w:t>1.</w:t>
      </w:r>
    </w:p>
    <w:p>
      <w:pPr>
        <w:pStyle w:val="TextBody"/>
        <w:bidi w:val="0"/>
        <w:spacing w:before="240" w:after="283"/>
        <w:jc w:val="both"/>
        <w:rPr/>
      </w:pPr>
      <w:r>
        <w:rPr>
          <w:rFonts w:ascii="Times New Roman" w:hAnsi="Times New Roman"/>
          <w:color w:val="231F20"/>
          <w:sz w:val="24"/>
        </w:rPr>
        <w:t xml:space="preserve">Except as listed in Section 2 below, the following is a complete list of all inventions or improvements relevant to the subject matter of my employment by IN8bio, Inc., its subsidiaries, parents, affiliates, successors and assigns (together the </w:t>
      </w:r>
      <w:r>
        <w:rPr>
          <w:color w:val="231F20"/>
        </w:rPr>
        <w:t>“</w:t>
      </w:r>
      <w:r>
        <w:rPr>
          <w:rFonts w:ascii="Times New Roman" w:hAnsi="Times New Roman"/>
          <w:b/>
          <w:color w:val="231F20"/>
          <w:sz w:val="24"/>
        </w:rPr>
        <w:t>Company”</w:t>
      </w:r>
      <w:r>
        <w:rPr>
          <w:rFonts w:ascii="Times New Roman" w:hAnsi="Times New Roman"/>
          <w:color w:val="231F20"/>
          <w:sz w:val="24"/>
        </w:rPr>
        <w:t>) that have been made or conceived or first reduced to practice by me alone or jointly with others prior to my engagement by the Company:</w:t>
      </w:r>
    </w:p>
    <w:p>
      <w:pPr>
        <w:pStyle w:val="TextBody"/>
        <w:bidi w:val="0"/>
        <w:spacing w:before="10" w:after="283"/>
        <w:jc w:val="left"/>
        <w:rPr/>
      </w:pPr>
      <w:r>
        <w:rPr/>
        <w:t> </w:t>
      </w:r>
    </w:p>
    <w:tbl>
      <w:tblPr>
        <w:tblW w:w="8463" w:type="dxa"/>
        <w:jc w:val="left"/>
        <w:tblInd w:w="0" w:type="dxa"/>
        <w:tblLayout w:type="fixed"/>
        <w:tblCellMar>
          <w:top w:w="28" w:type="dxa"/>
          <w:left w:w="28" w:type="dxa"/>
          <w:bottom w:w="28" w:type="dxa"/>
          <w:right w:w="28" w:type="dxa"/>
        </w:tblCellMar>
      </w:tblPr>
      <w:tblGrid>
        <w:gridCol w:w="446"/>
        <w:gridCol w:w="175"/>
        <w:gridCol w:w="431"/>
        <w:gridCol w:w="7411"/>
      </w:tblGrid>
      <w:tr>
        <w:trPr/>
        <w:tc>
          <w:tcPr>
            <w:tcW w:w="4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19075" cy="190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85"/>
                          <a:stretch>
                            <a:fillRect/>
                          </a:stretch>
                        </pic:blipFill>
                        <pic:spPr bwMode="auto">
                          <a:xfrm>
                            <a:off x="0" y="0"/>
                            <a:ext cx="219075" cy="190500"/>
                          </a:xfrm>
                          <a:prstGeom prst="rect">
                            <a:avLst/>
                          </a:prstGeom>
                        </pic:spPr>
                      </pic:pic>
                    </a:graphicData>
                  </a:graphic>
                </wp:inline>
              </w:drawing>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No inventions or improvements.</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ind w:left="0" w:right="0" w:firstLine="29"/>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ind w:left="0" w:right="0" w:firstLine="29"/>
              <w:jc w:val="left"/>
              <w:rPr/>
            </w:pPr>
            <w:r>
              <w:rPr/>
              <w:drawing>
                <wp:inline distT="0" distB="0" distL="0" distR="0">
                  <wp:extent cx="152400" cy="152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86"/>
                          <a:stretch>
                            <a:fillRect/>
                          </a:stretch>
                        </pic:blipFill>
                        <pic:spPr bwMode="auto">
                          <a:xfrm>
                            <a:off x="0" y="0"/>
                            <a:ext cx="152400" cy="152400"/>
                          </a:xfrm>
                          <a:prstGeom prst="rect">
                            <a:avLst/>
                          </a:prstGeom>
                        </pic:spPr>
                      </pic:pic>
                    </a:graphicData>
                  </a:graphic>
                </wp:inline>
              </w:drawing>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See below:</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Ala-Gln for the treatment of chemotherapy and radiation induced side-effects</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Citrate based beverages for the prevention and treatment of kidney stones</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IgE for use in allergy diagnosis, specifically local allergy</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DARPins for use in the diagnosis of IgE mediated disease</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78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19075" cy="190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87"/>
                          <a:stretch>
                            <a:fillRect/>
                          </a:stretch>
                        </pic:blipFill>
                        <pic:spPr bwMode="auto">
                          <a:xfrm>
                            <a:off x="0" y="0"/>
                            <a:ext cx="219075" cy="190500"/>
                          </a:xfrm>
                          <a:prstGeom prst="rect">
                            <a:avLst/>
                          </a:prstGeom>
                        </pic:spPr>
                      </pic:pic>
                    </a:graphicData>
                  </a:graphic>
                </wp:inline>
              </w:drawing>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78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Additional sheets attached.</w:t>
            </w:r>
          </w:p>
        </w:tc>
      </w:tr>
    </w:tbl>
    <w:p>
      <w:pPr>
        <w:pStyle w:val="TextBody"/>
        <w:bidi w:val="0"/>
        <w:jc w:val="left"/>
        <w:rPr/>
      </w:pPr>
      <w:r>
        <w:rPr/>
        <w:t> </w:t>
      </w:r>
    </w:p>
    <w:p>
      <w:pPr>
        <w:pStyle w:val="TextBody"/>
        <w:bidi w:val="0"/>
        <w:spacing w:before="0" w:after="0"/>
        <w:jc w:val="both"/>
        <w:rPr>
          <w:rFonts w:ascii="Times New Roman" w:hAnsi="Times New Roman"/>
          <w:b/>
          <w:color w:val="231F20"/>
          <w:sz w:val="22"/>
        </w:rPr>
      </w:pPr>
      <w:r>
        <w:rPr>
          <w:rFonts w:ascii="Times New Roman" w:hAnsi="Times New Roman"/>
          <w:b/>
          <w:color w:val="231F20"/>
          <w:sz w:val="22"/>
        </w:rPr>
        <w:t>2.</w:t>
      </w:r>
    </w:p>
    <w:p>
      <w:pPr>
        <w:pStyle w:val="TextBody"/>
        <w:bidi w:val="0"/>
        <w:jc w:val="both"/>
        <w:rPr>
          <w:rFonts w:ascii="Times New Roman" w:hAnsi="Times New Roman"/>
          <w:color w:val="231F20"/>
          <w:sz w:val="24"/>
        </w:rPr>
      </w:pPr>
      <w:r>
        <w:rPr>
          <w:rFonts w:ascii="Times New Roman" w:hAnsi="Times New Roman"/>
          <w:color w:val="231F20"/>
          <w:sz w:val="24"/>
        </w:rPr>
        <w:t>Due to a prior confidentiality agreement, I cannot complete the disclosure under Section 1 above with respect to inventions or improvements generally listed below, the intellectual property rights and duty of confidentiality with respect to which I owe to the following party(ies):</w:t>
      </w:r>
    </w:p>
    <w:p>
      <w:pPr>
        <w:pStyle w:val="TextBody"/>
        <w:bidi w:val="0"/>
        <w:spacing w:before="4" w:after="283"/>
        <w:jc w:val="left"/>
        <w:rPr/>
      </w:pPr>
      <w:r>
        <w:rPr/>
        <w:t> </w:t>
      </w:r>
    </w:p>
    <w:tbl>
      <w:tblPr>
        <w:tblW w:w="7203" w:type="dxa"/>
        <w:jc w:val="left"/>
        <w:tblInd w:w="0" w:type="dxa"/>
        <w:tblLayout w:type="fixed"/>
        <w:tblCellMar>
          <w:top w:w="28" w:type="dxa"/>
          <w:left w:w="28" w:type="dxa"/>
          <w:bottom w:w="28" w:type="dxa"/>
          <w:right w:w="28" w:type="dxa"/>
        </w:tblCellMar>
      </w:tblPr>
      <w:tblGrid>
        <w:gridCol w:w="1598"/>
        <w:gridCol w:w="2806"/>
        <w:gridCol w:w="146"/>
        <w:gridCol w:w="1081"/>
        <w:gridCol w:w="146"/>
        <w:gridCol w:w="1426"/>
      </w:tblGrid>
      <w:tr>
        <w:trPr/>
        <w:tc>
          <w:tcPr>
            <w:tcW w:w="1598"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598"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231F20"/>
                <w:sz w:val="24"/>
              </w:rPr>
            </w:pPr>
            <w:r>
              <w:rPr>
                <w:rFonts w:ascii="Times New Roman" w:hAnsi="Times New Roman"/>
                <w:b/>
                <w:color w:val="231F20"/>
                <w:sz w:val="24"/>
              </w:rPr>
              <w:t>Invention or Improvement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231F20"/>
                <w:sz w:val="24"/>
              </w:rPr>
            </w:pPr>
            <w:r>
              <w:rPr>
                <w:rFonts w:ascii="Times New Roman" w:hAnsi="Times New Roman"/>
                <w:b/>
                <w:color w:val="231F20"/>
                <w:sz w:val="24"/>
              </w:rPr>
              <w:t>Party(ies)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231F20"/>
                <w:sz w:val="24"/>
              </w:rPr>
            </w:pPr>
            <w:r>
              <w:rPr>
                <w:rFonts w:ascii="Times New Roman" w:hAnsi="Times New Roman"/>
                <w:b/>
                <w:color w:val="231F20"/>
                <w:sz w:val="24"/>
              </w:rPr>
              <w:t>Relationship</w:t>
            </w:r>
          </w:p>
        </w:tc>
      </w:tr>
      <w:tr>
        <w:trPr/>
        <w:tc>
          <w:tcPr>
            <w:tcW w:w="1598"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ind w:left="0" w:right="0" w:firstLine="1152"/>
              <w:jc w:val="left"/>
              <w:rPr/>
            </w:pPr>
            <w:r>
              <w:rPr/>
              <w:t> </w:t>
            </w:r>
          </w:p>
        </w:tc>
      </w:tr>
      <w:tr>
        <w:trPr/>
        <w:tc>
          <w:tcPr>
            <w:tcW w:w="1598" w:type="dxa"/>
            <w:tcBorders/>
            <w:tcMar>
              <w:top w:w="0" w:type="dxa"/>
              <w:left w:w="0" w:type="dxa"/>
              <w:bottom w:w="0" w:type="dxa"/>
              <w:right w:w="0" w:type="dxa"/>
            </w:tcMar>
            <w:vAlign w:val="center"/>
          </w:tcPr>
          <w:p>
            <w:pPr>
              <w:pStyle w:val="TableContents"/>
              <w:bidi w:val="0"/>
              <w:spacing w:before="0" w:after="283"/>
              <w:ind w:left="0" w:right="0" w:firstLine="1152"/>
              <w:jc w:val="center"/>
              <w:rPr>
                <w:rFonts w:ascii="Times New Roman" w:hAnsi="Times New Roman"/>
                <w:b/>
                <w:color w:val="231F20"/>
                <w:sz w:val="24"/>
              </w:rPr>
            </w:pPr>
            <w:r>
              <w:rPr>
                <w:rFonts w:ascii="Times New Roman" w:hAnsi="Times New Roman"/>
                <w:b/>
                <w:color w:val="231F20"/>
                <w:sz w:val="24"/>
              </w:rPr>
              <w:t>1.</w:t>
            </w:r>
          </w:p>
        </w:tc>
        <w:tc>
          <w:tcPr>
            <w:tcW w:w="28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ind w:left="0" w:right="0" w:firstLine="1152"/>
              <w:jc w:val="left"/>
              <w:rPr/>
            </w:pPr>
            <w:r>
              <w:rPr/>
              <w:t> </w:t>
            </w:r>
          </w:p>
        </w:tc>
      </w:tr>
      <w:tr>
        <w:trPr/>
        <w:tc>
          <w:tcPr>
            <w:tcW w:w="1598" w:type="dxa"/>
            <w:tcBorders/>
            <w:tcMar>
              <w:top w:w="0" w:type="dxa"/>
              <w:left w:w="0" w:type="dxa"/>
              <w:bottom w:w="0" w:type="dxa"/>
              <w:right w:w="0" w:type="dxa"/>
            </w:tcMar>
            <w:vAlign w:val="center"/>
          </w:tcPr>
          <w:p>
            <w:pPr>
              <w:pStyle w:val="TableContents"/>
              <w:bidi w:val="0"/>
              <w:spacing w:before="0" w:after="283"/>
              <w:ind w:left="0" w:right="0" w:firstLine="1152"/>
              <w:jc w:val="center"/>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ind w:left="0" w:right="0" w:firstLine="1152"/>
              <w:jc w:val="left"/>
              <w:rPr/>
            </w:pPr>
            <w:r>
              <w:rPr/>
              <w:t> </w:t>
            </w:r>
          </w:p>
        </w:tc>
      </w:tr>
      <w:tr>
        <w:trPr/>
        <w:tc>
          <w:tcPr>
            <w:tcW w:w="1598" w:type="dxa"/>
            <w:tcBorders/>
            <w:tcMar>
              <w:top w:w="0" w:type="dxa"/>
              <w:left w:w="0" w:type="dxa"/>
              <w:bottom w:w="0" w:type="dxa"/>
              <w:right w:w="0" w:type="dxa"/>
            </w:tcMar>
            <w:vAlign w:val="center"/>
          </w:tcPr>
          <w:p>
            <w:pPr>
              <w:pStyle w:val="TableContents"/>
              <w:bidi w:val="0"/>
              <w:spacing w:before="0" w:after="283"/>
              <w:ind w:left="0" w:right="0" w:firstLine="1152"/>
              <w:jc w:val="center"/>
              <w:rPr>
                <w:rFonts w:ascii="Times New Roman" w:hAnsi="Times New Roman"/>
                <w:b/>
                <w:color w:val="231F20"/>
                <w:sz w:val="24"/>
              </w:rPr>
            </w:pPr>
            <w:r>
              <w:rPr>
                <w:rFonts w:ascii="Times New Roman" w:hAnsi="Times New Roman"/>
                <w:b/>
                <w:color w:val="231F20"/>
                <w:sz w:val="24"/>
              </w:rPr>
              <w:t>2.</w:t>
            </w:r>
          </w:p>
        </w:tc>
        <w:tc>
          <w:tcPr>
            <w:tcW w:w="28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ind w:left="0" w:right="0" w:firstLine="1152"/>
              <w:jc w:val="left"/>
              <w:rPr/>
            </w:pPr>
            <w:r>
              <w:rPr/>
              <w:t> </w:t>
            </w:r>
          </w:p>
        </w:tc>
      </w:tr>
      <w:tr>
        <w:trPr/>
        <w:tc>
          <w:tcPr>
            <w:tcW w:w="1598" w:type="dxa"/>
            <w:tcBorders/>
            <w:tcMar>
              <w:top w:w="0" w:type="dxa"/>
              <w:left w:w="0" w:type="dxa"/>
              <w:bottom w:w="0" w:type="dxa"/>
              <w:right w:w="0" w:type="dxa"/>
            </w:tcMar>
            <w:vAlign w:val="center"/>
          </w:tcPr>
          <w:p>
            <w:pPr>
              <w:pStyle w:val="TableContents"/>
              <w:bidi w:val="0"/>
              <w:spacing w:before="0" w:after="283"/>
              <w:ind w:left="0" w:right="0" w:firstLine="1152"/>
              <w:jc w:val="center"/>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ind w:left="0" w:right="0" w:firstLine="1152"/>
              <w:jc w:val="left"/>
              <w:rPr/>
            </w:pPr>
            <w:r>
              <w:rPr/>
              <w:t> </w:t>
            </w:r>
          </w:p>
        </w:tc>
      </w:tr>
      <w:tr>
        <w:trPr/>
        <w:tc>
          <w:tcPr>
            <w:tcW w:w="1598" w:type="dxa"/>
            <w:tcBorders/>
            <w:tcMar>
              <w:top w:w="0" w:type="dxa"/>
              <w:left w:w="0" w:type="dxa"/>
              <w:bottom w:w="0" w:type="dxa"/>
              <w:right w:w="0" w:type="dxa"/>
            </w:tcMar>
            <w:vAlign w:val="center"/>
          </w:tcPr>
          <w:p>
            <w:pPr>
              <w:pStyle w:val="TableContents"/>
              <w:bidi w:val="0"/>
              <w:spacing w:before="0" w:after="283"/>
              <w:ind w:left="0" w:right="0" w:firstLine="1152"/>
              <w:jc w:val="center"/>
              <w:rPr>
                <w:rFonts w:ascii="Times New Roman" w:hAnsi="Times New Roman"/>
                <w:b/>
                <w:color w:val="231F20"/>
                <w:sz w:val="24"/>
              </w:rPr>
            </w:pPr>
            <w:r>
              <w:rPr>
                <w:rFonts w:ascii="Times New Roman" w:hAnsi="Times New Roman"/>
                <w:b/>
                <w:color w:val="231F20"/>
                <w:sz w:val="24"/>
              </w:rPr>
              <w:t>3.</w:t>
            </w:r>
          </w:p>
        </w:tc>
        <w:tc>
          <w:tcPr>
            <w:tcW w:w="28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ind w:left="0" w:right="0" w:firstLine="1152"/>
              <w:jc w:val="left"/>
              <w:rPr/>
            </w:pPr>
            <w:r>
              <w:rPr/>
              <w:t> </w:t>
            </w:r>
          </w:p>
        </w:tc>
      </w:tr>
      <w:tr>
        <w:trPr/>
        <w:tc>
          <w:tcPr>
            <w:tcW w:w="1598" w:type="dxa"/>
            <w:tcBorders/>
            <w:tcMar>
              <w:top w:w="0" w:type="dxa"/>
              <w:left w:w="0" w:type="dxa"/>
              <w:bottom w:w="0" w:type="dxa"/>
              <w:right w:w="0" w:type="dxa"/>
            </w:tcMar>
            <w:vAlign w:val="center"/>
          </w:tcPr>
          <w:p>
            <w:pPr>
              <w:pStyle w:val="TableContents"/>
              <w:bidi w:val="0"/>
              <w:spacing w:before="0" w:after="283"/>
              <w:ind w:left="0" w:right="0" w:firstLine="1152"/>
              <w:jc w:val="center"/>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ind w:left="0" w:right="0" w:firstLine="1152"/>
              <w:jc w:val="left"/>
              <w:rPr/>
            </w:pPr>
            <w:r>
              <w:rPr/>
              <w:t> </w:t>
            </w:r>
          </w:p>
        </w:tc>
      </w:tr>
      <w:tr>
        <w:trPr/>
        <w:tc>
          <w:tcPr>
            <w:tcW w:w="1598" w:type="dxa"/>
            <w:tcBorders/>
            <w:tcMar>
              <w:top w:w="0" w:type="dxa"/>
              <w:left w:w="0" w:type="dxa"/>
              <w:bottom w:w="0" w:type="dxa"/>
              <w:right w:w="0" w:type="dxa"/>
            </w:tcMar>
            <w:vAlign w:val="center"/>
          </w:tcPr>
          <w:p>
            <w:pPr>
              <w:pStyle w:val="TableContents"/>
              <w:bidi w:val="0"/>
              <w:spacing w:before="0" w:after="283"/>
              <w:ind w:left="0" w:right="0" w:firstLine="1152"/>
              <w:jc w:val="center"/>
              <w:rPr/>
            </w:pPr>
            <w:r>
              <w:rPr/>
              <w:drawing>
                <wp:inline distT="0" distB="0" distL="0" distR="0">
                  <wp:extent cx="219075" cy="190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88"/>
                          <a:stretch>
                            <a:fillRect/>
                          </a:stretch>
                        </pic:blipFill>
                        <pic:spPr bwMode="auto">
                          <a:xfrm>
                            <a:off x="0" y="0"/>
                            <a:ext cx="219075" cy="190500"/>
                          </a:xfrm>
                          <a:prstGeom prst="rect">
                            <a:avLst/>
                          </a:prstGeom>
                        </pic:spPr>
                      </pic:pic>
                    </a:graphicData>
                  </a:graphic>
                </wp:inline>
              </w:drawing>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Additional sheets attached.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 w:after="283"/>
        <w:jc w:val="left"/>
        <w:rPr/>
      </w:pPr>
      <w:r>
        <w:rPr/>
        <w:t> </w:t>
      </w:r>
    </w:p>
    <w:tbl>
      <w:tblPr>
        <w:tblW w:w="7653" w:type="dxa"/>
        <w:jc w:val="left"/>
        <w:tblInd w:w="0" w:type="dxa"/>
        <w:tblLayout w:type="fixed"/>
        <w:tblCellMar>
          <w:top w:w="28" w:type="dxa"/>
          <w:left w:w="28" w:type="dxa"/>
          <w:bottom w:w="28" w:type="dxa"/>
          <w:right w:w="28" w:type="dxa"/>
        </w:tblCellMar>
      </w:tblPr>
      <w:tblGrid>
        <w:gridCol w:w="161"/>
        <w:gridCol w:w="1935"/>
        <w:gridCol w:w="1935"/>
        <w:gridCol w:w="1563"/>
        <w:gridCol w:w="2059"/>
      </w:tblGrid>
      <w:tr>
        <w:trPr/>
        <w:tc>
          <w:tcPr>
            <w:tcW w:w="161"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92"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24"/>
              </w:rPr>
            </w:pPr>
            <w:r>
              <w:rPr>
                <w:rFonts w:ascii="Times New Roman" w:hAnsi="Times New Roman"/>
                <w:b/>
                <w:color w:val="231F20"/>
                <w:sz w:val="24"/>
              </w:rPr>
              <w:t>Disclosures of company advisory roles or board positions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0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492"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 xml:space="preserve">Immunovent/ Intrommune/Allovate - Scientific and Strategic Advisor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MedBiome – Business Advisor</w:t>
            </w:r>
          </w:p>
        </w:tc>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0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Y2X Life Sciences – Scientific Advisor</w:t>
            </w:r>
          </w:p>
        </w:tc>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0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The Solution Lab – Board of Directors</w:t>
            </w:r>
          </w:p>
        </w:tc>
        <w:tc>
          <w:tcPr>
            <w:tcW w:w="1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05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12</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jc w:val="left"/>
        <w:rPr/>
      </w:pPr>
      <w:r>
        <w:rPr/>
        <w:t> </w:t>
      </w:r>
    </w:p>
    <w:tbl>
      <w:tblPr>
        <w:tblW w:w="4847" w:type="dxa"/>
        <w:jc w:val="left"/>
        <w:tblInd w:w="0" w:type="dxa"/>
        <w:tblLayout w:type="fixed"/>
        <w:tblCellMar>
          <w:top w:w="28" w:type="dxa"/>
          <w:left w:w="28" w:type="dxa"/>
          <w:bottom w:w="28" w:type="dxa"/>
          <w:right w:w="28" w:type="dxa"/>
        </w:tblCellMar>
      </w:tblPr>
      <w:tblGrid>
        <w:gridCol w:w="161"/>
        <w:gridCol w:w="616"/>
        <w:gridCol w:w="146"/>
        <w:gridCol w:w="218"/>
        <w:gridCol w:w="3706"/>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pPr>
            <w:r>
              <w:rPr/>
              <w:t> </w:t>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rFonts w:ascii="Times New Roman" w:hAnsi="Times New Roman"/>
                <w:color w:val="231F20"/>
                <w:sz w:val="24"/>
              </w:rPr>
            </w:pPr>
            <w:r>
              <w:rPr>
                <w:rFonts w:ascii="Times New Roman" w:hAnsi="Times New Roman"/>
                <w:color w:val="231F20"/>
                <w:sz w:val="24"/>
              </w:rPr>
              <w:t>/s/ Kate Rochlin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of Employee (typed or printed)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 w:after="283"/>
        <w:jc w:val="left"/>
        <w:rPr/>
      </w:pPr>
      <w:r>
        <w:rPr/>
        <w:t> </w:t>
      </w:r>
    </w:p>
    <w:p>
      <w:pPr>
        <w:pStyle w:val="TextBody"/>
        <w:bidi w:val="0"/>
        <w:jc w:val="left"/>
        <w:rPr/>
      </w:pPr>
      <w:r>
        <w:rPr/>
        <w:t> </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13</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jc w:val="center"/>
        <w:rPr/>
      </w:pPr>
      <w:r>
        <w:rPr/>
        <w:drawing>
          <wp:inline distT="0" distB="0" distL="0" distR="0">
            <wp:extent cx="1762125" cy="7334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89"/>
                    <a:stretch>
                      <a:fillRect/>
                    </a:stretch>
                  </pic:blipFill>
                  <pic:spPr bwMode="auto">
                    <a:xfrm>
                      <a:off x="0" y="0"/>
                      <a:ext cx="1762125" cy="7334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231F20"/>
          <w:sz w:val="24"/>
        </w:rPr>
      </w:pPr>
      <w:r>
        <w:rPr>
          <w:rFonts w:ascii="Times New Roman" w:hAnsi="Times New Roman"/>
          <w:color w:val="231F20"/>
          <w:sz w:val="24"/>
        </w:rPr>
        <w:t>December 21, 2020</w:t>
      </w:r>
    </w:p>
    <w:p>
      <w:pPr>
        <w:pStyle w:val="TextBody"/>
        <w:bidi w:val="0"/>
        <w:jc w:val="left"/>
        <w:rPr/>
      </w:pPr>
      <w:r>
        <w:rPr/>
        <w:t> </w:t>
      </w:r>
    </w:p>
    <w:p>
      <w:pPr>
        <w:pStyle w:val="TextBody"/>
        <w:bidi w:val="0"/>
        <w:jc w:val="left"/>
        <w:rPr>
          <w:rFonts w:ascii="Times New Roman" w:hAnsi="Times New Roman"/>
          <w:color w:val="231F20"/>
          <w:sz w:val="24"/>
        </w:rPr>
      </w:pPr>
      <w:r>
        <w:rPr>
          <w:rFonts w:ascii="Times New Roman" w:hAnsi="Times New Roman"/>
          <w:color w:val="231F20"/>
          <w:sz w:val="24"/>
        </w:rPr>
        <w:t>Kate M. Rochlin, PhD</w:t>
      </w:r>
    </w:p>
    <w:p>
      <w:pPr>
        <w:pStyle w:val="TextBody"/>
        <w:bidi w:val="0"/>
        <w:jc w:val="left"/>
        <w:rPr>
          <w:rFonts w:ascii="Times New Roman" w:hAnsi="Times New Roman"/>
          <w:sz w:val="20"/>
        </w:rPr>
      </w:pPr>
      <w:r>
        <w:rPr>
          <w:rFonts w:ascii="Times New Roman" w:hAnsi="Times New Roman"/>
          <w:color w:val="231F20"/>
          <w:sz w:val="24"/>
        </w:rPr>
        <w:t>414 W. 54</w:t>
      </w:r>
      <w:r>
        <w:rPr>
          <w:rFonts w:ascii="Times New Roman" w:hAnsi="Times New Roman"/>
          <w:color w:val="231F20"/>
          <w:sz w:val="16"/>
        </w:rPr>
        <w:t>th</w:t>
      </w:r>
      <w:r>
        <w:rPr>
          <w:rFonts w:ascii="Times New Roman" w:hAnsi="Times New Roman"/>
          <w:color w:val="231F20"/>
          <w:sz w:val="20"/>
        </w:rPr>
        <w:t xml:space="preserve"> </w:t>
      </w:r>
      <w:r>
        <w:rPr>
          <w:rFonts w:ascii="Times New Roman" w:hAnsi="Times New Roman"/>
          <w:color w:val="231F20"/>
          <w:sz w:val="24"/>
        </w:rPr>
        <w:t>Street, Apt. PhD</w:t>
      </w:r>
      <w:r>
        <w:rPr>
          <w:rFonts w:ascii="Times New Roman" w:hAnsi="Times New Roman"/>
          <w:color w:val="231F20"/>
          <w:sz w:val="20"/>
        </w:rPr>
        <w:t xml:space="preserve"> </w:t>
      </w:r>
    </w:p>
    <w:p>
      <w:pPr>
        <w:pStyle w:val="TextBody"/>
        <w:bidi w:val="0"/>
        <w:jc w:val="left"/>
        <w:rPr>
          <w:rFonts w:ascii="Times New Roman" w:hAnsi="Times New Roman"/>
          <w:color w:val="231F20"/>
          <w:sz w:val="24"/>
        </w:rPr>
      </w:pPr>
      <w:r>
        <w:rPr>
          <w:rFonts w:ascii="Times New Roman" w:hAnsi="Times New Roman"/>
          <w:color w:val="231F20"/>
          <w:sz w:val="24"/>
        </w:rPr>
        <w:t>New York, NY 10019</w:t>
      </w:r>
    </w:p>
    <w:p>
      <w:pPr>
        <w:pStyle w:val="TextBody"/>
        <w:bidi w:val="0"/>
        <w:jc w:val="left"/>
        <w:rPr>
          <w:rFonts w:ascii="Times New Roman" w:hAnsi="Times New Roman"/>
          <w:color w:val="231F20"/>
          <w:sz w:val="24"/>
        </w:rPr>
      </w:pPr>
      <w:r>
        <w:rPr>
          <w:rFonts w:ascii="Times New Roman" w:hAnsi="Times New Roman"/>
          <w:color w:val="231F20"/>
          <w:sz w:val="24"/>
        </w:rPr>
        <w:t>kate.rochlin1000@gmail.com</w:t>
      </w:r>
    </w:p>
    <w:p>
      <w:pPr>
        <w:pStyle w:val="TextBody"/>
        <w:bidi w:val="0"/>
        <w:jc w:val="left"/>
        <w:rPr/>
      </w:pPr>
      <w:r>
        <w:rPr/>
        <w:t> </w:t>
      </w:r>
    </w:p>
    <w:p>
      <w:pPr>
        <w:pStyle w:val="TextBody"/>
        <w:bidi w:val="0"/>
        <w:jc w:val="left"/>
        <w:rPr>
          <w:rFonts w:ascii="Times New Roman" w:hAnsi="Times New Roman"/>
          <w:color w:val="231F20"/>
          <w:sz w:val="24"/>
        </w:rPr>
      </w:pPr>
      <w:r>
        <w:rPr>
          <w:rFonts w:ascii="Times New Roman" w:hAnsi="Times New Roman"/>
          <w:color w:val="231F20"/>
          <w:sz w:val="24"/>
        </w:rPr>
        <w:t>Dear Kate:</w:t>
      </w:r>
    </w:p>
    <w:p>
      <w:pPr>
        <w:pStyle w:val="TextBody"/>
        <w:bidi w:val="0"/>
        <w:spacing w:before="240" w:after="283"/>
        <w:jc w:val="both"/>
        <w:rPr>
          <w:rFonts w:ascii="Times New Roman" w:hAnsi="Times New Roman"/>
          <w:sz w:val="20"/>
        </w:rPr>
      </w:pPr>
      <w:r>
        <w:rPr>
          <w:rFonts w:ascii="Times New Roman" w:hAnsi="Times New Roman"/>
          <w:color w:val="231F20"/>
          <w:sz w:val="24"/>
        </w:rPr>
        <w:t>This Employment Terms Letter confirms the terms of your employment with IN8Bio, Inc., its subsidiaries, parents, affiliates, predecessors, successors and assigns (together, the “</w:t>
      </w:r>
      <w:r>
        <w:rPr>
          <w:rFonts w:ascii="Times New Roman" w:hAnsi="Times New Roman"/>
          <w:b/>
          <w:i/>
          <w:color w:val="231F20"/>
          <w:sz w:val="24"/>
        </w:rPr>
        <w:t>Company</w:t>
      </w:r>
      <w:r>
        <w:rPr>
          <w:rFonts w:ascii="Times New Roman" w:hAnsi="Times New Roman"/>
          <w:color w:val="231F20"/>
          <w:sz w:val="20"/>
        </w:rPr>
        <w:t>”</w:t>
      </w:r>
      <w:r>
        <w:rPr>
          <w:rFonts w:ascii="Times New Roman" w:hAnsi="Times New Roman"/>
          <w:color w:val="231F20"/>
          <w:sz w:val="24"/>
        </w:rPr>
        <w:t>) and supersedes the offer letter you signed on August 19, 2020 (the “</w:t>
      </w:r>
      <w:r>
        <w:rPr>
          <w:rFonts w:ascii="Times New Roman" w:hAnsi="Times New Roman"/>
          <w:b/>
          <w:i/>
          <w:color w:val="231F20"/>
          <w:sz w:val="24"/>
        </w:rPr>
        <w:t>Offer Letter</w:t>
      </w:r>
      <w:r>
        <w:rPr>
          <w:rFonts w:ascii="Times New Roman" w:hAnsi="Times New Roman"/>
          <w:color w:val="231F20"/>
          <w:sz w:val="20"/>
        </w:rPr>
        <w:t>”</w:t>
      </w:r>
      <w:r>
        <w:rPr>
          <w:rFonts w:ascii="Times New Roman" w:hAnsi="Times New Roman"/>
          <w:color w:val="231F20"/>
          <w:sz w:val="24"/>
        </w:rPr>
        <w:t>).</w:t>
      </w:r>
    </w:p>
    <w:p>
      <w:pPr>
        <w:pStyle w:val="TextBody"/>
        <w:bidi w:val="0"/>
        <w:spacing w:before="240" w:after="283"/>
        <w:jc w:val="left"/>
        <w:rPr>
          <w:rFonts w:ascii="Times New Roman" w:hAnsi="Times New Roman"/>
          <w:color w:val="231F20"/>
          <w:sz w:val="23"/>
        </w:rPr>
      </w:pPr>
      <w:r>
        <w:rPr>
          <w:rFonts w:ascii="Times New Roman" w:hAnsi="Times New Roman"/>
          <w:color w:val="231F20"/>
          <w:sz w:val="23"/>
        </w:rPr>
        <w:t>I.</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POSITION</w:t>
      </w:r>
    </w:p>
    <w:p>
      <w:pPr>
        <w:pStyle w:val="TextBody"/>
        <w:bidi w:val="0"/>
        <w:spacing w:before="240" w:after="283"/>
        <w:jc w:val="both"/>
        <w:rPr>
          <w:rFonts w:ascii="Times New Roman" w:hAnsi="Times New Roman"/>
          <w:sz w:val="20"/>
        </w:rPr>
      </w:pPr>
      <w:r>
        <w:rPr>
          <w:rFonts w:ascii="Times New Roman" w:hAnsi="Times New Roman"/>
          <w:color w:val="231F20"/>
          <w:sz w:val="24"/>
        </w:rPr>
        <w:t xml:space="preserve">You will serve as Vice President, Operations and Innovation, reporting to the Company’s Chief Executive Officer. Your duties continue to be those duties customarily given to persons of such position for companies of similar nature to the Company and such other duties that may be agreed upon by the Company and yourself. You will work primarily from the Company’s offices located in New York, New York; </w:t>
      </w:r>
      <w:r>
        <w:rPr>
          <w:rFonts w:ascii="Times New Roman" w:hAnsi="Times New Roman"/>
          <w:i/>
          <w:color w:val="231F20"/>
          <w:sz w:val="24"/>
        </w:rPr>
        <w:t xml:space="preserve">provided </w:t>
      </w:r>
      <w:r>
        <w:rPr>
          <w:rFonts w:ascii="Times New Roman" w:hAnsi="Times New Roman"/>
          <w:color w:val="231F20"/>
          <w:sz w:val="24"/>
        </w:rPr>
        <w:t>that the Company reserves the right to require periodic business travel. Of course, the Company may change your title, position, reporting line and duties from time to time in its sole discretion. As you know, your employment commenced on August 24, 2020.</w:t>
      </w:r>
    </w:p>
    <w:p>
      <w:pPr>
        <w:pStyle w:val="TextBody"/>
        <w:bidi w:val="0"/>
        <w:spacing w:before="240" w:after="283"/>
        <w:jc w:val="left"/>
        <w:rPr>
          <w:rFonts w:ascii="Times New Roman" w:hAnsi="Times New Roman"/>
          <w:color w:val="231F20"/>
          <w:sz w:val="23"/>
        </w:rPr>
      </w:pPr>
      <w:r>
        <w:rPr>
          <w:rFonts w:ascii="Times New Roman" w:hAnsi="Times New Roman"/>
          <w:color w:val="231F20"/>
          <w:sz w:val="23"/>
        </w:rPr>
        <w:t>II.</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COMPENSATION</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A.</w:t>
      </w:r>
    </w:p>
    <w:p>
      <w:pPr>
        <w:pStyle w:val="TextBody"/>
        <w:bidi w:val="0"/>
        <w:spacing w:before="240" w:after="283"/>
        <w:jc w:val="both"/>
        <w:rPr/>
      </w:pPr>
      <w:r>
        <w:rPr>
          <w:rFonts w:ascii="Times New Roman" w:hAnsi="Times New Roman"/>
          <w:color w:val="231F20"/>
          <w:sz w:val="24"/>
        </w:rPr>
        <w:t>You will receive a salary at the annualized rate of $200,000, less all applicable withholdings and payable in accordance with current payroll practices in effect (the “</w:t>
      </w:r>
      <w:r>
        <w:rPr>
          <w:rFonts w:ascii="Times New Roman" w:hAnsi="Times New Roman"/>
          <w:b/>
          <w:i/>
          <w:color w:val="231F20"/>
          <w:sz w:val="24"/>
        </w:rPr>
        <w:t>Base Salary</w:t>
      </w:r>
      <w:r>
        <w:rPr>
          <w:color w:val="231F20"/>
        </w:rPr>
        <w:t>”</w:t>
      </w:r>
      <w:r>
        <w:rPr>
          <w:rFonts w:ascii="Times New Roman" w:hAnsi="Times New Roman"/>
          <w:color w:val="231F20"/>
          <w:sz w:val="24"/>
        </w:rPr>
        <w:t>) effective December 1, 2020. The Company will increase the Base Salary to $250,000, following the pricing of an initial public offering of the Company’s common stock and listing thereof on the Nasdaq Stock Market or New York Stock Exchange (or their constituent exchanges) (such event referred to as the “</w:t>
      </w:r>
      <w:r>
        <w:rPr>
          <w:rFonts w:ascii="Times New Roman" w:hAnsi="Times New Roman"/>
          <w:b/>
          <w:i/>
          <w:color w:val="231F20"/>
          <w:sz w:val="24"/>
        </w:rPr>
        <w:t>IPO</w:t>
      </w:r>
      <w:r>
        <w:rPr>
          <w:color w:val="231F20"/>
        </w:rPr>
        <w:t>”</w:t>
      </w:r>
      <w:r>
        <w:rPr>
          <w:rFonts w:ascii="Times New Roman" w:hAnsi="Times New Roman"/>
          <w:color w:val="231F20"/>
          <w:sz w:val="24"/>
        </w:rPr>
        <w:t>). The Base Salary shall be prorated for any partial year of employment on the basis of a 365-day year. The Base Salary may be adjusted from time to time in the Company’s discretion.</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B.</w:t>
      </w:r>
    </w:p>
    <w:p>
      <w:pPr>
        <w:pStyle w:val="TextBody"/>
        <w:bidi w:val="0"/>
        <w:spacing w:before="240" w:after="283"/>
        <w:jc w:val="both"/>
        <w:rPr/>
      </w:pPr>
      <w:r>
        <w:rPr>
          <w:rFonts w:ascii="Times New Roman" w:hAnsi="Times New Roman"/>
          <w:color w:val="231F20"/>
          <w:sz w:val="24"/>
        </w:rPr>
        <w:t>You will also continue to be eligible to earn an annual discretionary cash bonus with a target amount equal to 25% of your base salary (the “</w:t>
      </w:r>
      <w:r>
        <w:rPr>
          <w:rFonts w:ascii="Times New Roman" w:hAnsi="Times New Roman"/>
          <w:b/>
          <w:i/>
          <w:color w:val="231F20"/>
          <w:sz w:val="24"/>
        </w:rPr>
        <w:t>Annual Bonus</w:t>
      </w:r>
      <w:r>
        <w:rPr>
          <w:color w:val="231F20"/>
        </w:rPr>
        <w:t>”</w:t>
      </w:r>
      <w:r>
        <w:rPr>
          <w:rFonts w:ascii="Times New Roman" w:hAnsi="Times New Roman"/>
          <w:color w:val="231F20"/>
          <w:sz w:val="24"/>
        </w:rPr>
        <w:t>). In addition, effective as of the date of the IPO, your Annual Bonus eligibility shall increase to 30% of your Base Salary. The amount of this bonus will be based, in part, on your performance and the annual performance of the Company during the calendar year. Any equity and/or option-based compensation will be subject to time-based and/or milestone-based vesting in addition to other terms and conditions below. The Company will pay you this bonus, if any, by no later than March 15</w:t>
      </w:r>
      <w:r>
        <w:rPr>
          <w:rFonts w:ascii="Times New Roman" w:hAnsi="Times New Roman"/>
          <w:color w:val="231F20"/>
          <w:sz w:val="16"/>
        </w:rPr>
        <w:t>th</w:t>
      </w:r>
      <w:r>
        <w:rPr>
          <w:color w:val="231F20"/>
        </w:rPr>
        <w:t xml:space="preserve"> </w:t>
      </w:r>
      <w:r>
        <w:rPr>
          <w:rFonts w:ascii="Times New Roman" w:hAnsi="Times New Roman"/>
          <w:color w:val="231F20"/>
          <w:sz w:val="24"/>
        </w:rPr>
        <w:t>of the following calendar year. The bonus is not earned until paid and no pro-rated amount will be paid if your employment terminates for any reason prior to the payment date.</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C.</w:t>
      </w:r>
    </w:p>
    <w:p>
      <w:pPr>
        <w:pStyle w:val="TextBody"/>
        <w:bidi w:val="0"/>
        <w:spacing w:before="240" w:after="283"/>
        <w:jc w:val="both"/>
        <w:rPr/>
      </w:pPr>
      <w:r>
        <w:rPr>
          <w:rFonts w:ascii="Times New Roman" w:hAnsi="Times New Roman"/>
          <w:color w:val="231F20"/>
          <w:sz w:val="24"/>
        </w:rPr>
        <w:t>You will be eligible to receive awards of stock options, restricted stock or other equity awards pursuant to any plans or arrangements the Company may have in effect from time to time. The Company’s Board of Directors (the “</w:t>
      </w:r>
      <w:r>
        <w:rPr>
          <w:rFonts w:ascii="Times New Roman" w:hAnsi="Times New Roman"/>
          <w:b/>
          <w:i/>
          <w:color w:val="231F20"/>
          <w:sz w:val="24"/>
        </w:rPr>
        <w:t>Board</w:t>
      </w:r>
      <w:r>
        <w:rPr>
          <w:color w:val="231F20"/>
        </w:rPr>
        <w:t>”</w:t>
      </w:r>
      <w:r>
        <w:rPr>
          <w:rFonts w:ascii="Times New Roman" w:hAnsi="Times New Roman"/>
          <w:color w:val="231F20"/>
          <w:sz w:val="24"/>
        </w:rPr>
        <w:t>) or a committee of the Board shall determine in its discretion whether you will be granted any such equity awards and the terms of any such award in accordance with the terms of any applicable plan or arrangement that may be in effect from time to time.</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14</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D.</w:t>
      </w:r>
    </w:p>
    <w:p>
      <w:pPr>
        <w:pStyle w:val="TextBody"/>
        <w:bidi w:val="0"/>
        <w:spacing w:before="240" w:after="283"/>
        <w:jc w:val="both"/>
        <w:rPr/>
      </w:pPr>
      <w:r>
        <w:rPr>
          <w:rFonts w:ascii="Times New Roman" w:hAnsi="Times New Roman"/>
          <w:color w:val="231F20"/>
          <w:sz w:val="24"/>
        </w:rPr>
        <w:t>During your employment, you will be eligible to participate in the standard benefits plans offered to similarly situated employees by the Company from time to time, subject to plan terms and generally applicable Company policies. A full description of these benefits is available upon request. The Company may change compensation and benefits from time to time in its discretion. You will also be eligible to enroll and participate in the Company’s 401(k) Plan as administered by Transamerica (</w:t>
      </w:r>
      <w:r>
        <w:rPr>
          <w:rFonts w:ascii="Times New Roman" w:hAnsi="Times New Roman"/>
          <w:color w:val="2764B0"/>
          <w:sz w:val="24"/>
          <w:u w:val="single"/>
        </w:rPr>
        <w:t>www.ta-</w:t>
      </w:r>
      <w:r>
        <w:rPr>
          <w:color w:val="2764B0"/>
        </w:rPr>
        <w:t xml:space="preserve"> </w:t>
      </w:r>
      <w:r>
        <w:rPr>
          <w:rFonts w:ascii="Times New Roman" w:hAnsi="Times New Roman"/>
          <w:color w:val="2764B0"/>
          <w:sz w:val="24"/>
          <w:u w:val="single"/>
        </w:rPr>
        <w:t>retirement.com</w:t>
      </w:r>
      <w:r>
        <w:rPr>
          <w:rFonts w:ascii="Times New Roman" w:hAnsi="Times New Roman"/>
          <w:color w:val="231F20"/>
          <w:sz w:val="24"/>
        </w:rPr>
        <w:t>). You will also be eligible to accrue and use paid time off (</w:t>
      </w:r>
      <w:r>
        <w:rPr>
          <w:rFonts w:ascii="Times New Roman" w:hAnsi="Times New Roman"/>
          <w:b/>
          <w:i/>
          <w:color w:val="231F20"/>
          <w:sz w:val="24"/>
        </w:rPr>
        <w:t>PTO</w:t>
      </w:r>
      <w:r>
        <w:rPr>
          <w:rFonts w:ascii="Times New Roman" w:hAnsi="Times New Roman"/>
          <w:color w:val="231F20"/>
          <w:sz w:val="24"/>
        </w:rPr>
        <w:t>) in accordance with the Company’s PTO policy.</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E.</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The Company will reimburse you for all reasonable business expenses you incur in conducting your duties hereunder, pursuant to the Company’s usual expense reimbursement policy.</w:t>
      </w:r>
    </w:p>
    <w:p>
      <w:pPr>
        <w:pStyle w:val="TextBody"/>
        <w:bidi w:val="0"/>
        <w:spacing w:before="240" w:after="283"/>
        <w:jc w:val="left"/>
        <w:rPr>
          <w:rFonts w:ascii="Times New Roman" w:hAnsi="Times New Roman"/>
          <w:color w:val="231F20"/>
          <w:sz w:val="23"/>
        </w:rPr>
      </w:pPr>
      <w:r>
        <w:rPr>
          <w:rFonts w:ascii="Times New Roman" w:hAnsi="Times New Roman"/>
          <w:color w:val="231F20"/>
          <w:sz w:val="23"/>
        </w:rPr>
        <w:t>III.</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NOTICE UPON RESIGNATION</w:t>
      </w:r>
    </w:p>
    <w:p>
      <w:pPr>
        <w:pStyle w:val="TextBody"/>
        <w:bidi w:val="0"/>
        <w:spacing w:before="240" w:after="283"/>
        <w:jc w:val="both"/>
        <w:rPr>
          <w:rFonts w:ascii="Times New Roman" w:hAnsi="Times New Roman"/>
          <w:sz w:val="20"/>
        </w:rPr>
      </w:pPr>
      <w:r>
        <w:rPr>
          <w:rFonts w:ascii="Times New Roman" w:hAnsi="Times New Roman"/>
          <w:color w:val="231F20"/>
          <w:sz w:val="24"/>
        </w:rPr>
        <w:t>The periodic salary payments described above do not affect your status as an at-will employee of the Company. The Company may terminate your employment, for any reason or no reason at all, without notice or further obligation hereunder. As a Vice President, you are required to provide at least 30 days’ written notice of your intention to terminate your employment (the “</w:t>
      </w:r>
      <w:r>
        <w:rPr>
          <w:rFonts w:ascii="Times New Roman" w:hAnsi="Times New Roman"/>
          <w:b/>
          <w:i/>
          <w:color w:val="231F20"/>
          <w:sz w:val="24"/>
        </w:rPr>
        <w:t>Notice Period</w:t>
      </w:r>
      <w:r>
        <w:rPr>
          <w:rFonts w:ascii="Times New Roman" w:hAnsi="Times New Roman"/>
          <w:color w:val="231F20"/>
          <w:sz w:val="20"/>
        </w:rPr>
        <w:t>”</w:t>
      </w:r>
      <w:r>
        <w:rPr>
          <w:rFonts w:ascii="Times New Roman" w:hAnsi="Times New Roman"/>
          <w:color w:val="231F20"/>
          <w:sz w:val="24"/>
        </w:rPr>
        <w:t>). However, if, at the time of your termination, your title is other than a Vice President, the amount of notice you are required to give will be governed by the Company’s policies in effect at the time. Your fiduciary duties and your obligations to the Company as an employee will continue, and you will cooperate in the transition of your responsibilities. The Company shall have the right, in its sole discretion, to direct that you no longer come in to the office during the Notice Period or to shorten the Notice Period.</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If you fully comply with the above terms of your Notice Period requirement, the Company will pay you a lump sum equal to your accrued but unused PTO, at the rates then in effect, less standard deductions and withholdings, within thirty (30) days after your last date of employment.</w:t>
      </w:r>
    </w:p>
    <w:p>
      <w:pPr>
        <w:pStyle w:val="TextBody"/>
        <w:bidi w:val="0"/>
        <w:spacing w:before="240" w:after="283"/>
        <w:jc w:val="left"/>
        <w:rPr>
          <w:rFonts w:ascii="Times New Roman" w:hAnsi="Times New Roman"/>
          <w:color w:val="231F20"/>
          <w:sz w:val="23"/>
        </w:rPr>
      </w:pPr>
      <w:r>
        <w:rPr>
          <w:rFonts w:ascii="Times New Roman" w:hAnsi="Times New Roman"/>
          <w:color w:val="231F20"/>
          <w:sz w:val="23"/>
        </w:rPr>
        <w:t>IV.</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CONFIDENTIALITY AGREEMENT</w:t>
      </w:r>
    </w:p>
    <w:p>
      <w:pPr>
        <w:pStyle w:val="TextBody"/>
        <w:bidi w:val="0"/>
        <w:spacing w:before="240" w:after="283"/>
        <w:jc w:val="both"/>
        <w:rPr>
          <w:rFonts w:ascii="Times New Roman" w:hAnsi="Times New Roman"/>
          <w:sz w:val="20"/>
        </w:rPr>
      </w:pPr>
      <w:r>
        <w:rPr>
          <w:rFonts w:ascii="Times New Roman" w:hAnsi="Times New Roman"/>
          <w:color w:val="231F20"/>
          <w:sz w:val="24"/>
        </w:rPr>
        <w:t>In connection with your employment with the Company, you have received and had access to Company confidential information and trade secrets. Accordingly, you acknowledge and agree that you signed, were bound by, and abided by the terms of the Employee Confidential Information and Invention Assignment Agreement, which you executed on August 19, 2020 (the “</w:t>
      </w:r>
      <w:r>
        <w:rPr>
          <w:rFonts w:ascii="Times New Roman" w:hAnsi="Times New Roman"/>
          <w:b/>
          <w:i/>
          <w:color w:val="231F20"/>
          <w:sz w:val="24"/>
        </w:rPr>
        <w:t>Prior CIIAA</w:t>
      </w:r>
      <w:r>
        <w:rPr>
          <w:rFonts w:ascii="Times New Roman" w:hAnsi="Times New Roman"/>
          <w:color w:val="231F20"/>
          <w:sz w:val="20"/>
        </w:rPr>
        <w:t>”</w:t>
      </w:r>
      <w:r>
        <w:rPr>
          <w:rFonts w:ascii="Times New Roman" w:hAnsi="Times New Roman"/>
          <w:color w:val="231F20"/>
          <w:sz w:val="24"/>
        </w:rPr>
        <w:t>). Notwithstanding, in consideration of your continued access to confidential and trade secrets, you agree to review the enclosed Employee Confidential Information and Inventions Assignment Agreement and execute it on even date herewith (the “</w:t>
      </w:r>
      <w:r>
        <w:rPr>
          <w:rFonts w:ascii="Times New Roman" w:hAnsi="Times New Roman"/>
          <w:b/>
          <w:i/>
          <w:color w:val="231F20"/>
          <w:sz w:val="24"/>
        </w:rPr>
        <w:t>CIIAA</w:t>
      </w:r>
      <w:r>
        <w:rPr>
          <w:rFonts w:ascii="Times New Roman" w:hAnsi="Times New Roman"/>
          <w:color w:val="231F20"/>
          <w:sz w:val="20"/>
        </w:rPr>
        <w:t>”</w:t>
      </w:r>
      <w:r>
        <w:rPr>
          <w:rFonts w:ascii="Times New Roman" w:hAnsi="Times New Roman"/>
          <w:color w:val="231F20"/>
          <w:sz w:val="24"/>
        </w:rPr>
        <w:t>).</w:t>
      </w:r>
    </w:p>
    <w:p>
      <w:pPr>
        <w:pStyle w:val="TextBody"/>
        <w:bidi w:val="0"/>
        <w:spacing w:before="240" w:after="283"/>
        <w:jc w:val="left"/>
        <w:rPr>
          <w:rFonts w:ascii="Times New Roman" w:hAnsi="Times New Roman"/>
          <w:color w:val="231F20"/>
          <w:sz w:val="23"/>
        </w:rPr>
      </w:pPr>
      <w:r>
        <w:rPr>
          <w:rFonts w:ascii="Times New Roman" w:hAnsi="Times New Roman"/>
          <w:color w:val="231F20"/>
          <w:sz w:val="23"/>
        </w:rPr>
        <w:t>V.</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CONFIDENTIALITY</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You agree to keep, and to instruct any counsel representing you in your negotiations with the Company to keep, this Employment Terms Letter and its terms strictly confidential and not to disclose or discuss this Employment Terms Letter, its terms, or any of the discussions relating to it, with anyone; provided, however, that you may: (1) discuss this Employment Terms Letter and its terms with your counsel, immediate family, and financial and tax advisors; or (2) disclose this offer letter and its terms as mandated by legal process or by law. In addition, you agree to inform any prospective employer’s General Counsel, Head of Human Resources, or if no such positions exist, your hiring contact, of your post-employment obligations to the Company. You agree that prior to disclosing this offer letter or its terms to a third party, you will advise the third party of the confidentiality obligations set forth in this Section and instruct the third party to keep this Employment Terms Letter and its terms strictly confidential.</w:t>
      </w:r>
    </w:p>
    <w:p>
      <w:pPr>
        <w:pStyle w:val="TextBody"/>
        <w:bidi w:val="0"/>
        <w:spacing w:before="240" w:after="283"/>
        <w:jc w:val="left"/>
        <w:rPr>
          <w:rFonts w:ascii="Times New Roman" w:hAnsi="Times New Roman"/>
          <w:color w:val="231F20"/>
          <w:sz w:val="23"/>
        </w:rPr>
      </w:pPr>
      <w:r>
        <w:rPr>
          <w:rFonts w:ascii="Times New Roman" w:hAnsi="Times New Roman"/>
          <w:color w:val="231F20"/>
          <w:sz w:val="23"/>
        </w:rPr>
        <w:t>VI.</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PRE-EMPLOYMENT REQUIREMENTS</w:t>
      </w:r>
    </w:p>
    <w:p>
      <w:pPr>
        <w:pStyle w:val="TextBody"/>
        <w:bidi w:val="0"/>
        <w:spacing w:before="240" w:after="283"/>
        <w:jc w:val="both"/>
        <w:rPr>
          <w:rFonts w:ascii="Times New Roman" w:hAnsi="Times New Roman"/>
          <w:sz w:val="20"/>
        </w:rPr>
      </w:pPr>
      <w:r>
        <w:rPr>
          <w:rFonts w:ascii="Times New Roman" w:hAnsi="Times New Roman"/>
          <w:color w:val="231F20"/>
          <w:sz w:val="24"/>
        </w:rPr>
        <w:t>We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w:t>
      </w:r>
      <w:r>
        <w:rPr>
          <w:rFonts w:ascii="Times New Roman" w:hAnsi="Times New Roman"/>
          <w:color w:val="231F20"/>
          <w:sz w:val="20"/>
        </w:rPr>
        <w:t xml:space="preserve"> </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15</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third-party confidential information to the Company, including that of your former employer, and that you will not in any way utilize any such information in performing your duties for the Company.</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The Company reserves the right to conduct background investigations and/or reference checks on all of its potential employees. Your employment, therefore, is contingent upon a clearance of such a background investigation and/or reference check, if any. You agree to assist as needed and to complete any documentation at the Company’s request to meet these conditions. In addition, you acknowledge that you provided the Company with documentary evidence of your identity and eligibility for employment in the United States, and reaffirm that you remain eligible for employment in the United States.</w:t>
      </w:r>
    </w:p>
    <w:p>
      <w:pPr>
        <w:pStyle w:val="TextBody"/>
        <w:bidi w:val="0"/>
        <w:spacing w:before="240" w:after="283"/>
        <w:jc w:val="left"/>
        <w:rPr>
          <w:rFonts w:ascii="Times New Roman" w:hAnsi="Times New Roman"/>
          <w:color w:val="231F20"/>
          <w:sz w:val="23"/>
        </w:rPr>
      </w:pPr>
      <w:r>
        <w:rPr>
          <w:rFonts w:ascii="Times New Roman" w:hAnsi="Times New Roman"/>
          <w:color w:val="231F20"/>
          <w:sz w:val="23"/>
        </w:rPr>
        <w:t>VII.</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ARBITRATION</w:t>
      </w:r>
    </w:p>
    <w:p>
      <w:pPr>
        <w:pStyle w:val="TextBody"/>
        <w:bidi w:val="0"/>
        <w:spacing w:before="240" w:after="283"/>
        <w:jc w:val="both"/>
        <w:rPr>
          <w:rFonts w:ascii="Times New Roman" w:hAnsi="Times New Roman"/>
          <w:sz w:val="20"/>
        </w:rPr>
      </w:pPr>
      <w:r>
        <w:rPr>
          <w:rFonts w:ascii="Times New Roman" w:hAnsi="Times New Roman"/>
          <w:color w:val="231F20"/>
          <w:sz w:val="24"/>
        </w:rPr>
        <w:t>To ensure the timely and economical resolution of disputes that may arise in connection with your employment with the Company, you and the Company agree that any and all disputes, claims, or causes of action arising from or relating to the enforcement, breach, performance, negotiation, execution, or interpretation of this letter agreement, the CIIAA, or your employment, or the termination of your employment, including but not limited to all statutory claims, will be resolved pursuant to the Federal Arbitration Act, 9 U.S.C. §1-16, and to the fullest extent permitted by law, by final, binding and confidential arbitration by a single arbitrator conducted in New York, New York by Judicial Arbitration and Mediation Services Inc. (“</w:t>
      </w:r>
      <w:r>
        <w:rPr>
          <w:rFonts w:ascii="Times New Roman" w:hAnsi="Times New Roman"/>
          <w:b/>
          <w:i/>
          <w:color w:val="231F20"/>
          <w:sz w:val="24"/>
        </w:rPr>
        <w:t>JAMS</w:t>
      </w:r>
      <w:r>
        <w:rPr>
          <w:rFonts w:ascii="Times New Roman" w:hAnsi="Times New Roman"/>
          <w:color w:val="231F20"/>
          <w:sz w:val="20"/>
        </w:rPr>
        <w:t>”</w:t>
      </w:r>
      <w:r>
        <w:rPr>
          <w:rFonts w:ascii="Times New Roman" w:hAnsi="Times New Roman"/>
          <w:color w:val="231F20"/>
          <w:sz w:val="24"/>
        </w:rPr>
        <w:t xml:space="preserve">) under the then applicable JAMS rules (at the following web address: </w:t>
      </w:r>
      <w:r>
        <w:rPr>
          <w:rFonts w:ascii="Times New Roman" w:hAnsi="Times New Roman"/>
          <w:color w:val="231F20"/>
          <w:sz w:val="24"/>
          <w:u w:val="single"/>
        </w:rPr>
        <w:t>https://</w:t>
      </w:r>
      <w:r>
        <w:rPr>
          <w:rFonts w:ascii="Times New Roman" w:hAnsi="Times New Roman"/>
          <w:sz w:val="24"/>
        </w:rPr>
        <w:t>www.jamsadr.com/rules-employment-arbitration/);</w:t>
      </w:r>
      <w:r>
        <w:rPr>
          <w:rFonts w:ascii="Times New Roman" w:hAnsi="Times New Roman"/>
          <w:color w:val="231F20"/>
          <w:sz w:val="20"/>
        </w:rPr>
        <w:t xml:space="preserve"> </w:t>
      </w:r>
      <w:r>
        <w:rPr>
          <w:rFonts w:ascii="Times New Roman" w:hAnsi="Times New Roman"/>
          <w:color w:val="231F20"/>
          <w:sz w:val="24"/>
        </w:rPr>
        <w:t xml:space="preserve">provided, however, this arbitration provision shall not apply to sexual harassment claims to the extent prohibited by applicable law. A hard copy of the rules will be provided to you upon request. </w:t>
      </w:r>
      <w:r>
        <w:rPr>
          <w:rFonts w:ascii="Times New Roman" w:hAnsi="Times New Roman"/>
          <w:b/>
          <w:color w:val="231F20"/>
          <w:sz w:val="24"/>
        </w:rPr>
        <w:t>By agreeing to this arbitration procedure, both you and the Company waive the right to resolve any such dispute through a trial by jury or judge or administrative proceeding</w:t>
      </w:r>
      <w:r>
        <w:rPr>
          <w:rFonts w:ascii="Times New Roman" w:hAnsi="Times New Roman"/>
          <w:color w:val="231F20"/>
          <w:sz w:val="24"/>
        </w:rPr>
        <w:t>. In addition, all claims, disputes, or causes of action under this provision,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you or the Company would be entitled to seek in a court of law. You and the Company shall equally share all JAMS’ arbitration fees.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Each party is responsible for its own attorneys’ fees, except as expressly set forth in your CIIAA.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claims, in the event you intend to bring multiple claims, including a sexual harassment claim, the sexual harassment claim may be publicly filed with a court, while any other claims will remain subject to mandatory arbitration.</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16</w:t>
      </w:r>
    </w:p>
    <w:p>
      <w:pPr>
        <w:pStyle w:val="HorizontalLine"/>
        <w:pBdr>
          <w:bottom w:val="double" w:sz="2" w:space="0" w:color="808080"/>
        </w:pBdr>
        <w:bidi w:val="0"/>
        <w:spacing w:before="0" w:after="283"/>
        <w:jc w:val="left"/>
        <w:rPr/>
      </w:pPr>
      <w:r>
        <w:rPr/>
      </w:r>
    </w:p>
    <w:p>
      <w:pPr>
        <w:pStyle w:val="TextBody"/>
        <w:bidi w:val="0"/>
        <w:spacing w:before="14" w:after="283"/>
        <w:jc w:val="left"/>
        <w:rPr/>
      </w:pPr>
      <w:r>
        <w:rPr/>
        <w:t> </w:t>
      </w:r>
    </w:p>
    <w:p>
      <w:pPr>
        <w:pStyle w:val="TextBody"/>
        <w:bidi w:val="0"/>
        <w:spacing w:before="240" w:after="283"/>
        <w:jc w:val="left"/>
        <w:rPr>
          <w:rFonts w:ascii="Times New Roman" w:hAnsi="Times New Roman"/>
          <w:color w:val="231F20"/>
          <w:sz w:val="23"/>
        </w:rPr>
      </w:pPr>
      <w:r>
        <w:rPr>
          <w:rFonts w:ascii="Times New Roman" w:hAnsi="Times New Roman"/>
          <w:color w:val="231F20"/>
          <w:sz w:val="23"/>
        </w:rPr>
        <w:t>VIII.</w:t>
      </w:r>
    </w:p>
    <w:p>
      <w:pPr>
        <w:pStyle w:val="TextBody"/>
        <w:bidi w:val="0"/>
        <w:spacing w:before="240" w:after="283"/>
        <w:jc w:val="left"/>
        <w:rPr>
          <w:rFonts w:ascii="Times New Roman" w:hAnsi="Times New Roman"/>
          <w:color w:val="231F20"/>
          <w:sz w:val="24"/>
        </w:rPr>
      </w:pPr>
      <w:r>
        <w:rPr>
          <w:rFonts w:ascii="Times New Roman" w:hAnsi="Times New Roman"/>
          <w:color w:val="231F20"/>
          <w:sz w:val="24"/>
        </w:rPr>
        <w:t>MISCELLANEOUS</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You agree to permit the Company, and persons or other organizations authorized by the Company, to use, publish and distribute advertising or sales promotional literature concerning the products and/or services of the Company in which your name and/or pictures of you appear. You hereby waive and release any claim or right you may otherwise have arising out of such use, publication or distribution.</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You will be entitled to indemnification from the Company pursuant to, and in accordance with the terms of, (i) the Company’s charter and bylaws, to the extent that indemnification of you is provided for therein, and (ii) any D&amp;O insurance policy covering you purchased by the Company.</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This letter, along with the CIIAA, constitutes the entire agreement between you and the Company with respect to the subject matters referred to herein, and supersedes all prior or contemporaneous negotiations, promises, covenants, agreements and representations of every kind or nature with respect thereto, all of which have become merged and finally integrated into this agreement, including, but not limited to, the Offer Letter and the Prior CIIAA. The provisions in this agreement are severable. Any provisions in this agreement held to be unenforceable or invalid in any jurisdiction shall not affect the enforceability of the remaining provisions of this agreement. In addition, if any provision of this agreement is held to be excessively broad as to degree, duration, geographical scope, activity or subject, it shall be construed by limiting and reducing it, so as to be enforceable to the extent compatible with the applicable law as it shall then appear.</w:t>
      </w:r>
    </w:p>
    <w:p>
      <w:pPr>
        <w:pStyle w:val="TextBody"/>
        <w:bidi w:val="0"/>
        <w:spacing w:before="240" w:after="283"/>
        <w:jc w:val="both"/>
        <w:rPr>
          <w:rFonts w:ascii="Times New Roman" w:hAnsi="Times New Roman"/>
          <w:color w:val="231F20"/>
          <w:sz w:val="24"/>
        </w:rPr>
      </w:pPr>
      <w:r>
        <w:rPr>
          <w:rFonts w:ascii="Times New Roman" w:hAnsi="Times New Roman"/>
          <w:color w:val="231F20"/>
          <w:sz w:val="24"/>
        </w:rPr>
        <w:t>If the above terms are acceptable to you, we request that you signify your acceptance of the terms of this letter by signing and dating the copy enclosed and returning it to the Company.</w:t>
      </w:r>
    </w:p>
    <w:p>
      <w:pPr>
        <w:pStyle w:val="TextBody"/>
        <w:bidi w:val="0"/>
        <w:spacing w:before="11" w:after="283"/>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Sincerely,</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sz w:val="24"/>
              </w:rPr>
            </w:pPr>
            <w:r>
              <w:rPr>
                <w:rFonts w:ascii="Times New Roman" w:hAnsi="Times New Roman"/>
                <w:color w:val="000000"/>
                <w:sz w:val="24"/>
              </w:rPr>
              <w:t xml:space="preserve">/s/ </w:t>
            </w:r>
            <w:r>
              <w:rPr>
                <w:rFonts w:ascii="Times New Roman" w:hAnsi="Times New Roman"/>
                <w:color w:val="231F20"/>
                <w:sz w:val="24"/>
              </w:rPr>
              <w:t>William Ho</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William T Ho,</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4"/>
              </w:rPr>
            </w:pPr>
            <w:r>
              <w:rPr>
                <w:rFonts w:ascii="Times New Roman" w:hAnsi="Times New Roman"/>
                <w:color w:val="231F20"/>
                <w:sz w:val="24"/>
              </w:rPr>
              <w:t>Chief Executive Officer</w:t>
            </w:r>
          </w:p>
        </w:tc>
      </w:tr>
    </w:tbl>
    <w:p>
      <w:pPr>
        <w:pStyle w:val="TextBody"/>
        <w:bidi w:val="0"/>
        <w:spacing w:before="4" w:after="283"/>
        <w:jc w:val="left"/>
        <w:rPr/>
      </w:pPr>
      <w:r>
        <w:rPr/>
        <w:t> </w:t>
      </w:r>
    </w:p>
    <w:tbl>
      <w:tblPr>
        <w:tblW w:w="5439" w:type="dxa"/>
        <w:jc w:val="left"/>
        <w:tblInd w:w="0" w:type="dxa"/>
        <w:tblLayout w:type="fixed"/>
        <w:tblCellMar>
          <w:top w:w="28" w:type="dxa"/>
          <w:left w:w="28" w:type="dxa"/>
          <w:bottom w:w="28" w:type="dxa"/>
          <w:right w:w="28" w:type="dxa"/>
        </w:tblCellMar>
      </w:tblPr>
      <w:tblGrid>
        <w:gridCol w:w="3916"/>
        <w:gridCol w:w="146"/>
        <w:gridCol w:w="146"/>
        <w:gridCol w:w="123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231F20"/>
                <w:sz w:val="24"/>
              </w:rPr>
            </w:pPr>
            <w:r>
              <w:rPr>
                <w:rFonts w:ascii="Times New Roman" w:hAnsi="Times New Roman"/>
                <w:color w:val="231F20"/>
                <w:sz w:val="24"/>
              </w:rPr>
              <w:t>AGREED TO AND ACCEPTED 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 w:after="283"/>
              <w:jc w:val="left"/>
              <w:rPr/>
            </w:pPr>
            <w:r>
              <w:rPr/>
              <w:t> </w:t>
            </w:r>
          </w:p>
        </w:tc>
        <w:tc>
          <w:tcPr>
            <w:tcW w:w="1231" w:type="dxa"/>
            <w:tcBorders/>
            <w:tcMar>
              <w:top w:w="0" w:type="dxa"/>
              <w:left w:w="0" w:type="dxa"/>
              <w:bottom w:w="0" w:type="dxa"/>
              <w:right w:w="0" w:type="dxa"/>
            </w:tcMar>
            <w:vAlign w:val="center"/>
          </w:tcPr>
          <w:p>
            <w:pPr>
              <w:pStyle w:val="TableContents"/>
              <w:bidi w:val="0"/>
              <w:spacing w:before="1" w:after="283"/>
              <w:jc w:val="left"/>
              <w:rPr>
                <w:rFonts w:ascii="Times New Roman" w:hAnsi="Times New Roman"/>
                <w:color w:val="010202"/>
                <w:sz w:val="24"/>
              </w:rPr>
            </w:pPr>
            <w:r>
              <w:rPr>
                <w:rFonts w:ascii="Times New Roman" w:hAnsi="Times New Roman"/>
                <w:color w:val="010202"/>
                <w:sz w:val="24"/>
              </w:rPr>
              <w:t>12/31/2020</w:t>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/s/ </w:t>
            </w:r>
            <w:r>
              <w:rPr>
                <w:rFonts w:ascii="Times New Roman" w:hAnsi="Times New Roman"/>
                <w:color w:val="231F20"/>
                <w:sz w:val="24"/>
              </w:rPr>
              <w:t>Kate Rochlin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1" w:after="283"/>
              <w:jc w:val="lef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1"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2" w:after="283"/>
              <w:jc w:val="both"/>
              <w:rPr>
                <w:rFonts w:ascii="Times New Roman" w:hAnsi="Times New Roman"/>
                <w:color w:val="231F20"/>
                <w:sz w:val="24"/>
              </w:rPr>
            </w:pPr>
            <w:r>
              <w:rPr>
                <w:rFonts w:ascii="Times New Roman" w:hAnsi="Times New Roman"/>
                <w:color w:val="231F20"/>
                <w:sz w:val="24"/>
              </w:rPr>
              <w:t>Kate M. Rochlin, PhD</w:t>
            </w:r>
          </w:p>
        </w:tc>
        <w:tc>
          <w:tcPr>
            <w:tcW w:w="146" w:type="dxa"/>
            <w:tcBorders/>
            <w:tcMar>
              <w:top w:w="0" w:type="dxa"/>
              <w:left w:w="0" w:type="dxa"/>
              <w:bottom w:w="0" w:type="dxa"/>
              <w:right w:w="0" w:type="dxa"/>
            </w:tcMar>
            <w:vAlign w:val="center"/>
          </w:tcPr>
          <w:p>
            <w:pPr>
              <w:pStyle w:val="TableContents"/>
              <w:bidi w:val="0"/>
              <w:spacing w:before="2" w:after="283"/>
              <w:jc w:val="both"/>
              <w:rPr/>
            </w:pPr>
            <w:r>
              <w:rPr/>
              <w:t> </w:t>
            </w:r>
          </w:p>
        </w:tc>
        <w:tc>
          <w:tcPr>
            <w:tcW w:w="1377" w:type="dxa"/>
            <w:gridSpan w:val="2"/>
            <w:tcBorders/>
            <w:tcMar>
              <w:top w:w="0" w:type="dxa"/>
              <w:left w:w="0" w:type="dxa"/>
              <w:bottom w:w="0" w:type="dxa"/>
              <w:right w:w="0" w:type="dxa"/>
            </w:tcMar>
            <w:vAlign w:val="center"/>
          </w:tcPr>
          <w:p>
            <w:pPr>
              <w:pStyle w:val="TableContents"/>
              <w:bidi w:val="0"/>
              <w:spacing w:before="2" w:after="283"/>
              <w:jc w:val="both"/>
              <w:rPr>
                <w:rFonts w:ascii="Times New Roman" w:hAnsi="Times New Roman"/>
                <w:color w:val="231F20"/>
                <w:sz w:val="24"/>
              </w:rPr>
            </w:pPr>
            <w:r>
              <w:rPr>
                <w:rFonts w:ascii="Times New Roman" w:hAnsi="Times New Roman"/>
                <w:color w:val="231F20"/>
                <w:sz w:val="24"/>
              </w:rPr>
              <w:t>DATE</w:t>
            </w:r>
          </w:p>
        </w:tc>
      </w:tr>
    </w:tbl>
    <w:p>
      <w:pPr>
        <w:pStyle w:val="TextBody"/>
        <w:bidi w:val="0"/>
        <w:spacing w:before="8" w:after="283"/>
        <w:jc w:val="left"/>
        <w:rPr/>
      </w:pPr>
      <w:r>
        <w:rPr/>
        <w:t> </w:t>
      </w:r>
    </w:p>
    <w:p>
      <w:pPr>
        <w:pStyle w:val="TextBody"/>
        <w:bidi w:val="0"/>
        <w:jc w:val="left"/>
        <w:rPr>
          <w:rFonts w:ascii="Times New Roman" w:hAnsi="Times New Roman"/>
          <w:color w:val="231F20"/>
          <w:sz w:val="24"/>
        </w:rPr>
      </w:pPr>
      <w:r>
        <w:rPr>
          <w:rFonts w:ascii="Times New Roman" w:hAnsi="Times New Roman"/>
          <w:color w:val="231F20"/>
          <w:sz w:val="24"/>
        </w:rPr>
        <w:t>Enclosures</w:t>
      </w:r>
    </w:p>
    <w:p>
      <w:pPr>
        <w:pStyle w:val="TextBody"/>
        <w:bidi w:val="0"/>
        <w:spacing w:before="2" w:after="283"/>
        <w:jc w:val="left"/>
        <w:rPr>
          <w:rFonts w:ascii="Times New Roman" w:hAnsi="Times New Roman"/>
          <w:color w:val="231F20"/>
          <w:sz w:val="24"/>
        </w:rPr>
      </w:pPr>
      <w:r>
        <w:rPr>
          <w:rFonts w:ascii="Times New Roman" w:hAnsi="Times New Roman"/>
          <w:color w:val="231F20"/>
          <w:sz w:val="24"/>
        </w:rPr>
        <w:t>Employee Confidential Information and Inventions Assignment Agreement</w:t>
      </w:r>
    </w:p>
    <w:p>
      <w:pPr>
        <w:pStyle w:val="TextBody"/>
        <w:bidi w:val="0"/>
        <w:spacing w:before="240" w:after="283"/>
        <w:jc w:val="right"/>
        <w:rPr>
          <w:rFonts w:ascii="Times New Roman" w:hAnsi="Times New Roman"/>
          <w:color w:val="231F20"/>
          <w:sz w:val="16"/>
        </w:rPr>
      </w:pPr>
      <w:r>
        <w:rPr>
          <w:rFonts w:ascii="Times New Roman" w:hAnsi="Times New Roman"/>
          <w:color w:val="231F20"/>
          <w:sz w:val="16"/>
        </w:rPr>
        <w:t>Employee Confidential Information and Inventions Assignment Agreement</w:t>
      </w:r>
    </w:p>
    <w:p>
      <w:pPr>
        <w:pStyle w:val="TextBody"/>
        <w:bidi w:val="0"/>
        <w:jc w:val="right"/>
        <w:rPr>
          <w:rFonts w:ascii="Times New Roman" w:hAnsi="Times New Roman"/>
          <w:color w:val="231F20"/>
          <w:sz w:val="16"/>
        </w:rPr>
      </w:pPr>
      <w:r>
        <w:rPr>
          <w:rFonts w:ascii="Times New Roman" w:hAnsi="Times New Roman"/>
          <w:color w:val="231F20"/>
          <w:sz w:val="16"/>
        </w:rPr>
        <w:t>Page 17</w:t>
      </w:r>
    </w:p>
    <w:p>
      <w:pPr>
        <w:pStyle w:val="HorizontalLine"/>
        <w:pBdr>
          <w:bottom w:val="double" w:sz="2" w:space="0" w:color="808080"/>
        </w:pBdr>
        <w:bidi w:val="0"/>
        <w:spacing w:before="0" w:after="283"/>
        <w:jc w:val="left"/>
        <w:rPr/>
      </w:pPr>
      <w:r>
        <w:rPr/>
      </w:r>
    </w:p>
    <w:p>
      <w:pPr>
        <w:pStyle w:val="TextBody"/>
        <w:bidi w:val="0"/>
        <w:jc w:val="left"/>
        <w:rPr/>
      </w:pPr>
      <w:bookmarkStart w:id="51" w:name="inab-ex10_23.htm"/>
      <w:bookmarkStart w:id="52" w:name="ksinabex10_23"/>
      <w:bookmarkEnd w:id="51"/>
      <w:bookmarkEnd w:id="52"/>
      <w:r>
        <w:rPr/>
        <w:t> </w:t>
      </w:r>
      <w:r>
        <w:br w:type="page"/>
      </w:r>
    </w:p>
    <w:p>
      <w:pPr>
        <w:pStyle w:val="TextBody"/>
        <w:bidi w:val="0"/>
        <w:jc w:val="center"/>
        <w:rPr/>
      </w:pPr>
      <w:r>
        <w:rPr/>
        <w:drawing>
          <wp:inline distT="0" distB="0" distL="0" distR="0">
            <wp:extent cx="1981200" cy="12192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90"/>
                    <a:stretch>
                      <a:fillRect/>
                    </a:stretch>
                  </pic:blipFill>
                  <pic:spPr bwMode="auto">
                    <a:xfrm>
                      <a:off x="0" y="0"/>
                      <a:ext cx="1981200" cy="1219200"/>
                    </a:xfrm>
                    <a:prstGeom prst="rect">
                      <a:avLst/>
                    </a:prstGeom>
                  </pic:spPr>
                </pic:pic>
              </a:graphicData>
            </a:graphic>
          </wp:inline>
        </w:drawing>
      </w:r>
    </w:p>
    <w:p>
      <w:pPr>
        <w:pStyle w:val="TextBody"/>
        <w:bidi w:val="0"/>
        <w:spacing w:before="0" w:after="360"/>
        <w:jc w:val="center"/>
        <w:rPr>
          <w:rFonts w:ascii="Times New Roman" w:hAnsi="Times New Roman"/>
          <w:b/>
          <w:smallCaps/>
          <w:color w:val="000000"/>
          <w:sz w:val="24"/>
        </w:rPr>
      </w:pPr>
      <w:r>
        <w:rPr>
          <w:rFonts w:ascii="Times New Roman" w:hAnsi="Times New Roman"/>
          <w:b/>
          <w:smallCaps/>
          <w:color w:val="000000"/>
          <w:sz w:val="24"/>
        </w:rPr>
        <w:t>EMPLOYMENT AGREEMENT</w:t>
      </w:r>
    </w:p>
    <w:p>
      <w:pPr>
        <w:pStyle w:val="TextBody"/>
        <w:bidi w:val="0"/>
        <w:spacing w:before="0" w:after="12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as of March 14, 2024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by and between Kate M. Rochlin, PhD (the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and IN8bio, Inc., its subsidiaries, parents, affiliates, predecessors, successors and assigns (together,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(Executive and the Company together,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20" w:after="12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Executive has been an employee of the Company since August 24, 2020.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wishes to continue to employ Executive and Executive wishes to continue to be employed by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and Executive desire to enter into this Agreement to establish and govern the terms and conditions of Executive’s employment by the Company.</w:t>
      </w:r>
    </w:p>
    <w:p>
      <w:pPr>
        <w:pStyle w:val="TextBody"/>
        <w:bidi w:val="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promises and mutual covenants contained herein and other good and valuable consideration, the receipt and sufficiency of which are hereby acknowledged, the parties hereto agree as follows:</w:t>
      </w:r>
    </w:p>
    <w:p>
      <w:pPr>
        <w:pStyle w:val="TextBody"/>
        <w:bidi w:val="0"/>
        <w:spacing w:before="120" w:after="120"/>
        <w:jc w:val="center"/>
        <w:rPr>
          <w:rFonts w:ascii="Times New Roman" w:hAnsi="Times New Roman"/>
          <w:b/>
          <w:smallCaps/>
          <w:color w:val="000000"/>
          <w:sz w:val="24"/>
        </w:rPr>
      </w:pPr>
      <w:r>
        <w:rPr>
          <w:rFonts w:ascii="Times New Roman" w:hAnsi="Times New Roman"/>
          <w:b/>
          <w:smallCaps/>
          <w:color w:val="000000"/>
          <w:sz w:val="24"/>
        </w:rPr>
        <w:t>Agreement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In consideration of the foregoing, the parties agree as follows: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Employment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Position; Duties; Location.</w:t>
      </w:r>
      <w:r>
        <w:rPr>
          <w:color w:val="000000"/>
        </w:rPr>
        <w:t xml:space="preserve"> </w:t>
      </w:r>
      <w:r>
        <w:rPr>
          <w:rFonts w:ascii="Times New Roman" w:hAnsi="Times New Roman"/>
          <w:color w:val="000000"/>
          <w:sz w:val="24"/>
        </w:rPr>
        <w:t>Executive currently holds the position of Chief Operating Officer. Executive’s activities shall be as directed by the Company’s Chief Executive Officer (the “</w:t>
      </w:r>
      <w:r>
        <w:rPr>
          <w:rFonts w:ascii="Times New Roman" w:hAnsi="Times New Roman"/>
          <w:b/>
          <w:i/>
          <w:color w:val="000000"/>
          <w:sz w:val="24"/>
        </w:rPr>
        <w:t>CEO</w:t>
      </w:r>
      <w:r>
        <w:rPr>
          <w:color w:val="000000"/>
        </w:rPr>
        <w:t>”</w:t>
      </w:r>
      <w:r>
        <w:rPr>
          <w:rFonts w:ascii="Times New Roman" w:hAnsi="Times New Roman"/>
          <w:color w:val="000000"/>
          <w:sz w:val="24"/>
        </w:rPr>
        <w:t xml:space="preserve">) and shall include such duties and activities as typically associated with Executive’s position, and as otherwise may be assigned to Executive from time to time. The Company reserves the right to change or modify Executive’s title and/or duties as business needs may require. Executive shall devote Executive’s business energies, interest, abilities and productive time to the proper and efficient performance of Executive’s duties under this Agreement. Executive initially shall report to the CEO and work primarily from the Company’s offices/facilities in New York City provided that the Company reserves the right to require business travel.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Policies and Procedures.</w:t>
      </w:r>
      <w:r>
        <w:rPr>
          <w:color w:val="000000"/>
        </w:rPr>
        <w:t xml:space="preserve"> </w:t>
      </w:r>
      <w:r>
        <w:rPr>
          <w:rFonts w:ascii="Times New Roman" w:hAnsi="Times New Roman"/>
          <w:color w:val="000000"/>
          <w:sz w:val="24"/>
        </w:rPr>
        <w:t>The employment relationship between the parties shall be governed by this Agreement and by the policies and practices established by the Company’s Board of Directors (the “</w:t>
      </w:r>
      <w:r>
        <w:rPr>
          <w:rFonts w:ascii="Times New Roman" w:hAnsi="Times New Roman"/>
          <w:b/>
          <w:i/>
          <w:color w:val="000000"/>
          <w:sz w:val="24"/>
        </w:rPr>
        <w:t>Board</w:t>
      </w:r>
      <w:r>
        <w:rPr>
          <w:color w:val="000000"/>
        </w:rPr>
        <w:t>”</w:t>
      </w:r>
      <w:r>
        <w:rPr>
          <w:rFonts w:ascii="Times New Roman" w:hAnsi="Times New Roman"/>
          <w:color w:val="000000"/>
          <w:sz w:val="24"/>
        </w:rPr>
        <w:t>). In the event that the terms of this Agreement differ from or are in conflict with the Company’s policies or practices, this Agreement shall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 xml:space="preserve">Exclusive Employment; Agreement not to Participate in Company’s Competitors. </w:t>
      </w:r>
      <w:r>
        <w:rPr>
          <w:rFonts w:ascii="Times New Roman" w:hAnsi="Times New Roman"/>
          <w:color w:val="000000"/>
          <w:sz w:val="24"/>
        </w:rPr>
        <w:t xml:space="preserve">Except with the prior written consent of the Board, Executive will not, during the period of employment by the Company, undertake or engage in any other employment, or directly or indirectly, undertake or engage in any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employment, directorships, occupation or business activity that competes with directly or indirectly, or is known by Executive to be adverse or antagonistic to the business, prospective business, or financial or other interests of the Company;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Company agrees that Executive may continue to serve in any roles, positions, and/or appointments listed in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to this Agreement, or any similar roles, positions, and/or appointments mutually agreed upon by the Company and the Executive, </w:t>
      </w:r>
      <w:r>
        <w:rPr>
          <w:rFonts w:ascii="Times New Roman" w:hAnsi="Times New Roman"/>
          <w:i/>
          <w:color w:val="000000"/>
          <w:sz w:val="24"/>
        </w:rPr>
        <w:t>provided</w:t>
      </w:r>
      <w:r>
        <w:rPr>
          <w:rFonts w:ascii="Times New Roman" w:hAnsi="Times New Roman"/>
          <w:color w:val="000000"/>
          <w:sz w:val="24"/>
        </w:rPr>
        <w:t>, in each case, they do not interfere with Executive’s job duties for the Company.</w:t>
      </w:r>
      <w:r>
        <w:rPr>
          <w:color w:val="000000"/>
        </w:rPr>
        <w:t xml:space="preserv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both"/>
        <w:rPr/>
      </w:pPr>
      <w:r>
        <w:rPr>
          <w:rFonts w:ascii="Times New Roman" w:hAnsi="Times New Roman"/>
          <w:b/>
          <w:smallCaps/>
          <w:color w:val="000000"/>
          <w:sz w:val="24"/>
        </w:rPr>
        <w:t>At-Will Employment.</w:t>
      </w:r>
      <w:r>
        <w:rPr>
          <w:color w:val="000000"/>
        </w:rPr>
        <w:t xml:space="preserve"> </w:t>
      </w:r>
      <w:r>
        <w:rPr>
          <w:rFonts w:ascii="Times New Roman" w:hAnsi="Times New Roman"/>
          <w:color w:val="000000"/>
          <w:sz w:val="24"/>
        </w:rPr>
        <w:t xml:space="preserve">Executive’s employment relationship with the Company is, and shall at all times be, at-will. This means that either Executive or the Company may terminate the employment relationship at any time, for any reason or for no reason, with or without cause or advance notice.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Compensation and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Salary.</w:t>
      </w:r>
      <w:r>
        <w:rPr>
          <w:color w:val="000000"/>
        </w:rPr>
        <w:t xml:space="preserve"> </w:t>
      </w:r>
      <w:r>
        <w:rPr>
          <w:rFonts w:ascii="Times New Roman" w:hAnsi="Times New Roman"/>
          <w:color w:val="000000"/>
          <w:sz w:val="24"/>
        </w:rPr>
        <w:t>Executive shall earn a base salary of $475,000 per annum, less payroll deductions and all required withholdings (the “</w:t>
      </w:r>
      <w:r>
        <w:rPr>
          <w:rFonts w:ascii="Times New Roman" w:hAnsi="Times New Roman"/>
          <w:b/>
          <w:i/>
          <w:color w:val="000000"/>
          <w:sz w:val="24"/>
        </w:rPr>
        <w:t>Base Salary</w:t>
      </w:r>
      <w:r>
        <w:rPr>
          <w:color w:val="000000"/>
        </w:rPr>
        <w:t>”</w:t>
      </w:r>
      <w:r>
        <w:rPr>
          <w:rFonts w:ascii="Times New Roman" w:hAnsi="Times New Roman"/>
          <w:color w:val="000000"/>
          <w:sz w:val="24"/>
        </w:rPr>
        <w:t>). The Base Salary shall be prorated for any partial year of employment on the basis of a 365-day year. The Base Salary may be adjusted from time to time in the Company’s discretion.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Performance Bonus.</w:t>
      </w:r>
      <w:r>
        <w:rPr>
          <w:color w:val="000000"/>
        </w:rPr>
        <w:t xml:space="preserve"> </w:t>
      </w:r>
      <w:r>
        <w:rPr>
          <w:rFonts w:ascii="Times New Roman" w:hAnsi="Times New Roman"/>
          <w:color w:val="000000"/>
          <w:sz w:val="24"/>
        </w:rPr>
        <w:t>Each full calendar year, Executive will be eligible to earn a cash bonus of up to 40% of Executive’s Base Salary, less payroll deductions and all required withholdings, based on the Board’s assessment of Executive’s individual performance and overall Company performance (the “</w:t>
      </w:r>
      <w:r>
        <w:rPr>
          <w:rFonts w:ascii="Times New Roman" w:hAnsi="Times New Roman"/>
          <w:b/>
          <w:i/>
          <w:color w:val="000000"/>
          <w:sz w:val="24"/>
        </w:rPr>
        <w:t>Annual Bonus</w:t>
      </w:r>
      <w:r>
        <w:rPr>
          <w:color w:val="000000"/>
        </w:rPr>
        <w:t>”</w:t>
      </w:r>
      <w:r>
        <w:rPr>
          <w:rFonts w:ascii="Times New Roman" w:hAnsi="Times New Roman"/>
          <w:color w:val="000000"/>
          <w:sz w:val="24"/>
        </w:rPr>
        <w:t xml:space="preserve">). In order to earn and receive the bonus, Executive must remain employed by the Company through and including the bonus payout date. The determination of whether Executive has earned a bonus and the amount thereof shall be determined by the Board (and/or a committee thereof) in its sole and absolute discretion. The Company reserves the right to modify the bonus criteria and targets from year to year.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Stock Options</w:t>
      </w:r>
      <w:r>
        <w:rPr>
          <w:rFonts w:ascii="Times New Roman" w:hAnsi="Times New Roman"/>
          <w:color w:val="000000"/>
          <w:sz w:val="24"/>
        </w:rPr>
        <w:t>. Executive will be eligible to receive awards of stock options, restricted stock or other equity awards pursuant to any plans or arrangements the Company may have in effect from time to time. The Board or a committee of the Board shall determine in its discretion whether Executive will be granted any such equity awards and the terms of any such award in accordance with the terms of any applicable plan or arrangement that may be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color w:val="000000"/>
          <w:sz w:val="24"/>
        </w:rPr>
        <w:t>Standard Company Benefits.</w:t>
      </w:r>
      <w:r>
        <w:rPr>
          <w:color w:val="000000"/>
        </w:rPr>
        <w:t xml:space="preserve"> </w:t>
      </w:r>
      <w:r>
        <w:rPr>
          <w:rFonts w:ascii="Times New Roman" w:hAnsi="Times New Roman"/>
          <w:color w:val="000000"/>
          <w:sz w:val="24"/>
        </w:rPr>
        <w:t>Executive shall, in accordance with Company policy and the terms of the applicable plan documents, continue to be eligible to participate in benefits under any benefit plan or arrangement that may be in effect from time to time and made available to similarly situated Company employees. The Company reserves the right to modify, add or eliminate benefits from time to time. Executive will also continue to be eligible to accrue and use paid time off (“</w:t>
      </w:r>
      <w:r>
        <w:rPr>
          <w:rFonts w:ascii="Times New Roman" w:hAnsi="Times New Roman"/>
          <w:b/>
          <w:i/>
          <w:color w:val="000000"/>
          <w:sz w:val="24"/>
        </w:rPr>
        <w:t>PTO</w:t>
      </w:r>
      <w:r>
        <w:rPr>
          <w:color w:val="000000"/>
        </w:rPr>
        <w:t>”</w:t>
      </w:r>
      <w:r>
        <w:rPr>
          <w:rFonts w:ascii="Times New Roman" w:hAnsi="Times New Roman"/>
          <w:color w:val="000000"/>
          <w:sz w:val="24"/>
        </w:rPr>
        <w:t>) in accordance with the Company’s PTO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The Company will reimburse Executive for all reasonable business expenses Executive incurs in conducting Executive’s duties hereunder, pursuant to the Company’s usual expense reimbursement practices.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pPr>
      <w:r>
        <w:rPr>
          <w:rFonts w:ascii="Times New Roman" w:hAnsi="Times New Roman"/>
          <w:b/>
          <w:smallCaps/>
          <w:color w:val="000000"/>
          <w:sz w:val="24"/>
        </w:rPr>
        <w:t xml:space="preserve">Proprietary Information Obligations. </w:t>
      </w:r>
      <w:r>
        <w:rPr>
          <w:rFonts w:ascii="Times New Roman" w:hAnsi="Times New Roman"/>
          <w:color w:val="000000"/>
          <w:sz w:val="24"/>
        </w:rPr>
        <w:t xml:space="preserve">In connection with Executive’s continued employment with the Company, Executive will continue to receive and have access to Company confidential information and trade secrets. Accordingly, Executive acknowledges and agrees that Executive will continue to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remain subject to the Employee Confidential Information and Inventions Assignment Agreement and executed on December 31, 2020 (the “</w:t>
      </w:r>
      <w:r>
        <w:rPr>
          <w:rFonts w:ascii="Times New Roman" w:hAnsi="Times New Roman"/>
          <w:b/>
          <w:i/>
          <w:color w:val="000000"/>
          <w:sz w:val="24"/>
        </w:rPr>
        <w:t>CIIAA</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Termination of Employment; Severance.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At-Will Employment.</w:t>
      </w:r>
      <w:r>
        <w:rPr>
          <w:color w:val="000000"/>
        </w:rPr>
        <w:t xml:space="preserve"> </w:t>
      </w:r>
      <w:r>
        <w:rPr>
          <w:rFonts w:ascii="Times New Roman" w:hAnsi="Times New Roman"/>
          <w:color w:val="000000"/>
          <w:sz w:val="24"/>
        </w:rPr>
        <w:t xml:space="preserve">Executive’s employment relationship is at-will. Either Executive or the Company may terminate the employment relationship at any time, with or without cause or advance notice.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Executive’s Resignation without Good Reason.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may resign from employment with Company without Good Reason.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Executive resigns from employment with the Company without Good Reason (as defined below), then, provided that Executive provides at least thirty (30) days prior written notice (or such shorter prior written notice period agreed to in writing by the Company), the Company shall pay Executive any earned but unpaid base salary accrued through the date of termination and all accrued but unused paid time off, at the rates then in effect, less standard deductions and withholdings. Executive will no longer vest in any equity interests and the Company shall thereafter have no further obligations to Executive, except as may otherwise be required by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Termination Without Cause; Resignation for Good Reason.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terminate Executive’s employment with the Company at any time without Cause (as defined below). Further, Executive may resign at any time for Good Reason (as defined below).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In the event Executive’s employment with the Company is terminated by the Company without Cause, or Executive resigns for Good Reason, then provided such termination constitutes a “separation from service” (as defined under Treasury Regulation Section 1.409A-1(h), without regard to any alternative definition thereunder, a “</w:t>
      </w:r>
      <w:r>
        <w:rPr>
          <w:rFonts w:ascii="Times New Roman" w:hAnsi="Times New Roman"/>
          <w:b/>
          <w:i/>
          <w:color w:val="000000"/>
          <w:sz w:val="24"/>
        </w:rPr>
        <w:t>Separation from Service</w:t>
      </w:r>
      <w:r>
        <w:rPr>
          <w:color w:val="000000"/>
        </w:rPr>
        <w:t>”</w:t>
      </w:r>
      <w:r>
        <w:rPr>
          <w:rFonts w:ascii="Times New Roman" w:hAnsi="Times New Roman"/>
          <w:color w:val="000000"/>
          <w:sz w:val="24"/>
        </w:rPr>
        <w:t>), and provided that Executive remains in compliance with the terms of this Agreement, subject to Section 5.7, Executive shall receive the following: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pay Executive any earned but unpaid base salary accrued through the date of termination and all accrued but unused PTO, at the rates then in effect, less standard deductions and withholdings.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color w:val="000000"/>
          <w:sz w:val="24"/>
        </w:rPr>
        <w:t>The Company shall pay Executive, as severance, twelve (12) months of Executive’s Base Salary in effect as of the date of Executive’s employment termination, subject to standard payroll deductions and withholdings (the “</w:t>
      </w:r>
      <w:r>
        <w:rPr>
          <w:rFonts w:ascii="Times New Roman" w:hAnsi="Times New Roman"/>
          <w:b/>
          <w:i/>
          <w:color w:val="000000"/>
          <w:sz w:val="24"/>
        </w:rPr>
        <w:t>Severance</w:t>
      </w:r>
      <w:r>
        <w:rPr>
          <w:color w:val="000000"/>
        </w:rPr>
        <w:t>”</w:t>
      </w:r>
      <w:r>
        <w:rPr>
          <w:rFonts w:ascii="Times New Roman" w:hAnsi="Times New Roman"/>
          <w:color w:val="000000"/>
          <w:sz w:val="24"/>
        </w:rPr>
        <w:t xml:space="preserve">). The Severance will be paid in equal installments on the Company’s regular payroll schedule over the twelve (12) month period following Executive’s Separation from Service;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no payments will be made prior to the 60</w:t>
      </w:r>
      <w:r>
        <w:rPr>
          <w:rFonts w:ascii="Times New Roman" w:hAnsi="Times New Roman"/>
          <w:color w:val="000000"/>
          <w:sz w:val="16"/>
        </w:rPr>
        <w:t>th</w:t>
      </w:r>
      <w:r>
        <w:rPr>
          <w:color w:val="000000"/>
        </w:rPr>
        <w:t xml:space="preserve"> </w:t>
      </w:r>
      <w:r>
        <w:rPr>
          <w:rFonts w:ascii="Times New Roman" w:hAnsi="Times New Roman"/>
          <w:color w:val="000000"/>
          <w:sz w:val="24"/>
        </w:rPr>
        <w:t>day following Executive’s Separation from Service. On the 60</w:t>
      </w:r>
      <w:r>
        <w:rPr>
          <w:rFonts w:ascii="Times New Roman" w:hAnsi="Times New Roman"/>
          <w:color w:val="000000"/>
          <w:sz w:val="16"/>
        </w:rPr>
        <w:t>th</w:t>
      </w:r>
      <w:r>
        <w:rPr>
          <w:color w:val="000000"/>
        </w:rPr>
        <w:t xml:space="preserve"> </w:t>
      </w:r>
      <w:r>
        <w:rPr>
          <w:rFonts w:ascii="Times New Roman" w:hAnsi="Times New Roman"/>
          <w:color w:val="000000"/>
          <w:sz w:val="24"/>
        </w:rPr>
        <w:t>day following Executive’s Separation from Service, the Company will pay Executive in a lump sum the Severance that Executive would have received on or prior to such date under the standard payroll schedule but for the delay while waiting for the 60</w:t>
      </w:r>
      <w:r>
        <w:rPr>
          <w:rFonts w:ascii="Times New Roman" w:hAnsi="Times New Roman"/>
          <w:color w:val="000000"/>
          <w:sz w:val="16"/>
        </w:rPr>
        <w:t>th</w:t>
      </w:r>
      <w:r>
        <w:rPr>
          <w:color w:val="000000"/>
        </w:rPr>
        <w:t xml:space="preserve"> </w:t>
      </w:r>
      <w:r>
        <w:rPr>
          <w:rFonts w:ascii="Times New Roman" w:hAnsi="Times New Roman"/>
          <w:color w:val="000000"/>
          <w:sz w:val="24"/>
        </w:rPr>
        <w:t>day in compliance with Code Section 409A, with the balance of the Severance being paid as originally scheduled.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the Executive has actually achieved any of the performance goals set by the Board for such calendar year, the Company shall pay Executive a prorated Annual Bonus (calculated as the Annual Bonus that would have been paid for the entire calendar year multiplied by a fraction,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numerator of which is equal to the number of days Executive worked in the applicable calendar year, and the denominator of which is equal to the total number of days in such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color w:val="000000"/>
          <w:sz w:val="24"/>
        </w:rPr>
        <w:t>Provided Executive timely elects continued coverage under COBRA, the Company shall pay Executive’s COBRA premiums to continue Executive’s coverage (including coverage for eligible dependents, if applicable) (“</w:t>
      </w:r>
      <w:r>
        <w:rPr>
          <w:rFonts w:ascii="Times New Roman" w:hAnsi="Times New Roman"/>
          <w:b/>
          <w:i/>
          <w:color w:val="000000"/>
          <w:sz w:val="24"/>
        </w:rPr>
        <w:t>COBRA Premiums</w:t>
      </w:r>
      <w:r>
        <w:rPr>
          <w:color w:val="000000"/>
        </w:rPr>
        <w:t>”</w:t>
      </w:r>
      <w:r>
        <w:rPr>
          <w:rFonts w:ascii="Times New Roman" w:hAnsi="Times New Roman"/>
          <w:color w:val="000000"/>
          <w:sz w:val="24"/>
        </w:rPr>
        <w:t>) through the period (the “</w:t>
      </w:r>
      <w:r>
        <w:rPr>
          <w:rFonts w:ascii="Times New Roman" w:hAnsi="Times New Roman"/>
          <w:b/>
          <w:i/>
          <w:color w:val="000000"/>
          <w:sz w:val="24"/>
        </w:rPr>
        <w:t>COBRA Premium Period</w:t>
      </w:r>
      <w:r>
        <w:rPr>
          <w:color w:val="000000"/>
        </w:rPr>
        <w:t>”</w:t>
      </w:r>
      <w:r>
        <w:rPr>
          <w:rFonts w:ascii="Times New Roman" w:hAnsi="Times New Roman"/>
          <w:color w:val="000000"/>
          <w:sz w:val="24"/>
        </w:rPr>
        <w:t>) starting on Executive’s Separation from Service and ending on the earliest to occur of: (i) twelve (12) months following Executive’s Separation from Service;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 to be eligible for COBRA during the COBRA Premium Period, Executive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Times New Roman" w:hAnsi="Times New Roman"/>
          <w:b/>
          <w:i/>
          <w:color w:val="000000"/>
          <w:sz w:val="24"/>
        </w:rPr>
        <w:t>Special Cash Payment</w:t>
      </w:r>
      <w:r>
        <w:rPr>
          <w:color w:val="000000"/>
        </w:rPr>
        <w:t>”</w:t>
      </w:r>
      <w:r>
        <w:rPr>
          <w:rFonts w:ascii="Times New Roman" w:hAnsi="Times New Roman"/>
          <w:color w:val="000000"/>
          <w:sz w:val="24"/>
        </w:rPr>
        <w:t xml:space="preserve">), for the remainder of the COBRA Premium Period. Executive may, but is not obligated to, use such Special Cash Payments toward the cost of COBRA premiums.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color w:val="000000"/>
          <w:sz w:val="24"/>
        </w:rPr>
        <w:t>Termination for Cause, Death, or Disability</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may terminate Executive’s employment with the Company at any time for Cause. Executive’s employment with the Company may also be terminated due to Executive’s death or disability.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Company terminates Executive’s employment for Cause, or upon Executive’s death or disability, then Executive will no longer vest in any equity interests and all payments of compensation by the Company to Executive hereunder will terminate immediately (except as to amounts already earned). The Company shall thereafter have no further obligations to Executive, except as may otherwise be required by law. Notwithstanding the above, to the extent that the Company’s performance goals set by the Board for such calendar year in which Executive’s employment terminates have been satisfied, the Company shall pay Executive a prorated Annual Bonus (calculated as the Annual Bonus that would have been paid for the entire calendar year multiplied by a fraction, the numerator of which is equal to the number of days Executive worked in the applicable calendar year, and the denominator of which is equal to the total number of days in such year), which shall be payable at the time that bonuses are paid to other executives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5.5</w:t>
      </w:r>
    </w:p>
    <w:p>
      <w:pPr>
        <w:pStyle w:val="TextBody"/>
        <w:bidi w:val="0"/>
        <w:spacing w:before="0" w:after="240"/>
        <w:jc w:val="both"/>
        <w:rPr/>
      </w:pPr>
      <w:r>
        <w:rPr>
          <w:rFonts w:ascii="Times New Roman" w:hAnsi="Times New Roman"/>
          <w:b/>
          <w:color w:val="000000"/>
          <w:sz w:val="24"/>
        </w:rPr>
        <w:t xml:space="preserve">Effect of Termination. </w:t>
      </w:r>
      <w:r>
        <w:rPr>
          <w:rFonts w:ascii="Times New Roman" w:hAnsi="Times New Roman"/>
          <w:color w:val="000000"/>
          <w:sz w:val="24"/>
        </w:rPr>
        <w:t xml:space="preserve">Executive agrees that should Executive’s employment be terminated for any reason, Executive shall be deemed to have resigned from any and all positions, including any director and/or officer positions with the Company and its affiliated entities.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w:t>
      </w:r>
    </w:p>
    <w:p>
      <w:pPr>
        <w:pStyle w:val="TextBody"/>
        <w:bidi w:val="0"/>
        <w:spacing w:before="0" w:after="240"/>
        <w:jc w:val="both"/>
        <w:rPr/>
      </w:pPr>
      <w:r>
        <w:rPr>
          <w:rFonts w:ascii="Times New Roman" w:hAnsi="Times New Roman"/>
          <w:b/>
          <w:color w:val="000000"/>
          <w:sz w:val="24"/>
        </w:rPr>
        <w:t xml:space="preserve">Section 409A Compliance. </w:t>
      </w:r>
      <w:r>
        <w:rPr>
          <w:rFonts w:ascii="Times New Roman" w:hAnsi="Times New Roman"/>
          <w:color w:val="000000"/>
          <w:sz w:val="24"/>
        </w:rPr>
        <w:t>It is intended that any benefits under this Agreement satisfy, to the greatest extent possible, the exemptions from the application of Section 409A of the Internal Revenue Code of 1986, as amended (</w:t>
      </w:r>
      <w:r>
        <w:rPr>
          <w:color w:val="000000"/>
        </w:rPr>
        <w:t>“</w:t>
      </w:r>
      <w:r>
        <w:rPr>
          <w:rFonts w:ascii="Times New Roman" w:hAnsi="Times New Roman"/>
          <w:b/>
          <w:i/>
          <w:color w:val="000000"/>
          <w:sz w:val="24"/>
        </w:rPr>
        <w:t>Section 409A</w:t>
      </w:r>
      <w:r>
        <w:rPr>
          <w:color w:val="000000"/>
        </w:rPr>
        <w:t>”</w:t>
      </w:r>
      <w:r>
        <w:rPr>
          <w:rFonts w:ascii="Times New Roman" w:hAnsi="Times New Roman"/>
          <w:color w:val="000000"/>
          <w:sz w:val="24"/>
        </w:rPr>
        <w:t>), provided under Treasury Regulations Sections 1.409A</w:t>
        <w:noBreakHyphen/>
        <w:t>1(b)(4), and 1.409A</w:t>
        <w:noBreakHyphen/>
        <w:t>1(b)(9), and this Agreement will be construed to the greatest extent possible as consistent with those provisions, and to the extent not so exempt, this Agreement (and any definitions hereunder) will be construed in a manner that complies with Section 409A. For purposes of Section 409A (including, without limitation, for purposes of Treasury Regulations Section 1.409A</w:t>
        <w:noBreakHyphen/>
        <w:t xml:space="preserve">2(b)(2)(iii)), Executive’s right to receive any installment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payments under this Agreement (whether severance payments, if any, or otherwise) shall be treated as a right to receive a series of separate payments and, accordingly, each installment payment hereunder shall at all times be considered a separate and distinct payment. Severance benefits shall not commence until the Executive has a “separation from service” (as defined under Treasury Regulation Section 1.409A-1(h), without regard to any alternative definition thereunder, a “separation from service”). Notwithstanding any provision to the contrary in this Agreement, if Executive is deemed by the Company at the time of termination to be a “specified employee” for purposes of Section 409A(a)(2)(B)(i), and if any of the payments set forth herein are deemed to be “deferred compensation,” then to the extent delayed commencement of any portion of such payments is required in order to avoid a prohibited distribution under Section 409A(a)(2)(B)(i) and the related adverse taxation under Section 409A, such payments shall not be provided prior to the earliest of (i) the expiration of the six-month period measured from the date of termination, (ii) the date of Executive’s death or (iii) such earlier date as permitted under Section 409A without the imposition of adverse taxation. Upon the first business day following the expiration of such period, all payments deferred pursuant to this paragraph shall be paid in a lump sum, and any remaining payments due shall be paid as otherwise provided herein. No interest shall be due on any amounts so deferred. Finally, if the period during which Executive may consider and sign a release in connection with the receipt of severance benefits spans two calendar years, the payment of severance will not be made or begin until the later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5.7</w:t>
      </w:r>
    </w:p>
    <w:p>
      <w:pPr>
        <w:pStyle w:val="TextBody"/>
        <w:bidi w:val="0"/>
        <w:spacing w:before="0" w:after="240"/>
        <w:jc w:val="both"/>
        <w:rPr/>
      </w:pPr>
      <w:r>
        <w:rPr>
          <w:rFonts w:ascii="Times New Roman" w:hAnsi="Times New Roman"/>
          <w:b/>
          <w:color w:val="000000"/>
          <w:sz w:val="24"/>
        </w:rPr>
        <w:t>Release.</w:t>
      </w:r>
      <w:r>
        <w:rPr>
          <w:color w:val="000000"/>
        </w:rPr>
        <w:t xml:space="preserve"> </w:t>
      </w:r>
      <w:r>
        <w:rPr>
          <w:rFonts w:ascii="Times New Roman" w:hAnsi="Times New Roman"/>
          <w:color w:val="000000"/>
          <w:sz w:val="24"/>
        </w:rPr>
        <w:t xml:space="preserve">As a condition precedent to receipt of the benefits set forth in Section 5.3 above or Section 6 below, Executive shall furnish to the Company an executed waiver and release of claims in a form to be provided by the Company, which shall include confidentiality, non-disclosure, and non-disparagement provisions, and may include an obligation for Executive to provide reasonable transition assistance and consulting services to the Company on an as-needed basis through no later than the first anniversary of Executive’s employment termination date (the </w:t>
      </w:r>
      <w:r>
        <w:rPr>
          <w:color w:val="000000"/>
        </w:rPr>
        <w:t>“</w:t>
      </w:r>
      <w:r>
        <w:rPr>
          <w:rFonts w:ascii="Times New Roman" w:hAnsi="Times New Roman"/>
          <w:b/>
          <w:i/>
          <w:color w:val="000000"/>
          <w:sz w:val="24"/>
        </w:rPr>
        <w:t>Release”</w:t>
      </w:r>
      <w:r>
        <w:rPr>
          <w:rFonts w:ascii="Times New Roman" w:hAnsi="Times New Roman"/>
          <w:color w:val="000000"/>
          <w:sz w:val="24"/>
        </w:rPr>
        <w:t>) within the time period specified therein, but in no event later than forty-five (45) days following Executive’s termination. Executive acknowledges and agrees that such transition services shall be fully compensated by the benefits described herein.</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Benefits in Connection with Change of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 xml:space="preserve">Termination of Employment in Connection with a Change of Control. </w:t>
      </w:r>
      <w:r>
        <w:rPr>
          <w:rFonts w:ascii="Times New Roman" w:hAnsi="Times New Roman"/>
          <w:color w:val="000000"/>
          <w:sz w:val="24"/>
        </w:rPr>
        <w:t>If there is a Change of Control (as defined below) and (i) Executive’s employment is terminated Without Cause (as defined below), or (ii) Executive terminates his/her employment with Good Reason (as defined below), in either case within three (3) months prior to, or twelve (12) months following the effective date of the Change of Control, and provided a Release (as discussed in Section 5.7) has become effective, then, in substitution for any benefits provided in Section 5.3, Executive shall be entitled to the following benefits: (A) a lump sum payment equal to the sum of (y) twelve (12) months of Executive’s then-current annual Base Salary and (z) 100% of the current target Annual Bonus, to be made not later than 60 days following Executive’s date of termination; and (B) the amount of any COBRA continuation premium payments made by Executive during the twelve (12) month period following the date of termination, or the period ending when Executive becomes eligible for comparable group medical benefits from another source (whichever comes first). For avoidance of doubt, under no circumstances shall Executive receive benefits under both this Section 6.1 and Section 5.3.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 xml:space="preserve">Acceleration of Options; Change of Control. </w:t>
      </w:r>
      <w:r>
        <w:rPr>
          <w:rFonts w:ascii="Times New Roman" w:hAnsi="Times New Roman"/>
          <w:color w:val="000000"/>
          <w:sz w:val="24"/>
        </w:rPr>
        <w:t xml:space="preserve">If the Company terminates Executive’s employment with the Company without Cause, or Executive resigns for Good Reason, in either case within three (3) months prior to, or twelve (12) months following the closing of a Change of Control (as defined below), then in addition to the benefits set forth in Section 6.1 and pursuant to the terms of Section 5.7, the Company will fully accelerate the vesting of any equity interests granted to Executive, such that 100% of the then-unvested shares subject to such equity interests will be deemed vested and exercisable as of Executive’s last day of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employment.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Definitions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rPr>
        <w:t>Cause.</w:t>
      </w:r>
      <w:r>
        <w:rPr>
          <w:color w:val="000000"/>
        </w:rPr>
        <w:t xml:space="preserve"> </w:t>
      </w:r>
      <w:r>
        <w:rPr>
          <w:rFonts w:ascii="Times New Roman" w:hAnsi="Times New Roman"/>
          <w:color w:val="000000"/>
          <w:sz w:val="24"/>
        </w:rPr>
        <w:t>For purposes of this Agreement, “</w:t>
      </w:r>
      <w:r>
        <w:rPr>
          <w:rFonts w:ascii="Times New Roman" w:hAnsi="Times New Roman"/>
          <w:b/>
          <w:color w:val="000000"/>
          <w:sz w:val="24"/>
        </w:rPr>
        <w:t>Cause</w:t>
      </w:r>
      <w:r>
        <w:rPr>
          <w:color w:val="000000"/>
        </w:rPr>
        <w:t xml:space="preserve">” </w:t>
      </w:r>
      <w:r>
        <w:rPr>
          <w:rFonts w:ascii="Times New Roman" w:hAnsi="Times New Roman"/>
          <w:color w:val="000000"/>
          <w:sz w:val="24"/>
        </w:rPr>
        <w:t>shall mean the occurrence of any of the following: (i) Executive’s conviction of any felony or any crime involving fraud or dishonesty; (ii) Executive’s participation in fraud, act of dishonesty or act of gross misconduct against the Company and/or its Board that results in material financial or reputational harm to the Company; (iii) Executive’s material violation of any statutory or fiduciary duty, or duty of loyalty, owed to the Company; or (iv) Executive’s material violation of material Company policy. Prior to a termination for Cause pursuant to (iv) above, to the extent such event(s) is capable of being cured by Executive and to the extent it is the first such instance giving rise to the notice described herein, (A) the Company shall give the Executive a single notice of such event(s), which notice shall specify in reasonable detail the circumstances constituting Cause, (B) Executive shall have thirty (30) days after the delivery of such notice to cure the event(s) giving rise to Cause, the existence of such cure to be determined by the Board in good faith, provided that the Company reserves the right put Executive on a paid leave of absence during such period and terminate Executive’s access to Company systems and property so long as such measures do not substantially interfere with Executive’s ability to cure the Cause of his termination during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Good Reason.</w:t>
      </w:r>
      <w:r>
        <w:rPr>
          <w:color w:val="000000"/>
        </w:rPr>
        <w:t xml:space="preserve"> </w:t>
      </w:r>
      <w:r>
        <w:rPr>
          <w:rFonts w:ascii="Times New Roman" w:hAnsi="Times New Roman"/>
          <w:color w:val="000000"/>
          <w:sz w:val="24"/>
        </w:rPr>
        <w:t>For purposes of this Agreement, Executive shall have “</w:t>
      </w:r>
      <w:r>
        <w:rPr>
          <w:rFonts w:ascii="Times New Roman" w:hAnsi="Times New Roman"/>
          <w:b/>
          <w:color w:val="000000"/>
          <w:sz w:val="24"/>
        </w:rPr>
        <w:t>Good Reason</w:t>
      </w:r>
      <w:r>
        <w:rPr>
          <w:color w:val="000000"/>
        </w:rPr>
        <w:t xml:space="preserve">” </w:t>
      </w:r>
      <w:r>
        <w:rPr>
          <w:rFonts w:ascii="Times New Roman" w:hAnsi="Times New Roman"/>
          <w:color w:val="000000"/>
          <w:sz w:val="24"/>
        </w:rPr>
        <w:t xml:space="preserve">for resignation from employment with the Company if any of the following actions are taken by the Company without Executive’s prior written consent: (a) a material reduction in Executive’s base salary, which the parties agree is a reduction of at least 10% of Executive’s base salary (unless pursuant to a salary reduction program applicable generally to the Company’s similarly situated employees); or (b) a material reduction in Executive’s duties (including responsibilities and/or authorities); </w:t>
      </w:r>
      <w:r>
        <w:rPr>
          <w:rFonts w:ascii="Times New Roman" w:hAnsi="Times New Roman"/>
          <w:i/>
          <w:color w:val="000000"/>
          <w:sz w:val="24"/>
        </w:rPr>
        <w:t xml:space="preserve">provided, however, </w:t>
      </w:r>
      <w:r>
        <w:rPr>
          <w:rFonts w:ascii="Times New Roman" w:hAnsi="Times New Roman"/>
          <w:color w:val="000000"/>
          <w:sz w:val="24"/>
        </w:rPr>
        <w:t>that a change in job position shall not be deemed a “material reduction” in and of itself unless Executive’s new duties are materially reduced from the prior duties; or (c) relocation of Executive’s principal place of employment to a place that increases Executive’s one-way commute by more than sixty (60) miles as compared to Executive’s then-current principal place of employment immediately prior to such relocation. In order to resign for Good Reason, Executive must provide written notice to the Company’s CEO within 30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rPr>
        <w:t>Change of Control.</w:t>
      </w:r>
      <w:r>
        <w:rPr>
          <w:color w:val="000000"/>
        </w:rPr>
        <w:t xml:space="preserve"> </w:t>
      </w:r>
      <w:r>
        <w:rPr>
          <w:rFonts w:ascii="Times New Roman" w:hAnsi="Times New Roman"/>
          <w:color w:val="000000"/>
          <w:sz w:val="24"/>
        </w:rPr>
        <w:t xml:space="preserve">For purposes of this Agreement, </w:t>
      </w: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 xml:space="preserve">is defined in the Company’s 2018 Equity Incentive Plan.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both"/>
        <w:rPr/>
      </w:pPr>
      <w:r>
        <w:rPr>
          <w:rFonts w:ascii="Times New Roman" w:hAnsi="Times New Roman"/>
          <w:b/>
          <w:color w:val="000000"/>
          <w:sz w:val="24"/>
        </w:rPr>
        <w:t>Parachute Payments</w:t>
      </w:r>
      <w:r>
        <w:rPr>
          <w:rFonts w:ascii="Times New Roman" w:hAnsi="Times New Roman"/>
          <w:color w:val="000000"/>
          <w:sz w:val="24"/>
        </w:rPr>
        <w:t>. If any payment or benefit Executive would receive from the Company or otherwise in connection with a Change of Control or other similar transaction (a “</w:t>
      </w:r>
      <w:r>
        <w:rPr>
          <w:rFonts w:ascii="Times New Roman" w:hAnsi="Times New Roman"/>
          <w:b/>
          <w:i/>
          <w:color w:val="000000"/>
          <w:sz w:val="24"/>
        </w:rPr>
        <w:t>280G Payment</w:t>
      </w:r>
      <w:r>
        <w:rPr>
          <w:color w:val="000000"/>
        </w:rPr>
        <w:t>”</w:t>
      </w:r>
      <w:r>
        <w:rPr>
          <w:rFonts w:ascii="Times New Roman" w:hAnsi="Times New Roman"/>
          <w:color w:val="000000"/>
          <w:sz w:val="24"/>
        </w:rPr>
        <w:t>) would (i) constitute a "parachute payment" within the meaning of Section 280G of the Code, and (ii) but for this sentence, be subject to the excise tax imposed by Section 4999 of the Code (the “</w:t>
      </w:r>
      <w:r>
        <w:rPr>
          <w:rFonts w:ascii="Times New Roman" w:hAnsi="Times New Roman"/>
          <w:b/>
          <w:i/>
          <w:color w:val="000000"/>
          <w:sz w:val="24"/>
        </w:rPr>
        <w:t>Excise Tax</w:t>
      </w:r>
      <w:r>
        <w:rPr>
          <w:color w:val="000000"/>
        </w:rPr>
        <w:t>”</w:t>
      </w:r>
      <w:r>
        <w:rPr>
          <w:rFonts w:ascii="Times New Roman" w:hAnsi="Times New Roman"/>
          <w:color w:val="000000"/>
          <w:sz w:val="24"/>
        </w:rPr>
        <w:t>), then any such 280G Payment (a "</w:t>
      </w:r>
      <w:r>
        <w:rPr>
          <w:rFonts w:ascii="Times New Roman" w:hAnsi="Times New Roman"/>
          <w:b/>
          <w:i/>
          <w:color w:val="000000"/>
          <w:sz w:val="24"/>
        </w:rPr>
        <w:t>Payment</w:t>
      </w:r>
      <w:r>
        <w:rPr>
          <w:rFonts w:ascii="Times New Roman" w:hAnsi="Times New Roman"/>
          <w:color w:val="000000"/>
          <w:sz w:val="24"/>
        </w:rPr>
        <w:t>") shall be equal to the Reduced Amount. The “</w:t>
      </w:r>
      <w:r>
        <w:rPr>
          <w:rFonts w:ascii="Times New Roman" w:hAnsi="Times New Roman"/>
          <w:b/>
          <w:i/>
          <w:color w:val="000000"/>
          <w:sz w:val="24"/>
        </w:rPr>
        <w:t>Reduced Amount</w:t>
      </w:r>
      <w:r>
        <w:rPr>
          <w:color w:val="000000"/>
        </w:rPr>
        <w:t xml:space="preserve">” </w:t>
      </w:r>
      <w:r>
        <w:rPr>
          <w:rFonts w:ascii="Times New Roman" w:hAnsi="Times New Roman"/>
          <w:color w:val="000000"/>
          <w:sz w:val="24"/>
        </w:rPr>
        <w:t xml:space="preserve">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to the preceding sentence and the Reduced Amount is determined pursuant to clause (x) of the preceding sentence, the reduction shall occur in the manner (the “</w:t>
      </w:r>
      <w:r>
        <w:rPr>
          <w:rFonts w:ascii="Times New Roman" w:hAnsi="Times New Roman"/>
          <w:b/>
          <w:i/>
          <w:color w:val="000000"/>
          <w:sz w:val="24"/>
        </w:rPr>
        <w:t>Reduction Method</w:t>
      </w:r>
      <w:r>
        <w:rPr>
          <w:color w:val="000000"/>
        </w:rPr>
        <w:t>”</w:t>
      </w:r>
      <w:r>
        <w:rPr>
          <w:rFonts w:ascii="Times New Roman" w:hAnsi="Times New Roman"/>
          <w:color w:val="000000"/>
          <w:sz w:val="24"/>
        </w:rPr>
        <w:t>) that results in the greatest economic benefit for Executive. If more than one method of reduction will result in the same economic benefit, the items so reduced will be reduced pro rata (the “</w:t>
      </w:r>
      <w:r>
        <w:rPr>
          <w:rFonts w:ascii="Times New Roman" w:hAnsi="Times New Roman"/>
          <w:b/>
          <w:i/>
          <w:color w:val="000000"/>
          <w:sz w:val="24"/>
        </w:rPr>
        <w:t>Pro Rata Reduction Method</w:t>
      </w:r>
      <w:r>
        <w:rPr>
          <w:color w:val="000000"/>
        </w:rPr>
        <w:t>”</w:t>
      </w:r>
      <w:r>
        <w:rPr>
          <w:rFonts w:ascii="Times New Roman" w:hAnsi="Times New Roman"/>
          <w:color w:val="000000"/>
          <w:sz w:val="24"/>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Executive receive a Payment for which the Reduced Amount was determined pursuant to clause (x) of the first paragraph of this Section and the Internal Revenue Service determines thereafter that some portion of the Payment is subject to the Excise Tax, Executive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Executive shall have no obligation to return any portion of the Payment pursuant to the preceding sentence.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in this Section 8, to the extent that Executive agrees, in accordance with Section 280G of the Code, to waive his rights to receive or retain all the payments or benefits from the Company or its subsidiaries contingent on a change in ownership or control of the Company in excess of $1.00 less than the amount at which the Executive becomes subject to the excise tax imposed by Section 4999 of the Code and none of the Company’s stock is readily tradeable on an established securities market or otherwise immediately prior to such change in ownership or control, the Company shall use commercially reasonable efforts to obtain shareholder approval as may be required by the terms of Section 280G(b)(5)(B) of the Code so as to render the parachute payment provisions of Section 280G of the Code inapplicable to any and all accelerated vesting payments, benefits, options and/or shares provided pursuant to agreements, contracts or arrangements covering Executive that might otherwise result, separately or in the aggregate, in the payment of any amount and/or the provision of any benefit that would not be deductible by reason of Section 280G of the Code, with such shareholder vote to be obtained in a manner which satisfies all applicable requirements of Section 280G(b)(5)(B) of the Code and the regulations promulgated thereunder.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9.</w:t>
      </w:r>
    </w:p>
    <w:p>
      <w:pPr>
        <w:pStyle w:val="TextBody"/>
        <w:bidi w:val="0"/>
        <w:spacing w:before="0" w:after="240"/>
        <w:jc w:val="both"/>
        <w:rPr/>
      </w:pPr>
      <w:r>
        <w:rPr>
          <w:rFonts w:ascii="Times New Roman" w:hAnsi="Times New Roman"/>
          <w:b/>
          <w:smallCaps/>
          <w:color w:val="000000"/>
          <w:sz w:val="24"/>
        </w:rPr>
        <w:t>Arbitration</w:t>
      </w:r>
      <w:r>
        <w:rPr>
          <w:rFonts w:ascii="Times New Roman" w:hAnsi="Times New Roman"/>
          <w:color w:val="000000"/>
          <w:sz w:val="24"/>
        </w:rPr>
        <w:t>. 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the CIIAA, or Executive’s employment, or the termination of Executive’s employment, including but not limited to all statutory claims, with the exception of discrimination and harassment claims, will be resolved pursuant to the Federal Arbitration Act, 9 U.S.C. §1-16 (the “</w:t>
      </w:r>
      <w:r>
        <w:rPr>
          <w:rFonts w:ascii="Times New Roman" w:hAnsi="Times New Roman"/>
          <w:b/>
          <w:i/>
          <w:color w:val="000000"/>
          <w:sz w:val="24"/>
        </w:rPr>
        <w:t>FAA</w:t>
      </w:r>
      <w:r>
        <w:rPr>
          <w:color w:val="000000"/>
        </w:rPr>
        <w:t>”</w:t>
      </w:r>
      <w:r>
        <w:rPr>
          <w:rFonts w:ascii="Times New Roman" w:hAnsi="Times New Roman"/>
          <w:color w:val="000000"/>
          <w:sz w:val="24"/>
        </w:rPr>
        <w:t>), and to the fullest extent permitted by law, by final, binding and confidential arbitration by a single arbitrator conducted in New York, New York by Judicial Arbitration and Mediation Services Inc. (“</w:t>
      </w:r>
      <w:r>
        <w:rPr>
          <w:rFonts w:ascii="Times New Roman" w:hAnsi="Times New Roman"/>
          <w:b/>
          <w:i/>
          <w:color w:val="000000"/>
          <w:sz w:val="24"/>
        </w:rPr>
        <w:t>JAMS</w:t>
      </w:r>
      <w:r>
        <w:rPr>
          <w:color w:val="000000"/>
        </w:rPr>
        <w:t>”</w:t>
      </w:r>
      <w:r>
        <w:rPr>
          <w:rFonts w:ascii="Times New Roman" w:hAnsi="Times New Roman"/>
          <w:color w:val="000000"/>
          <w:sz w:val="24"/>
        </w:rPr>
        <w:t xml:space="preserve">) under the then applicable JAMS rules (at the following web address: </w:t>
      </w:r>
      <w:r>
        <w:rPr>
          <w:rFonts w:ascii="Times New Roman" w:hAnsi="Times New Roman"/>
          <w:color w:val="008080"/>
          <w:sz w:val="24"/>
          <w:u w:val="single"/>
        </w:rPr>
        <w:t>https://www.jamsadr.com/rules-employment-arbitration/</w:t>
      </w:r>
      <w:r>
        <w:rPr>
          <w:rFonts w:ascii="Times New Roman" w:hAnsi="Times New Roman"/>
          <w:color w:val="000000"/>
          <w:sz w:val="24"/>
        </w:rPr>
        <w:t xml:space="preserve">); provided, however, this arbitration provision shall not apply to sexual harassment and discrimination claims to the extent prohibited by applicable law that is not preempted by the FAA. A hard copy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of the rules will be provided to Executive upon request. A hard copy of the rules will be provided to Executive upon request. </w:t>
      </w:r>
      <w:r>
        <w:rPr>
          <w:rFonts w:ascii="Times New Roman" w:hAnsi="Times New Roman"/>
          <w:b/>
          <w:color w:val="000000"/>
          <w:sz w:val="24"/>
        </w:rPr>
        <w:t xml:space="preserve">By agreeing to this arbitration procedure, both Executive and the Company waive the right to resolve any such dispute through a trial by jury or judge or administrative proceeding. </w:t>
      </w:r>
      <w:r>
        <w:rPr>
          <w:rFonts w:ascii="Times New Roman" w:hAnsi="Times New Roman"/>
          <w:color w:val="000000"/>
          <w:sz w:val="24"/>
        </w:rPr>
        <w:t>In addition, all claims, 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a federal court in the State of New York. However, procedural questions which grow out of the dispute and bear on the final disposition are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Executive and the Company shall equally share all JAMS’ arbitration fees. To the extent JAMS does not collect or Executive otherwise does not pay to JAMS an equal share of all JAMS’ arbitration fees for any reason, and the Company pays JAMS Executive’s share, Executive acknowledges and agrees that the Company shall be entitled to recover from Executive half of the JAMS arbitration fees invoiced to the parties (less any amounts Executive paid to JAMS) in a federal or state court of competent jurisdiction. Except as modified in the CIIAA,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applicable law prohibits mandatory arbitration of sexual harassment or discrimination claims and is not preempted by the FAA, in the event Executive intends to bring multiple claims, including a sexual harassment or discrimination claim, the sexual harassment and/or discrimination claims may be publicly filed with a court, while any other claims will remain subject to mandatory arbitration.</w:t>
      </w:r>
      <w:r>
        <w:rPr>
          <w:color w:val="000000"/>
        </w:rPr>
        <w:t xml:space="preserv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10.</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 xml:space="preserve">General Provisions.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 xml:space="preserve">Representations and Warranties. </w:t>
      </w:r>
      <w:r>
        <w:rPr>
          <w:rFonts w:ascii="Times New Roman" w:hAnsi="Times New Roman"/>
          <w:color w:val="000000"/>
          <w:sz w:val="24"/>
        </w:rPr>
        <w:t>Executive represents and warrants that Executive’s execution and performance of this Agreement will not violate or breach any other agreements between the Executive and any other person or entity. The CEO represents and warrants that he is authorized to enter into this Agreement by and on the Company’s behalf.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 xml:space="preserve">Advertising Waiver. </w:t>
      </w:r>
      <w:r>
        <w:rPr>
          <w:rFonts w:ascii="Times New Roman" w:hAnsi="Times New Roman"/>
          <w:color w:val="000000"/>
          <w:sz w:val="24"/>
        </w:rPr>
        <w:t>Executive agrees to permit the Company, and persons or other organizations authorized by the Company, to use, publish and distribute advertising or sales promotional literature concerning the products and/or services of the Company in which Executive’s name and/or pictures of Executive appear. Executive hereby waives and releases any claim or right Executive may otherwise have arising out of such use, publication or distribution.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 xml:space="preserve">D&amp;O Insurance. </w:t>
      </w:r>
      <w:r>
        <w:rPr>
          <w:rFonts w:ascii="Times New Roman" w:hAnsi="Times New Roman"/>
          <w:color w:val="000000"/>
          <w:sz w:val="24"/>
        </w:rPr>
        <w:t>Executive shall be entitled to indemnification from the Company pursuant to, and in accordance with the terms of, (i) the Company’s charter and bylaws, to the extent that indemnification of Executive is provided for therein, and (ii) any D&amp;O insurance policy covering Executive purchased by the Company.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Tax Withholding</w:t>
      </w:r>
      <w:r>
        <w:rPr>
          <w:rFonts w:ascii="Times New Roman" w:hAnsi="Times New Roman"/>
          <w:color w:val="000000"/>
          <w:sz w:val="24"/>
        </w:rPr>
        <w:t>. All payments and awards contemplated or made 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This Agreement, along with the CIIAA, constitutes the complete, final and exclusive embodiment of the entire agreement between Executive and the Company with regard to its subject matter. It is entered into without reliance on any promise or representation, written or oral, other than those expressly contained herein, and it supersedes any other such promises, warranties or representations and any prior written agreements, including, but not limited to the Employment Terms Letter executed on December 31, 2020. This Agreement may not be modified or amended except in a writing signed by both Executive and a duly authorized member of the Board. This Agreement will bind the heirs, personal representatives, successors and assigns of both Executive and the Company, and inure to the benefit of both Executive and the Company, and to his and its heirs, successors and assigns. The provisions of this Agreement shall survive the termination of Executive’s employment to the extent necessary to effectuate the post-termination obligations contained herein, including but not limited to the Company’s obligation to make severance payments (if applicable) or provide indemnification and the Executive’s obligations to comply with the CIIAA and any Release.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New York.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executed this Agreement as of the day and year first written above.</w:t>
      </w:r>
    </w:p>
    <w:p>
      <w:pPr>
        <w:pStyle w:val="TextBody"/>
        <w:bidi w:val="0"/>
        <w:spacing w:before="0" w:after="720"/>
        <w:jc w:val="both"/>
        <w:rPr>
          <w:rFonts w:ascii="Times New Roman" w:hAnsi="Times New Roman"/>
          <w:b/>
          <w:smallCaps/>
          <w:color w:val="000000"/>
          <w:sz w:val="24"/>
        </w:rPr>
      </w:pPr>
      <w:r>
        <w:rPr>
          <w:rFonts w:ascii="Times New Roman" w:hAnsi="Times New Roman"/>
          <w:b/>
          <w:smallCaps/>
          <w:color w:val="000000"/>
          <w:sz w:val="24"/>
        </w:rPr>
        <w:t>IN8bio, Inc.</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William Ho </w:t>
      </w:r>
    </w:p>
    <w:p>
      <w:pPr>
        <w:pStyle w:val="TextBody"/>
        <w:bidi w:val="0"/>
        <w:jc w:val="both"/>
        <w:rPr>
          <w:rFonts w:ascii="Times New Roman" w:hAnsi="Times New Roman"/>
          <w:color w:val="000000"/>
          <w:sz w:val="24"/>
        </w:rPr>
      </w:pPr>
      <w:r>
        <w:rPr>
          <w:rFonts w:ascii="Times New Roman" w:hAnsi="Times New Roman"/>
          <w:color w:val="000000"/>
          <w:sz w:val="24"/>
        </w:rPr>
        <w:t>Name: William Ho</w:t>
      </w:r>
    </w:p>
    <w:p>
      <w:pPr>
        <w:pStyle w:val="TextBody"/>
        <w:bidi w:val="0"/>
        <w:jc w:val="both"/>
        <w:rPr>
          <w:rFonts w:ascii="Times New Roman" w:hAnsi="Times New Roman"/>
          <w:color w:val="000000"/>
          <w:sz w:val="24"/>
        </w:rPr>
      </w:pPr>
      <w:r>
        <w:rPr>
          <w:rFonts w:ascii="Times New Roman" w:hAnsi="Times New Roman"/>
          <w:color w:val="000000"/>
          <w:sz w:val="24"/>
        </w:rPr>
        <w:t>Title: President &amp; CEO</w:t>
      </w:r>
    </w:p>
    <w:p>
      <w:pPr>
        <w:pStyle w:val="TextBody"/>
        <w:bidi w:val="0"/>
        <w:jc w:val="both"/>
        <w:rPr>
          <w:rFonts w:ascii="Times New Roman" w:hAnsi="Times New Roman"/>
          <w:color w:val="000000"/>
          <w:sz w:val="24"/>
        </w:rPr>
      </w:pPr>
      <w:r>
        <w:rPr>
          <w:rFonts w:ascii="Times New Roman" w:hAnsi="Times New Roman"/>
          <w:color w:val="000000"/>
          <w:sz w:val="24"/>
        </w:rPr>
        <w:t>Accepted and agreed: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Kate M. Rochlin </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Kate M. Rochlin, PhD</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Permitted Non-Company Positions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Chair Cornell Alumni Advisory Counsel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Mentor, Cornell BioVenture E- Lab</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Solution Lab, Board member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Weill Cornell Medicine Board of Fellow Committee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Volunteer WASCAH (West Side Campaign Aginst Hunger)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smallCaps/>
          <w:color w:val="000000"/>
          <w:sz w:val="22"/>
        </w:rPr>
      </w:pPr>
      <w:bookmarkStart w:id="53" w:name="inab-ex19_1.htm"/>
      <w:bookmarkStart w:id="54" w:name="ksinabex19_1"/>
      <w:bookmarkEnd w:id="53"/>
      <w:bookmarkEnd w:id="54"/>
      <w:r>
        <w:rPr>
          <w:rFonts w:ascii="Times New Roman" w:hAnsi="Times New Roman"/>
          <w:b/>
          <w:smallCaps/>
          <w:color w:val="000000"/>
          <w:sz w:val="22"/>
        </w:rPr>
        <w:t>IN8BIO, Inc.</w:t>
      </w:r>
      <w:r>
        <w:br w:type="page"/>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Insider Trading Policy</w:t>
      </w:r>
    </w:p>
    <w:p>
      <w:pPr>
        <w:pStyle w:val="TextBody"/>
        <w:pBdr>
          <w:bottom w:val="single" w:sz="4" w:space="1" w:color="000000"/>
        </w:pBdr>
        <w:bidi w:val="0"/>
        <w:jc w:val="center"/>
        <w:rPr/>
      </w:pPr>
      <w:r>
        <w:rPr/>
        <w:t> </w:t>
      </w:r>
    </w:p>
    <w:p>
      <w:pPr>
        <w:pStyle w:val="TextBody"/>
        <w:bidi w:val="0"/>
        <w:spacing w:before="120" w:after="240"/>
        <w:jc w:val="both"/>
        <w:rPr>
          <w:rFonts w:ascii="Times New Roman" w:hAnsi="Times New Roman"/>
          <w:b/>
          <w:smallCaps/>
          <w:color w:val="000000"/>
          <w:sz w:val="22"/>
        </w:rPr>
      </w:pPr>
      <w:r>
        <w:rPr>
          <w:rFonts w:ascii="Times New Roman" w:hAnsi="Times New Roman"/>
          <w:b/>
          <w:smallCaps/>
          <w:color w:val="000000"/>
          <w:sz w:val="22"/>
        </w:rPr>
        <w:t>Policy Principles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Employees, directors, other applicable members of management and designated consultants (each a “</w:t>
      </w:r>
      <w:r>
        <w:rPr>
          <w:rFonts w:ascii="Times New Roman" w:hAnsi="Times New Roman"/>
          <w:b/>
          <w:i/>
          <w:color w:val="000000"/>
          <w:sz w:val="22"/>
        </w:rPr>
        <w:t>Covered Person</w:t>
      </w:r>
      <w:r>
        <w:rPr>
          <w:rFonts w:ascii="Times New Roman" w:hAnsi="Times New Roman"/>
          <w:color w:val="000000"/>
          <w:sz w:val="22"/>
        </w:rPr>
        <w:t>,” and collectively, “</w:t>
      </w:r>
      <w:r>
        <w:rPr>
          <w:rFonts w:ascii="Times New Roman" w:hAnsi="Times New Roman"/>
          <w:b/>
          <w:i/>
          <w:color w:val="000000"/>
          <w:sz w:val="22"/>
        </w:rPr>
        <w:t>Covered Persons</w:t>
      </w:r>
      <w:r>
        <w:rPr>
          <w:color w:val="000000"/>
        </w:rPr>
        <w:t>”</w:t>
      </w:r>
      <w:r>
        <w:rPr>
          <w:rFonts w:ascii="Times New Roman" w:hAnsi="Times New Roman"/>
          <w:color w:val="000000"/>
          <w:sz w:val="22"/>
        </w:rPr>
        <w:t>) of IN8bio, Inc. and its subsidiaries (together, the “</w:t>
      </w:r>
      <w:r>
        <w:rPr>
          <w:rFonts w:ascii="Times New Roman" w:hAnsi="Times New Roman"/>
          <w:b/>
          <w:i/>
          <w:color w:val="000000"/>
          <w:sz w:val="22"/>
        </w:rPr>
        <w:t>Company</w:t>
      </w:r>
      <w:r>
        <w:rPr>
          <w:color w:val="000000"/>
        </w:rPr>
        <w:t>”</w:t>
      </w:r>
      <w:r>
        <w:rPr>
          <w:rFonts w:ascii="Times New Roman" w:hAnsi="Times New Roman"/>
          <w:color w:val="000000"/>
          <w:sz w:val="22"/>
        </w:rPr>
        <w:t xml:space="preserve">) are responsible for understanding the obligations that come with having access to material nonpublic information and wanting to transact in the Company’s securities.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Covered Persons who are aware of material nonpublic information relating to the Company may not engage in transactions in the Company’s securities except as permitted by this Insider Trading Policy (this “</w:t>
      </w:r>
      <w:r>
        <w:rPr>
          <w:rFonts w:ascii="Times New Roman" w:hAnsi="Times New Roman"/>
          <w:b/>
          <w:i/>
          <w:color w:val="000000"/>
          <w:sz w:val="22"/>
        </w:rPr>
        <w:t>Policy</w:t>
      </w:r>
      <w:r>
        <w:rPr>
          <w:color w:val="000000"/>
        </w:rPr>
        <w:t>”</w:t>
      </w:r>
      <w:r>
        <w:rPr>
          <w:rFonts w:ascii="Times New Roman" w:hAnsi="Times New Roman"/>
          <w:color w:val="000000"/>
          <w:sz w:val="22"/>
        </w:rPr>
        <w:t>) and applicable law.</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Covered Persons may not disclose material nonpublic information outside of the Company unless the disclosure is made in accordance with a specific Company policy that authorizes such disclosure.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Covered Persons may not disclose material nonpublic information to persons within the Company whose jobs do not require them to have that information.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Covered Persons may not recommend the purchase or sale of any Company’s securities.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Changes to this Policy require approval by the Company’s Board of Directors (the “</w:t>
      </w:r>
      <w:r>
        <w:rPr>
          <w:rFonts w:ascii="Times New Roman" w:hAnsi="Times New Roman"/>
          <w:b/>
          <w:i/>
          <w:color w:val="000000"/>
          <w:sz w:val="22"/>
        </w:rPr>
        <w:t>Board</w:t>
      </w:r>
      <w:r>
        <w:rPr>
          <w:color w:val="000000"/>
        </w:rPr>
        <w:t>”</w:t>
      </w:r>
      <w:r>
        <w:rPr>
          <w:rFonts w:ascii="Times New Roman" w:hAnsi="Times New Roman"/>
          <w:color w:val="000000"/>
          <w:sz w:val="22"/>
        </w:rPr>
        <w:t>) or a duly appointed committee of the Board.</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Policy Q&amp;A</w:t>
      </w:r>
    </w:p>
    <w:p>
      <w:pPr>
        <w:pStyle w:val="TextBody"/>
        <w:bidi w:val="0"/>
        <w:spacing w:before="0" w:after="240"/>
        <w:jc w:val="both"/>
        <w:rPr>
          <w:rFonts w:ascii="Times New Roman" w:hAnsi="Times New Roman"/>
          <w:sz w:val="20"/>
        </w:rPr>
      </w:pPr>
      <w:r>
        <w:rPr>
          <w:rFonts w:ascii="Times New Roman" w:hAnsi="Times New Roman"/>
          <w:b/>
          <w:color w:val="000000"/>
          <w:sz w:val="22"/>
        </w:rPr>
        <w:t>Policy Scope and Purpose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Why do we have an insider trading policy?</w:t>
      </w:r>
    </w:p>
    <w:p>
      <w:pPr>
        <w:pStyle w:val="TextBody"/>
        <w:bidi w:val="0"/>
        <w:spacing w:before="0" w:after="240"/>
        <w:jc w:val="both"/>
        <w:rPr>
          <w:rFonts w:ascii="Times New Roman" w:hAnsi="Times New Roman"/>
          <w:sz w:val="20"/>
        </w:rPr>
      </w:pPr>
      <w:r>
        <w:rPr>
          <w:rFonts w:ascii="Times New Roman" w:hAnsi="Times New Roman"/>
          <w:color w:val="000000"/>
          <w:sz w:val="22"/>
        </w:rPr>
        <w:t>A: During the course of your relationship with the Company, you may receive material information that is not yet publicly available (“</w:t>
      </w:r>
      <w:r>
        <w:rPr>
          <w:rFonts w:ascii="Times New Roman" w:hAnsi="Times New Roman"/>
          <w:b/>
          <w:i/>
          <w:color w:val="000000"/>
          <w:sz w:val="22"/>
        </w:rPr>
        <w:t>material nonpublic information</w:t>
      </w:r>
      <w:r>
        <w:rPr>
          <w:rFonts w:ascii="Times New Roman" w:hAnsi="Times New Roman"/>
          <w:color w:val="000000"/>
          <w:sz w:val="20"/>
        </w:rPr>
        <w:t>”</w:t>
      </w:r>
      <w:r>
        <w:rPr>
          <w:rFonts w:ascii="Times New Roman" w:hAnsi="Times New Roman"/>
          <w:color w:val="000000"/>
          <w:sz w:val="22"/>
        </w:rPr>
        <w:t>) about the Company or other publicly traded companies with which the Company has business relationships. Material nonpublic information may give you, or someone to whom you pass that information, a leg up over others when deciding whether to buy, sell or otherwise transact in the Company’s securities or the securities of another publicly traded company. This Policy sets forth guidelines with respect to transactions in Company securities by persons subject to this Policy.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 is subject to this Policy?</w:t>
      </w:r>
    </w:p>
    <w:p>
      <w:pPr>
        <w:pStyle w:val="TextBody"/>
        <w:bidi w:val="0"/>
        <w:spacing w:before="0" w:after="240"/>
        <w:jc w:val="both"/>
        <w:rPr>
          <w:rFonts w:ascii="Times New Roman" w:hAnsi="Times New Roman"/>
          <w:sz w:val="20"/>
        </w:rPr>
      </w:pPr>
      <w:r>
        <w:rPr>
          <w:rFonts w:ascii="Times New Roman" w:hAnsi="Times New Roman"/>
          <w:color w:val="000000"/>
          <w:sz w:val="22"/>
        </w:rPr>
        <w:t>A: This Policy applies to you and all other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 investment fund, if you influence, direct, or control transactions by the fund). However, this Policy does not apply to any entity that invests in securities in the ordinary course of its business (e.g., a venture or other investment fund) if (and only if) such entity has established its own insider trading</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rPr>
        <w:t>controls and procedures in compliance with applicable securities laws with respect to trading in the Company’s securities. The foregoing persons who are deemed subject to this Policy are referred to in this Policy as “</w:t>
      </w:r>
      <w:r>
        <w:rPr>
          <w:rFonts w:ascii="Times New Roman" w:hAnsi="Times New Roman"/>
          <w:b/>
          <w:i/>
          <w:color w:val="000000"/>
          <w:sz w:val="22"/>
        </w:rPr>
        <w:t>Related Persons</w:t>
      </w:r>
      <w:r>
        <w:rPr>
          <w:rFonts w:ascii="Times New Roman" w:hAnsi="Times New Roman"/>
          <w:color w:val="000000"/>
          <w:sz w:val="22"/>
        </w:rPr>
        <w:t>.” You are responsible for making sure that your Related Persons comply with this Policy.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addition, if you are an officer or director of the Company, or an employee or designated consultant of the Company described on </w:t>
      </w:r>
      <w:r>
        <w:rPr>
          <w:rFonts w:ascii="Times New Roman" w:hAnsi="Times New Roman"/>
          <w:b/>
          <w:color w:val="000000"/>
          <w:sz w:val="22"/>
        </w:rPr>
        <w:t>Appendix 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i/>
          <w:color w:val="000000"/>
          <w:sz w:val="22"/>
        </w:rPr>
        <w:t>Specified Persons</w:t>
      </w:r>
      <w:r>
        <w:rPr>
          <w:rFonts w:ascii="Times New Roman" w:hAnsi="Times New Roman"/>
          <w:color w:val="000000"/>
          <w:sz w:val="20"/>
        </w:rPr>
        <w:t>”</w:t>
      </w:r>
      <w:r>
        <w:rPr>
          <w:rFonts w:ascii="Times New Roman" w:hAnsi="Times New Roman"/>
          <w:color w:val="000000"/>
          <w:sz w:val="22"/>
        </w:rPr>
        <w:t>), you and your Related Persons are subject to the quarterly trading blackout periods described below.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Whose responsibility is it to comply with this Policy?</w:t>
      </w:r>
    </w:p>
    <w:p>
      <w:pPr>
        <w:pStyle w:val="TextBody"/>
        <w:bidi w:val="0"/>
        <w:spacing w:before="0" w:after="240"/>
        <w:jc w:val="both"/>
        <w:rPr>
          <w:rFonts w:ascii="Times New Roman" w:hAnsi="Times New Roman"/>
          <w:sz w:val="20"/>
        </w:rPr>
      </w:pPr>
      <w:r>
        <w:rPr>
          <w:rFonts w:ascii="Times New Roman" w:hAnsi="Times New Roman"/>
          <w:color w:val="000000"/>
          <w:sz w:val="22"/>
        </w:rPr>
        <w:t>A: Covered 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transactions are subject to this Policy?</w:t>
      </w:r>
    </w:p>
    <w:p>
      <w:pPr>
        <w:pStyle w:val="TextBody"/>
        <w:bidi w:val="0"/>
        <w:spacing w:before="0" w:after="240"/>
        <w:jc w:val="both"/>
        <w:rPr>
          <w:rFonts w:ascii="Times New Roman" w:hAnsi="Times New Roman"/>
          <w:sz w:val="20"/>
        </w:rPr>
      </w:pPr>
      <w:r>
        <w:rPr>
          <w:rFonts w:ascii="Times New Roman" w:hAnsi="Times New Roman"/>
          <w:smallCaps/>
          <w:color w:val="000000"/>
          <w:sz w:val="22"/>
        </w:rPr>
        <w:t>A:</w:t>
      </w:r>
      <w:r>
        <w:rPr>
          <w:rFonts w:ascii="Times New Roman" w:hAnsi="Times New Roman"/>
          <w:smallCaps/>
          <w:color w:val="000000"/>
          <w:sz w:val="20"/>
        </w:rPr>
        <w:t xml:space="preserve"> </w:t>
      </w:r>
      <w:r>
        <w:rPr>
          <w:rFonts w:ascii="Times New Roman" w:hAnsi="Times New Roman"/>
          <w:color w:val="000000"/>
          <w:sz w:val="22"/>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hAnsi="Times New Roman"/>
          <w:b/>
          <w:i/>
          <w:color w:val="000000"/>
          <w:sz w:val="22"/>
        </w:rPr>
        <w:t>trade</w:t>
      </w:r>
      <w:r>
        <w:rPr>
          <w:rFonts w:ascii="Times New Roman" w:hAnsi="Times New Roman"/>
          <w:color w:val="000000"/>
          <w:sz w:val="22"/>
        </w:rPr>
        <w:t>,” “</w:t>
      </w:r>
      <w:r>
        <w:rPr>
          <w:rFonts w:ascii="Times New Roman" w:hAnsi="Times New Roman"/>
          <w:b/>
          <w:i/>
          <w:color w:val="000000"/>
          <w:sz w:val="22"/>
        </w:rPr>
        <w:t>trading</w:t>
      </w:r>
      <w:r>
        <w:rPr>
          <w:rFonts w:ascii="Times New Roman" w:hAnsi="Times New Roman"/>
          <w:color w:val="000000"/>
          <w:sz w:val="22"/>
        </w:rPr>
        <w:t>,” and “</w:t>
      </w:r>
      <w:r>
        <w:rPr>
          <w:rFonts w:ascii="Times New Roman" w:hAnsi="Times New Roman"/>
          <w:b/>
          <w:i/>
          <w:color w:val="000000"/>
          <w:sz w:val="22"/>
        </w:rPr>
        <w:t>transactions</w:t>
      </w:r>
      <w:r>
        <w:rPr>
          <w:rFonts w:ascii="Times New Roman" w:hAnsi="Times New Roman"/>
          <w:color w:val="000000"/>
          <w:sz w:val="20"/>
        </w:rPr>
        <w:t xml:space="preserve">” </w:t>
      </w:r>
      <w:r>
        <w:rPr>
          <w:rFonts w:ascii="Times New Roman" w:hAnsi="Times New Roman"/>
          <w:color w:val="000000"/>
          <w:sz w:val="22"/>
        </w:rPr>
        <w:t>include not only purchases and sales of the Company’s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Insider Trading and Material Nonpublic Information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insider trading?</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the Company or another publicly traded company that the Company has business relationships with and you trade in the Company’s or such other company’s securities, you have broken the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Why is insider trading illegal?</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If company insiders are able to use their confidential knowledge to their financial advantage, other investors would not have confidence in the fairness and integrity of the market. This ensures that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is an even playing field by requiring those who are aware of material nonpublic information to refrain from trading.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material information?</w:t>
      </w:r>
    </w:p>
    <w:p>
      <w:pPr>
        <w:pStyle w:val="TextBody"/>
        <w:bidi w:val="0"/>
        <w:spacing w:before="0" w:after="240"/>
        <w:jc w:val="both"/>
        <w:rPr>
          <w:rFonts w:ascii="Times New Roman" w:hAnsi="Times New Roman"/>
          <w:sz w:val="20"/>
        </w:rPr>
      </w:pPr>
      <w:r>
        <w:rPr>
          <w:rFonts w:ascii="Times New Roman" w:hAnsi="Times New Roman"/>
          <w:color w:val="000000"/>
          <w:sz w:val="22"/>
        </w:rPr>
        <w:t>A: 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examples of material information?</w:t>
      </w:r>
    </w:p>
    <w:p>
      <w:pPr>
        <w:pStyle w:val="TextBody"/>
        <w:bidi w:val="0"/>
        <w:spacing w:before="0" w:after="240"/>
        <w:jc w:val="both"/>
        <w:rPr>
          <w:rFonts w:ascii="Times New Roman" w:hAnsi="Times New Roman"/>
          <w:sz w:val="20"/>
        </w:rPr>
      </w:pPr>
      <w:r>
        <w:rPr>
          <w:rFonts w:ascii="Times New Roman" w:hAnsi="Times New Roman"/>
          <w:color w:val="000000"/>
          <w:sz w:val="22"/>
        </w:rPr>
        <w:t>A: 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financial results or forecasts;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acquisitions, dispositions or other strategic transactions;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events regarding the Company’s securities (e.g., repurchase plans, stock splits, public or private equity or debt offerings, or changes in the Company’s dividend policies or amounts);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major contracts or contract cancellations;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gain or loss of a significant customer;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pricing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new product releases;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significant product problems or security incidents;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top management or control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financial restatements or significant writeoffs;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employee layoffs;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a disruption in the Company’s operations or breach or unauthorized access of its property or assets, including its facilities or information technology infrastructure;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proxy fights;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rPr>
        <w:t>actual or threatened major litigation, U.S. Securities and Exchange Commission (“</w:t>
      </w:r>
      <w:r>
        <w:rPr>
          <w:rFonts w:ascii="Times New Roman" w:hAnsi="Times New Roman"/>
          <w:b/>
          <w:i/>
          <w:color w:val="000000"/>
          <w:sz w:val="22"/>
        </w:rPr>
        <w:t>SEC</w:t>
      </w:r>
      <w:r>
        <w:rPr>
          <w:color w:val="000000"/>
        </w:rPr>
        <w:t>”</w:t>
      </w:r>
      <w:r>
        <w:rPr>
          <w:rFonts w:ascii="Times New Roman" w:hAnsi="Times New Roman"/>
          <w:color w:val="000000"/>
          <w:sz w:val="22"/>
        </w:rPr>
        <w:t xml:space="preserve">) or other investigations, or a major development in or the resolution of any such litigation or investigation;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impending bankruptcy;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communications with government agencies; and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notice of issuance of patents.</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When is information considered public?</w:t>
      </w:r>
    </w:p>
    <w:p>
      <w:pPr>
        <w:pStyle w:val="TextBody"/>
        <w:bidi w:val="0"/>
        <w:spacing w:before="0" w:after="240"/>
        <w:jc w:val="both"/>
        <w:rPr>
          <w:rFonts w:ascii="Times New Roman" w:hAnsi="Times New Roman"/>
          <w:sz w:val="20"/>
        </w:rPr>
      </w:pPr>
      <w:r>
        <w:rPr>
          <w:rFonts w:ascii="Times New Roman" w:hAnsi="Times New Roman"/>
          <w:color w:val="000000"/>
          <w:sz w:val="22"/>
        </w:rPr>
        <w:t>A: 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 can be guilty of insider trading?</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if I am aware of material nonpublic information when I trade, but the reason I trade is because of something else, like to pay medical bills?</w:t>
      </w:r>
    </w:p>
    <w:p>
      <w:pPr>
        <w:pStyle w:val="TextBody"/>
        <w:bidi w:val="0"/>
        <w:spacing w:before="0" w:after="240"/>
        <w:jc w:val="both"/>
        <w:rPr>
          <w:rFonts w:ascii="Times New Roman" w:hAnsi="Times New Roman"/>
          <w:sz w:val="20"/>
        </w:rPr>
      </w:pPr>
      <w:r>
        <w:rPr>
          <w:rFonts w:ascii="Times New Roman" w:hAnsi="Times New Roman"/>
          <w:color w:val="000000"/>
          <w:sz w:val="22"/>
        </w:rPr>
        <w:t>A: 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Do the U.S. securities laws take into account mitigating circumstance, like avoiding a loss or planning a transaction before I had material nonpublic information?</w:t>
      </w:r>
    </w:p>
    <w:p>
      <w:pPr>
        <w:pStyle w:val="TextBody"/>
        <w:bidi w:val="0"/>
        <w:spacing w:before="0" w:after="240"/>
        <w:jc w:val="both"/>
        <w:rPr>
          <w:rFonts w:ascii="Times New Roman" w:hAnsi="Times New Roman"/>
          <w:sz w:val="20"/>
        </w:rPr>
      </w:pPr>
      <w:r>
        <w:rPr>
          <w:rFonts w:ascii="Times New Roman" w:hAnsi="Times New Roman"/>
          <w:color w:val="000000"/>
          <w:sz w:val="22"/>
        </w:rPr>
        <w:t>A: 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if I don’t buy or sell anything, but I tell someone else material nonpublic information and he or she buys or sells?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You can be held liable for your own transactions, as well as the transactions by a tippee and even the transactions of a tippee’s tippee. </w:t>
      </w:r>
      <w:r>
        <w:rPr>
          <w:rFonts w:ascii="Times New Roman" w:hAnsi="Times New Roman"/>
          <w:b/>
          <w:i/>
          <w:color w:val="000000"/>
          <w:sz w:val="22"/>
        </w:rPr>
        <w:t>For these and other reasons, no employee, director or consultant of the Company (or any other person subject to this 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pStyle w:val="TextBody"/>
        <w:bidi w:val="0"/>
        <w:spacing w:before="0" w:after="240"/>
        <w:jc w:val="both"/>
        <w:rPr>
          <w:rFonts w:ascii="Times New Roman" w:hAnsi="Times New Roman"/>
          <w:sz w:val="20"/>
        </w:rPr>
      </w:pPr>
      <w:r>
        <w:rPr>
          <w:rFonts w:ascii="Times New Roman" w:hAnsi="Times New Roman"/>
          <w:b/>
          <w:color w:val="000000"/>
          <w:sz w:val="22"/>
        </w:rPr>
        <w:t>Q: What if I don’t tell someone inside information itself; I just tell him or her whether to buy or sell?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That is still tipping, and you can still be responsible for insider trading. You may never recommend to another person that they buy, hold or sell the Company’s common stock or any derivative security related to the Company’s common stock, since that could be a form of tipping.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Does this Policy or the insider trading laws apply to me if I work outside the U.S.?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Yes.</w:t>
      </w:r>
      <w:r>
        <w:rPr>
          <w:rFonts w:ascii="Times New Roman" w:hAnsi="Times New Roman"/>
          <w:color w:val="000000"/>
          <w:sz w:val="20"/>
        </w:rPr>
        <w:t xml:space="preserve"> </w:t>
      </w:r>
      <w:r>
        <w:rPr>
          <w:rFonts w:ascii="Times New Roman" w:hAnsi="Times New Roman"/>
          <w:color w:val="000000"/>
          <w:sz w:val="22"/>
        </w:rPr>
        <w:t>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director, employee or consultant of the Company, our policies apply to you no matter where you work.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Am I restricted from trading securities of any companies other than the Company, for example a customer or competitor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So when can I buy or sell my Company securities?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If you are aware of material nonpublic information, you may not buy or sell common stock of the Company until two (2) full trading days have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Friday; if we announce material nonpublic information after trading ends on Wednesday, then you may execute a transaction in securities of the Company on Monday. </w:t>
      </w:r>
      <w:r>
        <w:rPr>
          <w:rFonts w:ascii="Times New Roman" w:hAnsi="Times New Roman"/>
          <w:b/>
          <w:color w:val="000000"/>
          <w:sz w:val="22"/>
        </w:rPr>
        <w:t>As discussed further below, even if you are not aware of any material nonpublic information, you may not trade common stock of the Company during any trading “blackout” period that applies to you</w:t>
      </w:r>
      <w:r>
        <w:rPr>
          <w:rFonts w:ascii="Times New Roman" w:hAnsi="Times New Roman"/>
          <w:color w:val="000000"/>
          <w:sz w:val="22"/>
        </w:rPr>
        <w:t>. This Policy describes the quarterly trading blackout period, and additional event-driven trading blackout periods (which may apply to you even if the quarterly trading blackout periods do not) may be announced by email.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Blackout Periods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a quarterly trading blackout period?</w:t>
      </w:r>
    </w:p>
    <w:p>
      <w:pPr>
        <w:pStyle w:val="TextBody"/>
        <w:bidi w:val="0"/>
        <w:spacing w:before="0" w:after="240"/>
        <w:jc w:val="both"/>
        <w:rPr>
          <w:rFonts w:ascii="Times New Roman" w:hAnsi="Times New Roman"/>
          <w:sz w:val="20"/>
        </w:rPr>
      </w:pPr>
      <w:r>
        <w:rPr>
          <w:rFonts w:ascii="Times New Roman" w:hAnsi="Times New Roman"/>
          <w:smallCaps/>
          <w:color w:val="000000"/>
          <w:sz w:val="22"/>
        </w:rPr>
        <w:t>A:</w:t>
      </w:r>
      <w:r>
        <w:rPr>
          <w:rFonts w:ascii="Times New Roman" w:hAnsi="Times New Roman"/>
          <w:smallCaps/>
          <w:color w:val="000000"/>
          <w:sz w:val="20"/>
        </w:rPr>
        <w:t xml:space="preserve"> </w:t>
      </w:r>
      <w:r>
        <w:rPr>
          <w:rFonts w:ascii="Times New Roman" w:hAnsi="Times New Roman"/>
          <w:color w:val="000000"/>
          <w:sz w:val="22"/>
        </w:rPr>
        <w:t xml:space="preserve">To minimize the appearance of insider trading by the Company’s officers, directors, Specified Persons, and their Related Persons, we have established “quarterly trading blackout periods” during which they—regardless of whether they are aware of material nonpublic information or not—may not conduct any trades in Company securities. That means that, except as described in this Policy, all officers, directors, Specified Personnel, and their Related Persons will be able to trade in Company securities </w:t>
      </w:r>
      <w:r>
        <w:rPr>
          <w:rFonts w:ascii="Times New Roman" w:hAnsi="Times New Roman"/>
          <w:color w:val="000000"/>
          <w:sz w:val="22"/>
          <w:u w:val="single"/>
        </w:rPr>
        <w:t>only</w:t>
      </w:r>
      <w:r>
        <w:rPr>
          <w:rFonts w:ascii="Times New Roman" w:hAnsi="Times New Roman"/>
          <w:color w:val="000000"/>
          <w:sz w:val="20"/>
        </w:rPr>
        <w:t xml:space="preserve"> </w:t>
      </w:r>
      <w:r>
        <w:rPr>
          <w:rFonts w:ascii="Times New Roman" w:hAnsi="Times New Roman"/>
          <w:color w:val="000000"/>
          <w:sz w:val="22"/>
        </w:rPr>
        <w:t>during limited open trading window periods that generally will begin after two (2) full trading days have has elapsed since the public dissemination of the Company’s annual or quarterly financial results and end at the beginning of the next quarterly trading blackout period. Of course, even during an open trading window period, you may not (unless an exception applies) conduct any trades in Company securities if you are otherwise in possession of material nonpublic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the Company’s quarterly trading blackout periods?</w:t>
      </w:r>
    </w:p>
    <w:p>
      <w:pPr>
        <w:pStyle w:val="TextBody"/>
        <w:bidi w:val="0"/>
        <w:spacing w:before="0" w:after="240"/>
        <w:jc w:val="both"/>
        <w:rPr>
          <w:rFonts w:ascii="Times New Roman" w:hAnsi="Times New Roman"/>
          <w:sz w:val="20"/>
        </w:rPr>
      </w:pPr>
      <w:r>
        <w:rPr>
          <w:rFonts w:ascii="Times New Roman" w:hAnsi="Times New Roman"/>
          <w:color w:val="000000"/>
          <w:sz w:val="22"/>
        </w:rPr>
        <w:t>A: Each “</w:t>
      </w:r>
      <w:r>
        <w:rPr>
          <w:rFonts w:ascii="Times New Roman" w:hAnsi="Times New Roman"/>
          <w:b/>
          <w:i/>
          <w:color w:val="000000"/>
          <w:sz w:val="22"/>
        </w:rPr>
        <w:t>quarterly trading blackout period</w:t>
      </w:r>
      <w:r>
        <w:rPr>
          <w:rFonts w:ascii="Times New Roman" w:hAnsi="Times New Roman"/>
          <w:color w:val="000000"/>
          <w:sz w:val="20"/>
        </w:rPr>
        <w:t xml:space="preserve">” </w:t>
      </w:r>
      <w:r>
        <w:rPr>
          <w:rFonts w:ascii="Times New Roman" w:hAnsi="Times New Roman"/>
          <w:color w:val="000000"/>
          <w:sz w:val="22"/>
        </w:rPr>
        <w:t>will generally begin at the end of the day that is the 15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the third month of each fiscal quarter and end after two (2) full trading days have elapsed since the public dissemination of the Company’s financial results for that quarter.</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the Company’s quarterly trading blackout periods change?</w:t>
      </w:r>
    </w:p>
    <w:p>
      <w:pPr>
        <w:pStyle w:val="TextBody"/>
        <w:bidi w:val="0"/>
        <w:spacing w:before="0" w:after="240"/>
        <w:jc w:val="both"/>
        <w:rPr>
          <w:rFonts w:ascii="Times New Roman" w:hAnsi="Times New Roman"/>
          <w:sz w:val="20"/>
        </w:rPr>
      </w:pPr>
      <w:r>
        <w:rPr>
          <w:rFonts w:ascii="Times New Roman" w:hAnsi="Times New Roman"/>
          <w:color w:val="000000"/>
          <w:sz w:val="22"/>
        </w:rPr>
        <w:t>A. The quarterly trading blackout period may commence early or may be extended if, in the judgment of the Chief Executive Officer, Chief Financial Officer or General Counsel, there exists undisclosed information that would make trades by Company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Does the Company have blackout periods other than quarterly trading blackout periods?</w:t>
      </w:r>
    </w:p>
    <w:p>
      <w:pPr>
        <w:pStyle w:val="TextBody"/>
        <w:bidi w:val="0"/>
        <w:spacing w:before="0" w:after="240"/>
        <w:jc w:val="both"/>
        <w:rPr>
          <w:rFonts w:ascii="Times New Roman" w:hAnsi="Times New Roman"/>
          <w:sz w:val="20"/>
        </w:rPr>
      </w:pPr>
      <w:r>
        <w:rPr>
          <w:rFonts w:ascii="Times New Roman" w:hAnsi="Times New Roman"/>
          <w:color w:val="000000"/>
          <w:sz w:val="22"/>
        </w:rPr>
        <w:t>A: Yes. From time to time, an event may occur that is material to the Company and is known by only a few officers, directors and/or employees. So long as the event remains material and nonpublic, the persons designated by the Chief Executive Officer, Chief Financial Officer or General Counsel may not trade in the Company’s securities. In that situation, the Company will notify the designated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6</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rPr>
        <w:t>individuals that neither they nor their Related Persons may trade in the Company’s securities. The existence of an event-specific trading blackout should also be considered material nonpublic information and should not be communicated to any other person.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If I am subject to a blackout period and I have an open order to buy or sell the Company securities on the date a blackout period commences, can I leave it to my broker to cancel the open order and avoid executing the trade?</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Am I subject to trading blackout periods if I am no longer an employee, director or consultant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Company securities if you are aware of material nonpublic information. That restriction stays with you as long as the information you possess is material and not publicly disseminated within the meaning of this Policy.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Are there any exceptions to this policy?</w:t>
      </w:r>
    </w:p>
    <w:p>
      <w:pPr>
        <w:pStyle w:val="TextBody"/>
        <w:bidi w:val="0"/>
        <w:spacing w:before="0" w:after="240"/>
        <w:jc w:val="both"/>
        <w:rPr>
          <w:rFonts w:ascii="Times New Roman" w:hAnsi="Times New Roman"/>
          <w:sz w:val="20"/>
        </w:rPr>
      </w:pPr>
      <w:r>
        <w:rPr>
          <w:rFonts w:ascii="Times New Roman" w:hAnsi="Times New Roman"/>
          <w:color w:val="000000"/>
          <w:sz w:val="22"/>
        </w:rPr>
        <w:t>A: There are no exceptions to this Policy, except as specifically noted below.</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I exercise options granted to me by the Company, or participate in a Company employee stock purchase plan, during a trading blackout period or when I possess material nonpublic information?</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Yes. You may purchase shares by exercising your options or participating in a Company employee stock purchase plan, but you may not sell the shares (even to pay the exercise price or any taxes due) during a trading blackout period or any time that you are aware of material nonpublic information. To be clear, you may </w:t>
      </w:r>
      <w:r>
        <w:rPr>
          <w:rFonts w:ascii="Times New Roman" w:hAnsi="Times New Roman"/>
          <w:color w:val="000000"/>
          <w:sz w:val="22"/>
          <w:u w:val="single"/>
        </w:rPr>
        <w:t>not</w:t>
      </w:r>
      <w:r>
        <w:rPr>
          <w:rFonts w:ascii="Times New Roman" w:hAnsi="Times New Roman"/>
          <w:color w:val="000000"/>
          <w:sz w:val="20"/>
        </w:rPr>
        <w:t xml:space="preserve"> </w:t>
      </w:r>
      <w:r>
        <w:rPr>
          <w:rFonts w:ascii="Times New Roman" w:hAnsi="Times New Roman"/>
          <w:color w:val="000000"/>
          <w:sz w:val="22"/>
        </w:rPr>
        <w:t>effect a broker-assisted cashless exercise (because these cashless exercise transactions include a market sale) during a trading blackout period or any time that you are aware of material nonpublic information.</w:t>
      </w:r>
    </w:p>
    <w:p>
      <w:pPr>
        <w:pStyle w:val="TextBody"/>
        <w:bidi w:val="0"/>
        <w:spacing w:before="0" w:after="240"/>
        <w:jc w:val="both"/>
        <w:rPr>
          <w:rFonts w:ascii="Times New Roman" w:hAnsi="Times New Roman"/>
          <w:sz w:val="20"/>
        </w:rPr>
      </w:pPr>
      <w:r>
        <w:rPr>
          <w:rFonts w:ascii="Times New Roman" w:hAnsi="Times New Roman"/>
          <w:b/>
          <w:color w:val="000000"/>
          <w:sz w:val="22"/>
        </w:rPr>
        <w:t>Q: What tax withholding transactions are not restricted by this Policy</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This Policy does not apply to the surrender of shares directly to the Company to satisfy tax withholding obligations as a result of the issuance of shares upon exercise of options or settlement of restricted stock units issued by the Company. Of course, any market sale of the stock received upon exercise or settlement of any such equity awards remains subject to all provisions of this Policy whether or not for the purpose of generating the cash needed to pay the exercise price or pay taxes.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7</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olor w:val="000000"/>
          <w:sz w:val="22"/>
        </w:rPr>
        <w:t>Q: Are mutual funds holding Company common stock subject to the trading blackout periods?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 You may trade in mutual funds holding Company stock at any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the rules that apply to 10b5-1 Automatic Trading Programs?</w:t>
      </w:r>
    </w:p>
    <w:p>
      <w:pPr>
        <w:pStyle w:val="TextBody"/>
        <w:bidi w:val="0"/>
        <w:spacing w:before="0" w:after="240"/>
        <w:jc w:val="both"/>
        <w:rPr>
          <w:rFonts w:ascii="Times New Roman" w:hAnsi="Times New Roman"/>
          <w:sz w:val="20"/>
        </w:rPr>
      </w:pPr>
      <w:r>
        <w:rPr>
          <w:rFonts w:ascii="Times New Roman" w:hAnsi="Times New Roman"/>
          <w:color w:val="000000"/>
          <w:sz w:val="22"/>
        </w:rPr>
        <w:t>A: Under Rule 10b5-1 of the Securities Exchange Act of 1934, as amended (the “</w:t>
      </w:r>
      <w:r>
        <w:rPr>
          <w:rFonts w:ascii="Times New Roman" w:hAnsi="Times New Roman"/>
          <w:b/>
          <w:i/>
          <w:color w:val="000000"/>
          <w:sz w:val="22"/>
        </w:rPr>
        <w:t>Exchange Act</w:t>
      </w:r>
      <w:r>
        <w:rPr>
          <w:rFonts w:ascii="Times New Roman" w:hAnsi="Times New Roman"/>
          <w:color w:val="000000"/>
          <w:sz w:val="20"/>
        </w:rPr>
        <w:t>”</w:t>
      </w:r>
      <w:r>
        <w:rPr>
          <w:rFonts w:ascii="Times New Roman" w:hAnsi="Times New Roman"/>
          <w:color w:val="000000"/>
          <w:sz w:val="22"/>
        </w:rPr>
        <w:t>), any person may establish a trading plan under which a broker is instructed to buy and sell Company securities based on pre-determined criteria (a “</w:t>
      </w:r>
      <w:r>
        <w:rPr>
          <w:rFonts w:ascii="Times New Roman" w:hAnsi="Times New Roman"/>
          <w:b/>
          <w:i/>
          <w:color w:val="000000"/>
          <w:sz w:val="22"/>
        </w:rPr>
        <w:t>Trading Plan</w:t>
      </w:r>
      <w:r>
        <w:rPr>
          <w:rFonts w:ascii="Times New Roman" w:hAnsi="Times New Roman"/>
          <w:color w:val="000000"/>
          <w:sz w:val="20"/>
        </w:rPr>
        <w:t>”</w:t>
      </w:r>
      <w:r>
        <w:rPr>
          <w:rFonts w:ascii="Times New Roman" w:hAnsi="Times New Roman"/>
          <w:color w:val="000000"/>
          <w:sz w:val="22"/>
        </w:rPr>
        <w:t>). So long as a Trading Plan is properly established, purchases and sales of Company securities pursuant to that Trading Plan are not subject to this Policy. To be properly established, a person’s Trading Plan must be established in compliance with the requirements of Rule 10b5-1 of the Exchange Act and any applicable 10b5-1 trading plan guidelines of the Company at a time when they were unaware of any material nonpublic information relating to the Company and when they were not otherwise subject to a trading blackout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Moreover, all Trading Plans to be adopted by officers, directors, Specified Personnel and their Related Persons must be reviewed and approved by the Company before being established to confirm that the Trading Plan complies with all pertinent company policies and applicable securities laws. See “Pre-Clearance of Transactions in Company Stock” below.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I gift stock while I possess material nonpublic information or during a trading blackout period?</w:t>
      </w:r>
    </w:p>
    <w:p>
      <w:pPr>
        <w:pStyle w:val="TextBody"/>
        <w:bidi w:val="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 A gift of stock could subject you to insider trading liability if you are aware of material nonpublic information at the time of the gift and knew or were reckless in not knowing that the recipient would sell the securities prior to the disclosure of such information. Therefore, gifts may only be made when you are not in possession of material nonpublic information and not subject to a trading blackout period.</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Are purchases of Company stock in a 401(k) plan allowed by this Policy?</w:t>
      </w:r>
    </w:p>
    <w:p>
      <w:pPr>
        <w:pStyle w:val="TextBody"/>
        <w:bidi w:val="0"/>
        <w:spacing w:before="0" w:after="240"/>
        <w:jc w:val="both"/>
        <w:rPr>
          <w:rFonts w:ascii="Times New Roman" w:hAnsi="Times New Roman"/>
          <w:sz w:val="20"/>
        </w:rPr>
      </w:pPr>
      <w:r>
        <w:rPr>
          <w:rFonts w:ascii="Times New Roman" w:hAnsi="Times New Roman"/>
          <w:b/>
          <w:color w:val="000000"/>
          <w:sz w:val="22"/>
        </w:rPr>
        <w:t>A</w:t>
      </w:r>
      <w:r>
        <w:rPr>
          <w:rFonts w:ascii="Times New Roman" w:hAnsi="Times New Roman"/>
          <w:color w:val="000000"/>
          <w:sz w:val="22"/>
        </w:rPr>
        <w:t>: 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the balance of your Company stock fund; and (d) an election to pre-pay a plan loan if the pre-payment will result in allocation of loan proceeds to the Company stock fund.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Margin Accounts, Pledging Shares, Hedging and Other Speculation in Company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I purchase Company securities on margin or hold them in a margin account?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 “Purchasing on margin” is the use of borrowed money from a brokerage firm to purchase Company securities. Holding the Company’s securities in a margin account includes holding the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8</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securities in an account in which the shares can be sold to pay a loan to the brokerage firm. You may not purchase Company common stock on margin or hold it in a margin account at any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I pledge my Company shares as collateral for a loan?</w:t>
      </w:r>
    </w:p>
    <w:p>
      <w:pPr>
        <w:pStyle w:val="TextBody"/>
        <w:bidi w:val="0"/>
        <w:spacing w:before="0" w:after="240"/>
        <w:jc w:val="both"/>
        <w:rPr>
          <w:rFonts w:ascii="Times New Roman" w:hAnsi="Times New Roman"/>
          <w:sz w:val="20"/>
        </w:rPr>
      </w:pPr>
      <w:r>
        <w:rPr>
          <w:rFonts w:ascii="Times New Roman" w:hAnsi="Times New Roman"/>
          <w:color w:val="000000"/>
          <w:sz w:val="22"/>
        </w:rPr>
        <w:t>A: No. Pledging your shares as collateral for a loan could cause the pledgee to transfer your shares during a trading blackout period or when you are otherwise aware of material nonpublic information. As a result, you may not pledge your shares as collateral for a loan.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problematic about margin accounts and pledged securities?</w:t>
      </w:r>
    </w:p>
    <w:p>
      <w:pPr>
        <w:pStyle w:val="TextBody"/>
        <w:bidi w:val="0"/>
        <w:spacing w:before="0" w:after="240"/>
        <w:jc w:val="both"/>
        <w:rPr>
          <w:rFonts w:ascii="Times New Roman" w:hAnsi="Times New Roman"/>
          <w:sz w:val="20"/>
        </w:rPr>
      </w:pPr>
      <w:r>
        <w:rPr>
          <w:rFonts w:ascii="Times New Roman" w:hAnsi="Times New Roman"/>
          <w:color w:val="000000"/>
          <w:sz w:val="22"/>
        </w:rPr>
        <w:t>A: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Company’s securities as collateral for a loan.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Q: Can I hedge my ownership position in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No. Hedging or monetization transactions, including through the use of financial instruments such as prepaid variable forwards, equity swaps, collars and exchange funds are prohibited by this Policy.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Why are hedging transactions prohibited?</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Am I allowed to trade derivative securities of Company common stock?</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 You may not trade in derivative securities related to the Company common stock, which include publicly traded call and put options. In addition, you may not engage in short selling of Company common stock at any time.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derivative securities?</w:t>
      </w:r>
    </w:p>
    <w:p>
      <w:pPr>
        <w:pStyle w:val="TextBody"/>
        <w:bidi w:val="0"/>
        <w:spacing w:before="0" w:after="240"/>
        <w:jc w:val="both"/>
        <w:rPr>
          <w:rFonts w:ascii="Times New Roman" w:hAnsi="Times New Roman"/>
          <w:sz w:val="20"/>
        </w:rPr>
      </w:pPr>
      <w:r>
        <w:rPr>
          <w:rFonts w:ascii="Times New Roman" w:hAnsi="Times New Roman"/>
          <w:color w:val="000000"/>
          <w:sz w:val="22"/>
        </w:rPr>
        <w:t>A: “Derivative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short selling?</w:t>
      </w:r>
    </w:p>
    <w:p>
      <w:pPr>
        <w:pStyle w:val="TextBody"/>
        <w:bidi w:val="0"/>
        <w:spacing w:before="0" w:after="240"/>
        <w:jc w:val="both"/>
        <w:rPr>
          <w:rFonts w:ascii="Times New Roman" w:hAnsi="Times New Roman"/>
          <w:sz w:val="20"/>
        </w:rPr>
      </w:pPr>
      <w:r>
        <w:rPr>
          <w:rFonts w:ascii="Times New Roman" w:hAnsi="Times New Roman"/>
          <w:color w:val="000000"/>
          <w:sz w:val="22"/>
        </w:rPr>
        <w:t>A: “Short selling” is profiting when you expect the price of the stock to decline, and includes transactions in which you borrow stock from a broker, sell it, and eventually buy it back on the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9</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rPr>
        <w:t>market to return the borrowed shares to the broker. Profit is realized if the stock price decreases during the period of borrowing.</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Why does the Company prohibit trading in derivative securities and short selling?</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if I purchased publicly traded options or other derivative securities before I became subject to this Policy?</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The same rules apply as for employee stock options. You may exercise the publicly traded options at any time, but you may not sell the securities during a trading blackout period or at any time that you are aware of material nonpublic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Q: What are the concerns about standing and limit order</w:t>
      </w:r>
      <w:r>
        <w:rPr>
          <w:rFonts w:ascii="Times New Roman" w:hAnsi="Times New Roman"/>
          <w:color w:val="000000"/>
          <w:sz w:val="22"/>
        </w:rPr>
        <w: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Pre-Clearance of Transactions in Company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 is required to pre-clear and provide advance notice of transactions?</w:t>
      </w:r>
    </w:p>
    <w:p>
      <w:pPr>
        <w:pStyle w:val="TextBody"/>
        <w:bidi w:val="0"/>
        <w:spacing w:before="0" w:after="240"/>
        <w:jc w:val="both"/>
        <w:rPr>
          <w:rFonts w:ascii="Times New Roman" w:hAnsi="Times New Roman"/>
          <w:sz w:val="20"/>
        </w:rPr>
      </w:pPr>
      <w:bookmarkStart w:id="55" w:name="x6in1rg"/>
      <w:bookmarkEnd w:id="55"/>
      <w:r>
        <w:rPr>
          <w:rFonts w:ascii="Times New Roman" w:hAnsi="Times New Roman"/>
          <w:smallCaps/>
          <w:color w:val="000000"/>
          <w:sz w:val="22"/>
        </w:rPr>
        <w:t>A:</w:t>
      </w:r>
      <w:r>
        <w:rPr>
          <w:rFonts w:ascii="Times New Roman" w:hAnsi="Times New Roman"/>
          <w:smallCaps/>
          <w:color w:val="000000"/>
          <w:sz w:val="20"/>
        </w:rPr>
        <w:t xml:space="preserve"> </w:t>
      </w:r>
      <w:r>
        <w:rPr>
          <w:rFonts w:ascii="Times New Roman" w:hAnsi="Times New Roman"/>
          <w:color w:val="000000"/>
          <w:sz w:val="22"/>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 in the Company’s securities, including gifts, without first obtaining pre-clearance of the transaction from the Compliance Coordinator at least two (2)</w:t>
      </w:r>
      <w:r>
        <w:rPr>
          <w:rFonts w:ascii="Times New Roman" w:hAnsi="Times New Roman"/>
          <w:color w:val="000000"/>
          <w:sz w:val="20"/>
        </w:rPr>
        <w:t xml:space="preserve"> </w:t>
      </w:r>
      <w:r>
        <w:rPr>
          <w:rFonts w:ascii="Times New Roman" w:hAnsi="Times New Roman"/>
          <w:color w:val="000000"/>
          <w:sz w:val="22"/>
        </w:rPr>
        <w:t>business days in advance of the proposed transaction. The Compliance Coordinator will determine whether the transaction may proceed and, if so, will help comply with any required reporting requirements under Section 16(a) of the Exchange Act. Pre-cleared transactions not completed within two (2) business days will require new pre-clearance. The Company may choose to shorten these periods.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Are individuals subject to pre-clearance required to provide advanced notice of stock option exercises?</w:t>
      </w:r>
    </w:p>
    <w:p>
      <w:pPr>
        <w:pStyle w:val="TextBody"/>
        <w:bidi w:val="0"/>
        <w:spacing w:before="0" w:after="240"/>
        <w:jc w:val="both"/>
        <w:rPr>
          <w:rFonts w:ascii="Times New Roman" w:hAnsi="Times New Roman"/>
          <w:sz w:val="20"/>
        </w:rPr>
      </w:pPr>
      <w:r>
        <w:rPr>
          <w:rFonts w:ascii="Times New Roman" w:hAnsi="Times New Roman"/>
          <w:color w:val="000000"/>
          <w:sz w:val="22"/>
        </w:rPr>
        <w:t>A: Yes. Persons subject to pre-clearance must also give advance notice of their plans to exercise an outstanding stock option to the Compliance Coordinator. Once any transaction takes place, the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10</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officer, director or applicable member of management must immediately notify the Compliance Coordinator so that the Company may assist in any Section 16 reporting obligations.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additional requirements apply to individuals subject to Section 16?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Sanctions and Other Information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happens if I violate this Policy?</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Violating the Company’s policies may result in disciplinary action, which may include termination of your employment or other relationship with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the sanctions if I trade on material nonpublic information or tip off someone else?</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“loss avoided”?</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If you sell common stock or a related derivative security before negative news is publicly announced, and as a result of the announcement the stock price declines, you have avoided the loss caused by the negative news.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 should I contact if I have questions about this Policy or specific trades?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You should email the Compliance Coordinator at itpquestions@in8bio.com.</w:t>
      </w:r>
    </w:p>
    <w:p>
      <w:pPr>
        <w:pStyle w:val="TextBody"/>
        <w:bidi w:val="0"/>
        <w:spacing w:before="0" w:after="240"/>
        <w:jc w:val="both"/>
        <w:rPr>
          <w:rFonts w:ascii="Times New Roman" w:hAnsi="Times New Roman"/>
          <w:sz w:val="20"/>
        </w:rPr>
      </w:pPr>
      <w:r>
        <w:rPr>
          <w:rFonts w:ascii="Times New Roman" w:hAnsi="Times New Roman"/>
          <w:b/>
          <w:color w:val="000000"/>
          <w:sz w:val="22"/>
        </w:rPr>
        <w:t>Q: Do changes to this Policy require approval by the Board?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Yes. Changes to this Policy require approval by the Board or a duly appointed committee of the Board.</w:t>
      </w:r>
    </w:p>
    <w:p>
      <w:pPr>
        <w:pStyle w:val="TextBody"/>
        <w:bidi w:val="0"/>
        <w:jc w:val="both"/>
        <w:rPr>
          <w:rFonts w:ascii="Times New Roman" w:hAnsi="Times New Roman"/>
          <w:b/>
          <w:color w:val="000000"/>
          <w:sz w:val="22"/>
        </w:rPr>
      </w:pPr>
      <w:r>
        <w:rPr>
          <w:rFonts w:ascii="Times New Roman" w:hAnsi="Times New Roman"/>
          <w:b/>
          <w:color w:val="000000"/>
          <w:sz w:val="22"/>
        </w:rPr>
        <w:t>Approved by the Board of Directors: February 15, 2023</w:t>
      </w:r>
    </w:p>
    <w:p>
      <w:pPr>
        <w:pStyle w:val="TextBody"/>
        <w:bidi w:val="0"/>
        <w:jc w:val="left"/>
        <w:rPr>
          <w:rFonts w:ascii="Times New Roman" w:hAnsi="Times New Roman"/>
          <w:color w:val="000000"/>
          <w:sz w:val="22"/>
        </w:rPr>
      </w:pPr>
      <w:r>
        <w:rPr>
          <w:rFonts w:ascii="Times New Roman" w:hAnsi="Times New Roman"/>
          <w:color w:val="000000"/>
          <w:sz w:val="22"/>
        </w:rPr>
        <w:t>11</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Appendix A</w:t>
      </w:r>
    </w:p>
    <w:p>
      <w:pPr>
        <w:pStyle w:val="TextBody"/>
        <w:bidi w:val="0"/>
        <w:jc w:val="center"/>
        <w:rPr>
          <w:rFonts w:ascii="Times New Roman" w:hAnsi="Times New Roman"/>
          <w:b/>
          <w:color w:val="000000"/>
          <w:sz w:val="22"/>
        </w:rPr>
      </w:pPr>
      <w:r>
        <w:rPr>
          <w:rFonts w:ascii="Times New Roman" w:hAnsi="Times New Roman"/>
          <w:b/>
          <w:color w:val="000000"/>
          <w:sz w:val="22"/>
        </w:rPr>
        <w:t>Specified Personnel</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(Non-Officer Employees and Designated Consultants</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Subject to Quarterly Trading Blackout Periods)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All employees.</w:t>
      </w:r>
    </w:p>
    <w:p>
      <w:pPr>
        <w:pStyle w:val="TextBody"/>
        <w:bidi w:val="0"/>
        <w:spacing w:before="0" w:after="24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A-1</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inab-ex23_1.htm"/>
      <w:bookmarkStart w:id="57" w:name="ksinabex23_1"/>
      <w:bookmarkEnd w:id="56"/>
      <w:bookmarkEnd w:id="57"/>
      <w:r>
        <w:rPr/>
        <w:t> </w:t>
      </w:r>
      <w:r>
        <w:br w:type="page"/>
      </w:r>
    </w:p>
    <w:p>
      <w:pPr>
        <w:pStyle w:val="TextBody"/>
        <w:bidi w:val="0"/>
        <w:spacing w:before="0" w:after="160"/>
        <w:jc w:val="right"/>
        <w:rPr>
          <w:rFonts w:ascii="Times New Roman" w:hAnsi="Times New Roman"/>
          <w:color w:val="000000"/>
          <w:sz w:val="20"/>
        </w:rPr>
      </w:pPr>
      <w:r>
        <w:rPr>
          <w:rFonts w:ascii="Times New Roman" w:hAnsi="Times New Roman"/>
          <w:color w:val="000000"/>
          <w:sz w:val="20"/>
        </w:rPr>
        <w:t>Exhibit 23.1</w:t>
      </w:r>
    </w:p>
    <w:p>
      <w:pPr>
        <w:pStyle w:val="TextBody"/>
        <w:bidi w:val="0"/>
        <w:spacing w:before="0" w:after="160"/>
        <w:jc w:val="center"/>
        <w:rPr/>
      </w:pPr>
      <w:r>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Statements on Form S-8 (No. 333-276614, No. 333-274092, No. 333-264893 and No. 333-259458) and the Registration Statements on Form S-3 (No. 333-282984, No. 333-276504 and No. 333-268288) of our report, dated March 13, 2025, with respect to the financial statements of IN8bio, Inc included in this Annual Report (Form 10-K) of IN8bio, Inc. for the year ended December 31, 2024. Our audit report includes an explanatory paragraph relating to IN8bio, Inc.’s ability to continue as a going concern.</w:t>
      </w:r>
    </w:p>
    <w:p>
      <w:pPr>
        <w:pStyle w:val="TextBody"/>
        <w:bidi w:val="0"/>
        <w:jc w:val="both"/>
        <w:rPr>
          <w:rFonts w:ascii="Times New Roman" w:hAnsi="Times New Roman"/>
          <w:color w:val="000000"/>
          <w:sz w:val="20"/>
        </w:rPr>
      </w:pPr>
      <w:r>
        <w:rPr>
          <w:rFonts w:ascii="Times New Roman" w:hAnsi="Times New Roman"/>
          <w:color w:val="000000"/>
          <w:sz w:val="20"/>
        </w:rPr>
        <w:t>/s/ CohnReznick LLP</w:t>
      </w:r>
    </w:p>
    <w:p>
      <w:pPr>
        <w:pStyle w:val="TextBody"/>
        <w:bidi w:val="0"/>
        <w:jc w:val="both"/>
        <w:rPr>
          <w:rFonts w:ascii="Times New Roman" w:hAnsi="Times New Roman"/>
          <w:color w:val="000000"/>
          <w:sz w:val="20"/>
        </w:rPr>
      </w:pPr>
      <w:r>
        <w:rPr>
          <w:rFonts w:ascii="Times New Roman" w:hAnsi="Times New Roman"/>
          <w:color w:val="000000"/>
          <w:sz w:val="20"/>
        </w:rPr>
        <w:t>Tysons, Virginia</w:t>
      </w:r>
    </w:p>
    <w:p>
      <w:pPr>
        <w:pStyle w:val="TextBody"/>
        <w:bidi w:val="0"/>
        <w:jc w:val="left"/>
        <w:rPr>
          <w:rFonts w:ascii="Times New Roman" w:hAnsi="Times New Roman"/>
          <w:color w:val="000000"/>
          <w:sz w:val="20"/>
        </w:rPr>
      </w:pPr>
      <w:r>
        <w:rPr>
          <w:rFonts w:ascii="Times New Roman" w:hAnsi="Times New Roman"/>
          <w:color w:val="000000"/>
          <w:sz w:val="20"/>
        </w:rPr>
        <w:t xml:space="preserve">March 13, 2025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58" w:name="inab-ex31_1.htm"/>
      <w:bookmarkStart w:id="59" w:name="ksinabex31_1"/>
      <w:bookmarkEnd w:id="58"/>
      <w:bookmarkEnd w:id="59"/>
      <w:r>
        <w:rPr>
          <w:rFonts w:ascii="Times New Roman" w:hAnsi="Times New Roman"/>
          <w:b/>
          <w:color w:val="000000"/>
          <w:sz w:val="20"/>
        </w:rPr>
        <w:t>Exhibit 31.1</w:t>
      </w:r>
      <w:r>
        <w:br w:type="page"/>
      </w:r>
    </w:p>
    <w:p>
      <w:pPr>
        <w:pStyle w:val="TextBody"/>
        <w:bidi w:val="0"/>
        <w:spacing w:before="60" w:after="283"/>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 William Ho, certify that: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 have reviewed this Annual Report on Form 10-K of IN8bio, Inc.;</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 March 13, 2025</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20"/>
          <w:u w:val="single"/>
        </w:rPr>
        <w:t>/s/William Ho</w:t>
      </w:r>
      <w:r>
        <w:rPr>
          <w:rFonts w:ascii="Times New Roman" w:hAnsi="Times New Roman"/>
          <w:color w:val="000000"/>
          <w:sz w:val="20"/>
        </w:rPr>
        <w:t>__________________</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William Ho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60" w:name="inab-ex31_2.htm"/>
      <w:bookmarkStart w:id="61" w:name="ksinabex31_2"/>
      <w:bookmarkEnd w:id="60"/>
      <w:bookmarkEnd w:id="61"/>
      <w:r>
        <w:rPr>
          <w:rFonts w:ascii="Times New Roman" w:hAnsi="Times New Roman"/>
          <w:b/>
          <w:color w:val="000000"/>
          <w:sz w:val="20"/>
        </w:rPr>
        <w:t>Exhibit 31.2</w:t>
      </w:r>
      <w:r>
        <w:br w:type="page"/>
      </w:r>
    </w:p>
    <w:p>
      <w:pPr>
        <w:pStyle w:val="TextBody"/>
        <w:bidi w:val="0"/>
        <w:spacing w:before="60" w:after="283"/>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 Patrick McCall, certify that: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 have reviewed this Annual Report on Form 10-K of IN8bio, Inc.;</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 March 13, 2025</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20"/>
          <w:u w:val="single"/>
        </w:rPr>
        <w:t>/s/ Patrick McCall</w:t>
      </w:r>
      <w:r>
        <w:rPr>
          <w:rFonts w:ascii="Times New Roman" w:hAnsi="Times New Roman"/>
          <w:color w:val="000000"/>
          <w:sz w:val="20"/>
        </w:rPr>
        <w:t>______________</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Patrick McCall</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62" w:name="inab-ex32_1.htm"/>
      <w:bookmarkStart w:id="63" w:name="ksinabex32_1"/>
      <w:bookmarkEnd w:id="62"/>
      <w:bookmarkEnd w:id="63"/>
      <w:r>
        <w:rPr>
          <w:rFonts w:ascii="Times New Roman" w:hAnsi="Times New Roman"/>
          <w:b/>
          <w:color w:val="000000"/>
          <w:sz w:val="20"/>
        </w:rPr>
        <w:t>Exhibit 32.1</w:t>
      </w:r>
      <w:r>
        <w:br w:type="page"/>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William Ho, Chief Executive Officer of IN8bio, Inc. (the “Company”), and Patrick McCall, Chief Financial Officer of the Company, each hereby certifies that, to the best of his or her knowledge:</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Company’s Annual Report on Form 10-K for the fiscal year ended December 31, 2024, to which this Certification is attached as Exhibit 32.1 (the “Annual Report”), fully complies with the requirements of Section 13(a) or Section 15(d) of the Exchange Act; and</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information contained in the Annual Report fairly presents, in all material respects, the financial condition and results of operations of the Company.</w:t>
      </w:r>
    </w:p>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13 day of March, 2025.</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20"/>
          <w:u w:val="single"/>
        </w:rPr>
        <w:t>/s/ William Ho /s/ Patrick McCall</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William Ho Patrick McCall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Executive Officer Chief Financial Officer</w:t>
      </w:r>
    </w:p>
    <w:p>
      <w:pPr>
        <w:pStyle w:val="TextBody"/>
        <w:bidi w:val="0"/>
        <w:spacing w:before="60" w:after="283"/>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This certification accompanies the Form 10-K to which it relates, is not deemed filed with the Securities and Exchange Commission and is not to be incorporated by reference into any filing of IN8bio,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6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bookmarkStart w:id="64" w:name="inab-ex97.htm"/>
      <w:bookmarkStart w:id="65" w:name="ksinabex97"/>
      <w:bookmarkEnd w:id="64"/>
      <w:bookmarkEnd w:id="65"/>
      <w:r>
        <w:rPr/>
        <w:t> </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2"/>
        </w:rPr>
        <w:t>Exhibit</w:t>
      </w:r>
      <w:r>
        <w:rPr>
          <w:rFonts w:ascii="Times New Roman" w:hAnsi="Times New Roman"/>
          <w:color w:val="000000"/>
          <w:sz w:val="20"/>
        </w:rPr>
        <w:t xml:space="preserve"> </w:t>
      </w:r>
      <w:r>
        <w:rPr>
          <w:rFonts w:ascii="Times New Roman" w:hAnsi="Times New Roman"/>
          <w:b/>
          <w:color w:val="000000"/>
          <w:sz w:val="22"/>
        </w:rPr>
        <w:t>97</w:t>
      </w:r>
    </w:p>
    <w:p>
      <w:pPr>
        <w:pStyle w:val="TextBody"/>
        <w:bidi w:val="0"/>
        <w:jc w:val="center"/>
        <w:rPr/>
      </w:pPr>
      <w:r>
        <w:rPr/>
        <w:t> </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IN8bio, Inc.</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Incentive Compensation Recoupment Policy</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Approved: October 23, 2023</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1.</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Introduction</w:t>
      </w:r>
    </w:p>
    <w:p>
      <w:pPr>
        <w:pStyle w:val="TextBody"/>
        <w:bidi w:val="0"/>
        <w:spacing w:before="0" w:after="220"/>
        <w:jc w:val="both"/>
        <w:rPr>
          <w:rFonts w:ascii="Times New Roman" w:hAnsi="Times New Roman"/>
          <w:sz w:val="20"/>
        </w:rPr>
      </w:pPr>
      <w:r>
        <w:rPr>
          <w:rFonts w:ascii="Times New Roman" w:hAnsi="Times New Roman"/>
          <w:color w:val="000000"/>
          <w:sz w:val="22"/>
        </w:rPr>
        <w:t>The Compensation Committee (the “</w:t>
      </w:r>
      <w:r>
        <w:rPr>
          <w:rFonts w:ascii="Times New Roman" w:hAnsi="Times New Roman"/>
          <w:b/>
          <w:i/>
          <w:color w:val="000000"/>
          <w:sz w:val="22"/>
        </w:rPr>
        <w:t>Compensation Committee</w:t>
      </w:r>
      <w:r>
        <w:rPr>
          <w:rFonts w:ascii="Times New Roman" w:hAnsi="Times New Roman"/>
          <w:color w:val="000000"/>
          <w:sz w:val="20"/>
        </w:rPr>
        <w:t>”</w:t>
      </w:r>
      <w:r>
        <w:rPr>
          <w:rFonts w:ascii="Times New Roman" w:hAnsi="Times New Roman"/>
          <w:color w:val="000000"/>
          <w:sz w:val="22"/>
        </w:rPr>
        <w:t>)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IN8bio,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determined that it is in the best interests of the Company and its stockholders to adopt this Incentive Compensation Recoupment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20"/>
        <w:jc w:val="both"/>
        <w:rPr>
          <w:rFonts w:ascii="Times New Roman" w:hAnsi="Times New Roman"/>
          <w:sz w:val="20"/>
        </w:rPr>
      </w:pPr>
      <w:r>
        <w:rPr>
          <w:rFonts w:ascii="Times New Roman" w:hAnsi="Times New Roman"/>
          <w:color w:val="000000"/>
          <w:sz w:val="22"/>
        </w:rPr>
        <w:t>This Policy is designed to comply with, and shall be interpreted to be consistent with, Section 10D of the Exchange Act, Rule 10D-1 promulgated thereunder (“</w:t>
      </w:r>
      <w:r>
        <w:rPr>
          <w:rFonts w:ascii="Times New Roman" w:hAnsi="Times New Roman"/>
          <w:b/>
          <w:i/>
          <w:color w:val="000000"/>
          <w:sz w:val="22"/>
        </w:rPr>
        <w:t>Rule 10D-1</w:t>
      </w:r>
      <w:r>
        <w:rPr>
          <w:rFonts w:ascii="Times New Roman" w:hAnsi="Times New Roman"/>
          <w:color w:val="000000"/>
          <w:sz w:val="20"/>
        </w:rPr>
        <w:t>”</w:t>
      </w:r>
      <w:r>
        <w:rPr>
          <w:rFonts w:ascii="Times New Roman" w:hAnsi="Times New Roman"/>
          <w:color w:val="000000"/>
          <w:sz w:val="22"/>
        </w:rPr>
        <w:t>) and Nasdaq Listing Rule 5608 (the “</w:t>
      </w:r>
      <w:r>
        <w:rPr>
          <w:rFonts w:ascii="Times New Roman" w:hAnsi="Times New Roman"/>
          <w:b/>
          <w:i/>
          <w:color w:val="000000"/>
          <w:sz w:val="22"/>
        </w:rPr>
        <w:t>Listing Standards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2.</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Effective Date</w:t>
      </w:r>
    </w:p>
    <w:p>
      <w:pPr>
        <w:pStyle w:val="TextBody"/>
        <w:bidi w:val="0"/>
        <w:spacing w:before="0" w:after="220"/>
        <w:jc w:val="both"/>
        <w:rPr>
          <w:rFonts w:ascii="Times New Roman" w:hAnsi="Times New Roman"/>
          <w:sz w:val="20"/>
        </w:rPr>
      </w:pPr>
      <w:r>
        <w:rPr>
          <w:rFonts w:ascii="Times New Roman" w:hAnsi="Times New Roman"/>
          <w:color w:val="000000"/>
          <w:sz w:val="22"/>
        </w:rPr>
        <w:t>This Policy shall apply to all Incentive Compensation that is received by a Covered Officer on or after October 2, 2023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Incentive Compensation is deemed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3.</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Definitions</w:t>
      </w:r>
    </w:p>
    <w:p>
      <w:pPr>
        <w:pStyle w:val="TextBody"/>
        <w:bidi w:val="0"/>
        <w:spacing w:before="0" w:after="220"/>
        <w:jc w:val="both"/>
        <w:rPr/>
      </w:pPr>
      <w:r>
        <w:rPr>
          <w:color w:val="000000"/>
        </w:rPr>
        <w:t>“</w:t>
      </w:r>
      <w:r>
        <w:rPr>
          <w:rFonts w:ascii="Times New Roman" w:hAnsi="Times New Roman"/>
          <w:b/>
          <w:i/>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20"/>
        <w:jc w:val="both"/>
        <w:rPr/>
      </w:pPr>
      <w:r>
        <w:rPr>
          <w:color w:val="000000"/>
        </w:rPr>
        <w:t>“</w:t>
      </w:r>
      <w:r>
        <w:rPr>
          <w:rFonts w:ascii="Times New Roman" w:hAnsi="Times New Roman"/>
          <w:b/>
          <w:i/>
          <w:color w:val="000000"/>
          <w:sz w:val="22"/>
        </w:rPr>
        <w:t>Accounting Restatement Date</w:t>
      </w:r>
      <w:r>
        <w:rPr>
          <w:rFonts w:ascii="Times New Roman" w:hAnsi="Times New Roman"/>
          <w:color w:val="000000"/>
          <w:sz w:val="20"/>
        </w:rPr>
        <w:t xml:space="preserve">” </w:t>
      </w:r>
      <w:r>
        <w:rPr>
          <w:rFonts w:ascii="Times New Roman" w:hAnsi="Times New Roman"/>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20"/>
        <w:jc w:val="both"/>
        <w:rPr/>
      </w:pPr>
      <w:r>
        <w:rPr>
          <w:color w:val="000000"/>
        </w:rPr>
        <w:t>“</w:t>
      </w:r>
      <w:r>
        <w:rPr>
          <w:rFonts w:ascii="Times New Roman" w:hAnsi="Times New Roman"/>
          <w:b/>
          <w:i/>
          <w:color w:val="000000"/>
          <w:sz w:val="22"/>
        </w:rPr>
        <w:t>Administrator</w:t>
      </w:r>
      <w:r>
        <w:rPr>
          <w:rFonts w:ascii="Times New Roman" w:hAnsi="Times New Roman"/>
          <w:color w:val="000000"/>
          <w:sz w:val="20"/>
        </w:rPr>
        <w:t xml:space="preserve">” </w:t>
      </w:r>
      <w:r>
        <w:rPr>
          <w:rFonts w:ascii="Times New Roman" w:hAnsi="Times New Roman"/>
          <w:color w:val="000000"/>
          <w:sz w:val="22"/>
        </w:rPr>
        <w:t>means the Compensation Committee or, in the absence of such committee, the Board.</w:t>
      </w:r>
    </w:p>
    <w:p>
      <w:pPr>
        <w:pStyle w:val="TextBody"/>
        <w:bidi w:val="0"/>
        <w:spacing w:before="0" w:after="220"/>
        <w:jc w:val="both"/>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and the regulations promulgated thereunder.</w:t>
      </w:r>
    </w:p>
    <w:p>
      <w:pPr>
        <w:pStyle w:val="TextBody"/>
        <w:bidi w:val="0"/>
        <w:spacing w:before="0" w:after="220"/>
        <w:jc w:val="both"/>
        <w:rPr/>
      </w:pPr>
      <w:r>
        <w:rPr>
          <w:color w:val="000000"/>
        </w:rPr>
        <w:t>“</w:t>
      </w:r>
      <w:r>
        <w:rPr>
          <w:rFonts w:ascii="Times New Roman" w:hAnsi="Times New Roman"/>
          <w:b/>
          <w:i/>
          <w:color w:val="000000"/>
          <w:sz w:val="22"/>
        </w:rPr>
        <w:t>Covered Officer</w:t>
      </w:r>
      <w:r>
        <w:rPr>
          <w:rFonts w:ascii="Times New Roman" w:hAnsi="Times New Roman"/>
          <w:color w:val="000000"/>
          <w:sz w:val="20"/>
        </w:rPr>
        <w:t xml:space="preserve">” </w:t>
      </w:r>
      <w:r>
        <w:rPr>
          <w:rFonts w:ascii="Times New Roman" w:hAnsi="Times New Roman"/>
          <w:color w:val="000000"/>
          <w:sz w:val="22"/>
        </w:rPr>
        <w:t>means each current and former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i/>
          <w:color w:val="000000"/>
          <w:sz w:val="22"/>
        </w:rPr>
        <w:t>Exchange</w:t>
      </w:r>
      <w:r>
        <w:rPr>
          <w:rFonts w:ascii="Times New Roman" w:hAnsi="Times New Roman"/>
          <w:color w:val="000000"/>
          <w:sz w:val="20"/>
        </w:rPr>
        <w:t xml:space="preserve">” </w:t>
      </w:r>
      <w:r>
        <w:rPr>
          <w:rFonts w:ascii="Times New Roman" w:hAnsi="Times New Roman"/>
          <w:color w:val="000000"/>
          <w:sz w:val="22"/>
        </w:rPr>
        <w:t>means the Nasdaq Stock Market.</w:t>
      </w:r>
    </w:p>
    <w:p>
      <w:pPr>
        <w:pStyle w:val="TextBody"/>
        <w:bidi w:val="0"/>
        <w:spacing w:before="0" w:after="220"/>
        <w:jc w:val="both"/>
        <w:rPr/>
      </w:pPr>
      <w:r>
        <w:rPr>
          <w:color w:val="000000"/>
        </w:rPr>
        <w:t>“</w:t>
      </w:r>
      <w:r>
        <w:rPr>
          <w:rFonts w:ascii="Times New Roman" w:hAnsi="Times New Roman"/>
          <w:b/>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w:t>
      </w:r>
    </w:p>
    <w:p>
      <w:pPr>
        <w:pStyle w:val="TextBody"/>
        <w:bidi w:val="0"/>
        <w:spacing w:before="0" w:after="220"/>
        <w:jc w:val="both"/>
        <w:rPr/>
      </w:pPr>
      <w:r>
        <w:rPr>
          <w:color w:val="000000"/>
        </w:rPr>
        <w:t>“</w:t>
      </w:r>
      <w:r>
        <w:rPr>
          <w:rFonts w:ascii="Times New Roman" w:hAnsi="Times New Roman"/>
          <w:b/>
          <w:i/>
          <w:color w:val="000000"/>
          <w:sz w:val="22"/>
        </w:rPr>
        <w:t>Executive Officer</w:t>
      </w:r>
      <w:r>
        <w:rPr>
          <w:rFonts w:ascii="Times New Roman" w:hAnsi="Times New Roman"/>
          <w:color w:val="000000"/>
          <w:sz w:val="20"/>
        </w:rPr>
        <w:t xml:space="preserve">” </w:t>
      </w:r>
      <w:r>
        <w:rPr>
          <w:rFonts w:ascii="Times New Roman" w:hAnsi="Times New Roman"/>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20"/>
        <w:jc w:val="both"/>
        <w:rPr/>
      </w:pPr>
      <w:r>
        <w:rPr>
          <w:color w:val="000000"/>
        </w:rPr>
        <w:t>“</w:t>
      </w:r>
      <w:r>
        <w:rPr>
          <w:rFonts w:ascii="Times New Roman" w:hAnsi="Times New Roman"/>
          <w:b/>
          <w:i/>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2"/>
        </w:rPr>
        <w:t>TSR</w:t>
      </w:r>
      <w:r>
        <w:rPr>
          <w:rFonts w:ascii="Times New Roman" w:hAnsi="Times New Roman"/>
          <w:color w:val="000000"/>
          <w:sz w:val="20"/>
        </w:rPr>
        <w:t>”</w:t>
      </w:r>
      <w:r>
        <w:rPr>
          <w:rFonts w:ascii="Times New Roman" w:hAnsi="Times New Roman"/>
          <w:color w:val="000000"/>
          <w:sz w:val="22"/>
        </w:rPr>
        <w:t>). A measure need not be presented in the Company’s financial statements or included in a filing with the SEC in order to be a Financial Reporting Measure.</w:t>
      </w:r>
    </w:p>
    <w:p>
      <w:pPr>
        <w:pStyle w:val="TextBody"/>
        <w:bidi w:val="0"/>
        <w:spacing w:before="0" w:after="220"/>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Recoverable Incentive Compensation</w:t>
      </w:r>
      <w:r>
        <w:rPr>
          <w:rFonts w:ascii="Times New Roman" w:hAnsi="Times New Roman"/>
          <w:color w:val="000000"/>
          <w:sz w:val="20"/>
        </w:rPr>
        <w:t xml:space="preserve">” </w:t>
      </w:r>
      <w:r>
        <w:rPr>
          <w:rFonts w:ascii="Times New Roman" w:hAnsi="Times New Roman"/>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2"/>
        </w:rPr>
        <w:t>i.e.</w:t>
      </w:r>
      <w:r>
        <w:rPr>
          <w:rFonts w:ascii="Times New Roman" w:hAnsi="Times New Roman"/>
          <w:color w:val="000000"/>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20"/>
        <w:jc w:val="both"/>
        <w:rPr/>
      </w:pPr>
      <w:r>
        <w:rPr>
          <w:color w:val="000000"/>
        </w:rPr>
        <w:t>“</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4.</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Recoupment</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20"/>
        <w:jc w:val="both"/>
        <w:rPr/>
      </w:pPr>
      <w:r>
        <w:rPr>
          <w:rFonts w:ascii="Times New Roman" w:hAnsi="Times New Roman"/>
          <w:b/>
          <w:color w:val="000000"/>
          <w:sz w:val="22"/>
        </w:rPr>
        <w:t xml:space="preserve">Applicability of Policy. </w:t>
      </w:r>
      <w:r>
        <w:rPr>
          <w:rFonts w:ascii="Times New Roman" w:hAnsi="Times New Roman"/>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rFonts w:ascii="Times New Roman" w:hAnsi="Times New Roman"/>
          <w:color w:val="000000"/>
          <w:sz w:val="22"/>
        </w:rPr>
        <w:t>a class of securities listed on a national securities exchange or a national securities association, and (iv) during the Lookback Period.</w:t>
      </w:r>
      <w:r>
        <w:rPr>
          <w:color w:val="000000"/>
        </w:rPr>
        <w:t xml:space="preserve">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20"/>
        <w:jc w:val="both"/>
        <w:rPr/>
      </w:pPr>
      <w:r>
        <w:rPr>
          <w:rFonts w:ascii="Times New Roman" w:hAnsi="Times New Roman"/>
          <w:b/>
          <w:color w:val="000000"/>
          <w:sz w:val="22"/>
        </w:rPr>
        <w:t xml:space="preserve">Recoupment Generally. </w:t>
      </w:r>
      <w:r>
        <w:rPr>
          <w:rFonts w:ascii="Times New Roman" w:hAnsi="Times New Roman"/>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20"/>
        <w:jc w:val="both"/>
        <w:rPr/>
      </w:pPr>
      <w:r>
        <w:rPr>
          <w:rFonts w:ascii="Times New Roman" w:hAnsi="Times New Roman"/>
          <w:b/>
          <w:color w:val="000000"/>
          <w:sz w:val="22"/>
        </w:rPr>
        <w:t>Impracticability of Recovery.</w:t>
      </w:r>
      <w:r>
        <w:rPr>
          <w:color w:val="000000"/>
        </w:rPr>
        <w:t xml:space="preserve"> </w:t>
      </w:r>
      <w:r>
        <w:rPr>
          <w:rFonts w:ascii="Times New Roman" w:hAnsi="Times New Roman"/>
          <w:color w:val="000000"/>
          <w:sz w:val="22"/>
        </w:rPr>
        <w:t>Recoupment may be determined to be impracticable if, and only if:</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20"/>
        <w:jc w:val="both"/>
        <w:rPr/>
      </w:pPr>
      <w:r>
        <w:rPr>
          <w:rFonts w:ascii="Times New Roman" w:hAnsi="Times New Roman"/>
          <w:b/>
          <w:color w:val="000000"/>
          <w:sz w:val="22"/>
        </w:rPr>
        <w:t>Sources of Recoupment.</w:t>
      </w:r>
      <w:r>
        <w:rPr>
          <w:color w:val="000000"/>
        </w:rPr>
        <w:t xml:space="preserve"> </w:t>
      </w:r>
      <w:r>
        <w:rPr>
          <w:rFonts w:ascii="Times New Roman" w:hAnsi="Times New Roman"/>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2"/>
        </w:rPr>
        <w:t>e.g.</w:t>
      </w:r>
      <w:r>
        <w:rPr>
          <w:rFonts w:ascii="Times New Roman" w:hAnsi="Times New Roman"/>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20"/>
        <w:jc w:val="both"/>
        <w:rPr/>
      </w:pPr>
      <w:r>
        <w:rPr>
          <w:rFonts w:ascii="Times New Roman" w:hAnsi="Times New Roman"/>
          <w:b/>
          <w:color w:val="000000"/>
          <w:sz w:val="22"/>
        </w:rPr>
        <w:t>No Indemnification of Covered Officers.</w:t>
      </w:r>
      <w:r>
        <w:rPr>
          <w:color w:val="000000"/>
        </w:rPr>
        <w:t xml:space="preserve"> </w:t>
      </w:r>
      <w:r>
        <w:rPr>
          <w:rFonts w:ascii="Times New Roman" w:hAnsi="Times New Roman"/>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20"/>
        <w:jc w:val="both"/>
        <w:rPr/>
      </w:pPr>
      <w:r>
        <w:rPr>
          <w:rFonts w:ascii="Times New Roman" w:hAnsi="Times New Roman"/>
          <w:b/>
          <w:color w:val="000000"/>
          <w:sz w:val="22"/>
        </w:rPr>
        <w:t>Indemnification of Administrator.</w:t>
      </w:r>
      <w:r>
        <w:rPr>
          <w:color w:val="000000"/>
        </w:rPr>
        <w:t xml:space="preserve"> </w:t>
      </w:r>
      <w:r>
        <w:rPr>
          <w:rFonts w:ascii="Times New Roman" w:hAnsi="Times New Roman"/>
          <w:color w:val="00000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20"/>
        <w:jc w:val="both"/>
        <w:rPr/>
      </w:pPr>
      <w:r>
        <w:rPr>
          <w:rFonts w:ascii="Times New Roman" w:hAnsi="Times New Roman"/>
          <w:b/>
          <w:color w:val="000000"/>
          <w:sz w:val="22"/>
        </w:rPr>
        <w:t>No “Good Reason” for Covered Officers.</w:t>
      </w:r>
      <w:r>
        <w:rPr>
          <w:color w:val="000000"/>
        </w:rPr>
        <w:t xml:space="preserve"> </w:t>
      </w:r>
      <w:r>
        <w:rPr>
          <w:rFonts w:ascii="Times New Roman" w:hAnsi="Times New Roman"/>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5.</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Administration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6.</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Severability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7.</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No Impairment of Other Remedies</w:t>
      </w:r>
    </w:p>
    <w:p>
      <w:pPr>
        <w:pStyle w:val="TextBody"/>
        <w:bidi w:val="0"/>
        <w:spacing w:before="0" w:after="220"/>
        <w:jc w:val="both"/>
        <w:rPr>
          <w:rFonts w:ascii="Times New Roman" w:hAnsi="Times New Roman"/>
          <w:sz w:val="20"/>
        </w:rPr>
      </w:pPr>
      <w:r>
        <w:rPr>
          <w:rFonts w:ascii="Times New Roman" w:hAnsi="Times New Roman"/>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i/>
          <w:color w:val="000000"/>
          <w:sz w:val="22"/>
        </w:rPr>
        <w:t>SOX 304</w:t>
      </w:r>
      <w:r>
        <w:rPr>
          <w:rFonts w:ascii="Times New Roman" w:hAnsi="Times New Roman"/>
          <w:color w:val="000000"/>
          <w:sz w:val="20"/>
        </w:rPr>
        <w:t>”</w:t>
      </w:r>
      <w:r>
        <w:rPr>
          <w:rFonts w:ascii="Times New Roman" w:hAnsi="Times New Roman"/>
          <w:color w:val="000000"/>
          <w:sz w:val="22"/>
        </w:rPr>
        <w:t xml:space="preserve">)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8.</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Amendment; Termination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9.</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Successors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20"/>
        <w:jc w:val="both"/>
        <w:rPr>
          <w:rFonts w:ascii="Times New Roman" w:hAnsi="Times New Roman"/>
          <w:sz w:val="20"/>
        </w:rPr>
      </w:pPr>
      <w:r>
        <w:rPr>
          <w:rFonts w:ascii="Times New Roman" w:hAnsi="Times New Roman"/>
          <w:b/>
          <w:color w:val="000000"/>
          <w:sz w:val="22"/>
        </w:rPr>
        <w:t xml:space="preserve">10. </w:t>
      </w:r>
      <w:r>
        <w:rPr>
          <w:rFonts w:ascii="Times New Roman" w:hAnsi="Times New Roman"/>
          <w:b/>
          <w:smallCaps/>
          <w:color w:val="000000"/>
          <w:sz w:val="22"/>
        </w:rPr>
        <w:t>Required Filings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shall make any disclosures and filings with respect to this Policy that are required by law, including as required by the SEC.</w:t>
      </w:r>
    </w:p>
    <w:p>
      <w:pPr>
        <w:pStyle w:val="TextBody"/>
        <w:bidi w:val="0"/>
        <w:spacing w:before="0" w:after="220"/>
        <w:jc w:val="center"/>
        <w:rPr>
          <w:rFonts w:ascii="Times New Roman" w:hAnsi="Times New Roman"/>
          <w:color w:val="000000"/>
          <w:sz w:val="22"/>
        </w:rPr>
      </w:pPr>
      <w:r>
        <w:rPr>
          <w:rFonts w:ascii="Times New Roman" w:hAnsi="Times New Roman"/>
          <w:color w:val="000000"/>
          <w:sz w:val="22"/>
        </w:rPr>
        <w:t>* * * *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hyperlink" Target="https://www.sec.gov/Archives/edgar/data/1740279/000110465921099436/tm2030088d31_ex3-1.htm" TargetMode="External"/><Relationship Id="rId30" Type="http://schemas.openxmlformats.org/officeDocument/2006/relationships/hyperlink" Target="https://www.sec.gov/Archives/edgar/data/1740279/000119312523290707/d634027dex101.htm" TargetMode="External"/><Relationship Id="rId31" Type="http://schemas.openxmlformats.org/officeDocument/2006/relationships/hyperlink" Target="https://www.sec.gov/Archives/edgar/data/1740279/000110465920121840/tm2030088d11_ex4-1.htm" TargetMode="External"/><Relationship Id="rId32" Type="http://schemas.openxmlformats.org/officeDocument/2006/relationships/hyperlink" Target="https://www.sec.gov/Archives/edgar/data/1740279/000110465920121840/tm2030088d11_ex4-1.htm" TargetMode="External"/><Relationship Id="rId33" Type="http://schemas.openxmlformats.org/officeDocument/2006/relationships/hyperlink" Target="https://www.sec.gov/Archives/edgar/data/1740279/000110465920115697/tm2030088d8_ex4-2.htm" TargetMode="External"/><Relationship Id="rId34" Type="http://schemas.openxmlformats.org/officeDocument/2006/relationships/hyperlink" Target="https://www.sec.gov/Archives/edgar/data/1740279/000119312523292706/d634758dex41.htm" TargetMode="External"/><Relationship Id="rId35" Type="http://schemas.openxmlformats.org/officeDocument/2006/relationships/hyperlink" Target="https://www.sec.gov/Archives/edgar/data/1740279/000119312524230283/d895981dex41.htm" TargetMode="External"/><Relationship Id="rId36" Type="http://schemas.openxmlformats.org/officeDocument/2006/relationships/hyperlink" Target="https://www.sec.gov/Archives/edgar/data/1740279/000119312523292706/d634758dex42.htm" TargetMode="External"/><Relationship Id="rId37" Type="http://schemas.openxmlformats.org/officeDocument/2006/relationships/hyperlink" Target="https://www.sec.gov/Archives/edgar/data/1740279/000119312523292706/d634758dex43.htm" TargetMode="External"/><Relationship Id="rId38" Type="http://schemas.openxmlformats.org/officeDocument/2006/relationships/hyperlink" Target="https://www.sec.gov/Archives/edgar/data/1740279/000119312524230283/d895981dex42.htm" TargetMode="External"/><Relationship Id="rId39" Type="http://schemas.openxmlformats.org/officeDocument/2006/relationships/hyperlink" Target="https://www.sec.gov/Archives/edgar/data/1740279/000119312523292706/d634758dex102.htm" TargetMode="External"/><Relationship Id="rId40" Type="http://schemas.openxmlformats.org/officeDocument/2006/relationships/hyperlink" Target="https://www.sec.gov/Archives/edgar/data/1740279/000119312524230283/d895981dex102.htm" TargetMode="External"/><Relationship Id="rId41" Type="http://schemas.openxmlformats.org/officeDocument/2006/relationships/hyperlink" Target="https://www.sec.gov/Archives/edgar/data/1740279/000119312524230283/d895981dex43.htm" TargetMode="External"/><Relationship Id="rId42" Type="http://schemas.openxmlformats.org/officeDocument/2006/relationships/hyperlink" Target="https://www.sec.gov/Archives/edgar/data/1740279/000110465920121840/tm2030088d11_ex10-1.htm" TargetMode="External"/><Relationship Id="rId43" Type="http://schemas.openxmlformats.org/officeDocument/2006/relationships/hyperlink" Target="https://www.sec.gov/Archives/edgar/data/1740279/000110465920121840/tm2030088d11_ex10-1.htm" TargetMode="External"/><Relationship Id="rId44" Type="http://schemas.openxmlformats.org/officeDocument/2006/relationships/hyperlink" Target="https://www.sec.gov/Archives/edgar/data/1740279/000110465920115697/tm2030088d8_ex10-2.htm" TargetMode="External"/><Relationship Id="rId45" Type="http://schemas.openxmlformats.org/officeDocument/2006/relationships/hyperlink" Target="https://www.sec.gov/Archives/edgar/data/1740279/000110465920115697/tm2030088d8_ex10-3.htm" TargetMode="External"/><Relationship Id="rId46" Type="http://schemas.openxmlformats.org/officeDocument/2006/relationships/hyperlink" Target="https://www.sec.gov/Archives/edgar/data/1740279/000119312521270077/d216810dex46.htm" TargetMode="External"/><Relationship Id="rId47" Type="http://schemas.openxmlformats.org/officeDocument/2006/relationships/hyperlink" Target="https://www.sec.gov/Archives/edgar/data/1740279/000110465920121840/tm2030088d11_ex10-5.htm" TargetMode="External"/><Relationship Id="rId48" Type="http://schemas.openxmlformats.org/officeDocument/2006/relationships/hyperlink" Target="https://www.sec.gov/Archives/edgar/data/1740279/000095017023041482/inab-ex10_1.htm" TargetMode="External"/><Relationship Id="rId49" Type="http://schemas.openxmlformats.org/officeDocument/2006/relationships/hyperlink" Target="https://www.sec.gov/Archives/edgar/data/1740279/000095017023041482/inab-ex10_2.htm" TargetMode="External"/><Relationship Id="rId50" Type="http://schemas.openxmlformats.org/officeDocument/2006/relationships/hyperlink" Target="https://www.sec.gov/Archives/edgar/data/1740279/000119312521270077/d216810dex46.htm" TargetMode="External"/><Relationship Id="rId51" Type="http://schemas.openxmlformats.org/officeDocument/2006/relationships/hyperlink" Target="https://www.sec.gov/Archives/edgar/data/1740279/000095017024056910/inab-ex10_5.htm" TargetMode="External"/><Relationship Id="rId52" Type="http://schemas.openxmlformats.org/officeDocument/2006/relationships/hyperlink" Target="https://www.sec.gov/Archives/edgar/data/1740279/000095017024125537/inab-ex10_9.htm" TargetMode="External"/><Relationship Id="rId53" Type="http://schemas.openxmlformats.org/officeDocument/2006/relationships/hyperlink" Target="https://www.sec.gov/Archives/edgar/data/1740279/000110465920115697/tm2030088d8_ex10-8.htm" TargetMode="External"/><Relationship Id="rId54" Type="http://schemas.openxmlformats.org/officeDocument/2006/relationships/hyperlink" Target="https://www.sec.gov/Archives/edgar/data/1740279/000110465920115697/tm2030088d8_ex10-8.htm" TargetMode="External"/><Relationship Id="rId55" Type="http://schemas.openxmlformats.org/officeDocument/2006/relationships/hyperlink" Target="https://www.sec.gov/Archives/edgar/data/1740279/000110465920115697/tm2030088d8_ex10-9.htm" TargetMode="External"/><Relationship Id="rId56" Type="http://schemas.openxmlformats.org/officeDocument/2006/relationships/hyperlink" Target="https://www.sec.gov/Archives/edgar/data/1740279/000110465920115697/tm2030088d8_ex10-10.htm" TargetMode="External"/><Relationship Id="rId57" Type="http://schemas.openxmlformats.org/officeDocument/2006/relationships/hyperlink" Target="https://www.sec.gov/Archives/edgar/data/1740279/000110465920115697/tm2030088d8_ex10-11.htm" TargetMode="External"/><Relationship Id="rId58" Type="http://schemas.openxmlformats.org/officeDocument/2006/relationships/hyperlink" Target="https://www.sec.gov/Archives/edgar/data/1740279/000110465920115697/tm2030088d8_ex10-11.htm" TargetMode="External"/><Relationship Id="rId59" Type="http://schemas.openxmlformats.org/officeDocument/2006/relationships/hyperlink" Target="https://www.sec.gov/Archives/edgar/data/1740279/000110465920115697/tm2030088d8_ex10-12.htm" TargetMode="External"/><Relationship Id="rId60" Type="http://schemas.openxmlformats.org/officeDocument/2006/relationships/hyperlink" Target="https://www.sec.gov/Archives/edgar/data/1740279/000110465920115697/tm2030088d8_ex10-13.htm" TargetMode="External"/><Relationship Id="rId61" Type="http://schemas.openxmlformats.org/officeDocument/2006/relationships/hyperlink" Target="https://www.sec.gov/Archives/edgar/data/1740279/000110465920115697/tm2030088d8_ex10-14.htm" TargetMode="External"/><Relationship Id="rId62" Type="http://schemas.openxmlformats.org/officeDocument/2006/relationships/hyperlink" Target="https://www.sec.gov/Archives/edgar/data/1740279/000110465920115697/tm2030088d8_ex10-15.htm" TargetMode="External"/><Relationship Id="rId63" Type="http://schemas.openxmlformats.org/officeDocument/2006/relationships/hyperlink" Target="https://www.sec.gov/Archives/edgar/data/1740279/000110465921044928/tm2030088d19_ex10-16.htm" TargetMode="External"/><Relationship Id="rId64" Type="http://schemas.openxmlformats.org/officeDocument/2006/relationships/hyperlink" Target="https://www.sec.gov/Archives/edgar/data/1740279/000119312524215154/d806767dex101.htm" TargetMode="External"/><Relationship Id="rId65" Type="http://schemas.openxmlformats.org/officeDocument/2006/relationships/hyperlink" Target="https://www.sec.gov/Archives/edgar/data/1740279/000110465921044928/tm2030088d19_ex10-17.htm" TargetMode="External"/><Relationship Id="rId66" Type="http://schemas.openxmlformats.org/officeDocument/2006/relationships/hyperlink" Target="https://www.sec.gov/Archives/edgar/data/1740279/000119312524215154/d806767dex103.htm" TargetMode="External"/><Relationship Id="rId67" Type="http://schemas.openxmlformats.org/officeDocument/2006/relationships/hyperlink" Target="https://www.sec.gov/Archives/edgar/data/1740279/000095017022004101/inab-ex10_19.htm" TargetMode="External"/><Relationship Id="rId68" Type="http://schemas.openxmlformats.org/officeDocument/2006/relationships/hyperlink" Target="https://www.sec.gov/Archives/edgar/data/1740279/000119312524215154/d806767dex102.htm" TargetMode="External"/><Relationship Id="rId69" Type="http://schemas.openxmlformats.org/officeDocument/2006/relationships/hyperlink" Target="https://www.sec.gov/Archives/edgar/data/1740279/000119312524215154/d806767dex102.htm" TargetMode="External"/><Relationship Id="rId70" Type="http://schemas.openxmlformats.org/officeDocument/2006/relationships/hyperlink" Target="https://www.sec.gov/Archives/edgar/data/1740279/000095017024125537/inab-ex10_8.htm" TargetMode="External"/><Relationship Id="rId71" Type="http://schemas.openxmlformats.org/officeDocument/2006/relationships/hyperlink" Target="https://www.sec.gov/Archives/edgar/data/1740279/000095017022004101/inab-ex10_20.htm" TargetMode="External"/><Relationship Id="rId72" Type="http://schemas.openxmlformats.org/officeDocument/2006/relationships/hyperlink" Target="https://www.sec.gov/Archives/edgar/data/1740279/000119312524215154/d806767dex104.htm" TargetMode="External"/><Relationship Id="rId73" Type="http://schemas.openxmlformats.org/officeDocument/2006/relationships/hyperlink" Target="https://www.sec.gov/Archives/edgar/data/1740279/000095017024031486/inab-ex10_23.htm" TargetMode="External"/><Relationship Id="rId74" Type="http://schemas.openxmlformats.org/officeDocument/2006/relationships/hyperlink" Target="https://www.sec.gov/Archives/edgar/data/1740279/000119312524215154/d806767dex105.htm" TargetMode="External"/><Relationship Id="rId75" Type="http://schemas.openxmlformats.org/officeDocument/2006/relationships/hyperlink" Target="https://www.sec.gov/Archives/edgar/data/1740279/000119312523292706/d634758dex101.htm" TargetMode="External"/><Relationship Id="rId76" Type="http://schemas.openxmlformats.org/officeDocument/2006/relationships/hyperlink" Target="https://www.sec.gov/Archives/edgar/data/1740279/000119312524230283/d895981dex101.htm" TargetMode="External"/><Relationship Id="rId77" Type="http://schemas.openxmlformats.org/officeDocument/2006/relationships/hyperlink" Target="https://www.sec.gov/Archives/edgar/data/1740279/000095017024056910/inab-ex10_2.htm" TargetMode="External"/><Relationship Id="rId78" Type="http://schemas.openxmlformats.org/officeDocument/2006/relationships/hyperlink" Target="https://www.sec.gov/Archives/edgar/data/1740279/000095017024056910/inab-ex10_3.htm" TargetMode="External"/><Relationship Id="rId79" Type="http://schemas.openxmlformats.org/officeDocument/2006/relationships/hyperlink" Target="https://www.sec.gov/Archives/edgar/data/1740279/000095017024056910/inab-ex10_4.htm" TargetMode="External"/><Relationship Id="rId80" Type="http://schemas.openxmlformats.org/officeDocument/2006/relationships/hyperlink" Target="https://www.sec.gov/Archives/edgar/data/1740279/000095017024031486/inab-ex97.htm" TargetMode="External"/><Relationship Id="rId81" Type="http://schemas.openxmlformats.org/officeDocument/2006/relationships/hyperlink" Target="https://www.sec.gov/Archives/edgar/data/1740279/000095017024031486/inab-ex97.htm" TargetMode="External"/><Relationship Id="rId82" Type="http://schemas.openxmlformats.org/officeDocument/2006/relationships/image" Target="media/image28.jpeg"/><Relationship Id="rId83" Type="http://schemas.openxmlformats.org/officeDocument/2006/relationships/image" Target="media/image28.jpeg"/><Relationship Id="rId84" Type="http://schemas.openxmlformats.org/officeDocument/2006/relationships/image" Target="media/image29.jpeg"/><Relationship Id="rId85" Type="http://schemas.openxmlformats.org/officeDocument/2006/relationships/image" Target="media/image30.jpeg"/><Relationship Id="rId86" Type="http://schemas.openxmlformats.org/officeDocument/2006/relationships/image" Target="media/image31.jpeg"/><Relationship Id="rId87" Type="http://schemas.openxmlformats.org/officeDocument/2006/relationships/image" Target="media/image30.jpeg"/><Relationship Id="rId88" Type="http://schemas.openxmlformats.org/officeDocument/2006/relationships/image" Target="media/image30.jpeg"/><Relationship Id="rId89" Type="http://schemas.openxmlformats.org/officeDocument/2006/relationships/image" Target="media/image32.jpeg"/><Relationship Id="rId90" Type="http://schemas.openxmlformats.org/officeDocument/2006/relationships/image" Target="media/image28.jpeg"/><Relationship Id="rId91" Type="http://schemas.openxmlformats.org/officeDocument/2006/relationships/fontTable" Target="fontTable.xml"/><Relationship Id="rId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136701</Words>
  <Characters>756648</Characters>
  <CharactersWithSpaces>892141</CharactersWithSpaces>
  <Paragraphs>6734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