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2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IN8bio, Inc.</w:t>
      </w:r>
    </w:p>
    <w:p>
      <w:pPr>
        <w:spacing w:after="0" w:line="4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Common Stock, $0.0001 Par Value Per Share</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45674E 109</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2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980" w:hanging="972"/>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rFonts w:ascii="MS PGothic" w:cs="MS PGothic" w:eastAsia="MS PGothic" w:hAnsi="MS PGothic"/>
          <w:sz w:val="18"/>
          <w:szCs w:val="18"/>
          <w:color w:val="auto"/>
        </w:rPr>
      </w:pPr>
    </w:p>
    <w:p>
      <w:pPr>
        <w:ind w:left="980" w:hanging="972"/>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980" w:hanging="972"/>
        <w:spacing w:after="0"/>
        <w:tabs>
          <w:tab w:leader="none" w:pos="9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25" w:lineRule="exact"/>
        <w:rPr>
          <w:sz w:val="24"/>
          <w:szCs w:val="24"/>
          <w:color w:val="auto"/>
        </w:rPr>
      </w:pPr>
    </w:p>
    <w:p>
      <w:pPr>
        <w:ind w:left="100" w:right="20" w:hanging="93"/>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766445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1024" w:right="37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CUSIP No. 45674E 109</w:t>
            </w: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740" w:type="dxa"/>
            <w:vAlign w:val="bottom"/>
            <w:gridSpan w:val="2"/>
          </w:tcPr>
          <w:p>
            <w:pPr>
              <w:ind w:left="6440"/>
              <w:spacing w:after="0"/>
              <w:rPr>
                <w:sz w:val="20"/>
                <w:szCs w:val="20"/>
                <w:color w:val="auto"/>
              </w:rPr>
            </w:pPr>
            <w:r>
              <w:rPr>
                <w:rFonts w:ascii="Times New Roman" w:cs="Times New Roman" w:eastAsia="Times New Roman" w:hAnsi="Times New Roman"/>
                <w:sz w:val="18"/>
                <w:szCs w:val="18"/>
                <w:color w:val="auto"/>
                <w:w w:val="99"/>
              </w:rPr>
              <w:t>Page 2 of 4 Pages</w:t>
            </w:r>
          </w:p>
        </w:tc>
        <w:tc>
          <w:tcPr>
            <w:tcW w:w="0" w:type="dxa"/>
            <w:vAlign w:val="bottom"/>
          </w:tcPr>
          <w:p>
            <w:pPr>
              <w:spacing w:after="0"/>
              <w:rPr>
                <w:sz w:val="1"/>
                <w:szCs w:val="1"/>
                <w:color w:val="auto"/>
              </w:rPr>
            </w:pPr>
          </w:p>
        </w:tc>
      </w:tr>
      <w:tr>
        <w:trPr>
          <w:trHeight w:val="243"/>
        </w:trPr>
        <w:tc>
          <w:tcPr>
            <w:tcW w:w="17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gridSpan w:val="2"/>
          </w:tcPr>
          <w:p>
            <w:pPr>
              <w:spacing w:after="0"/>
              <w:rPr>
                <w:sz w:val="21"/>
                <w:szCs w:val="21"/>
                <w:color w:val="auto"/>
              </w:rPr>
            </w:pPr>
          </w:p>
        </w:tc>
        <w:tc>
          <w:tcPr>
            <w:tcW w:w="7720" w:type="dxa"/>
            <w:vAlign w:val="bottom"/>
            <w:tcBorders>
              <w:bottom w:val="single" w:sz="8" w:color="auto"/>
            </w:tcBorders>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172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6"/>
                <w:szCs w:val="16"/>
                <w:color w:val="auto"/>
              </w:rPr>
            </w:pPr>
          </w:p>
        </w:tc>
        <w:tc>
          <w:tcPr>
            <w:tcW w:w="9440" w:type="dxa"/>
            <w:vAlign w:val="bottom"/>
            <w:tcBorders>
              <w:right w:val="single" w:sz="8" w:color="auto"/>
            </w:tcBorders>
            <w:gridSpan w:val="4"/>
          </w:tcPr>
          <w:p>
            <w:pPr>
              <w:spacing w:after="0" w:line="191" w:lineRule="exact"/>
              <w:rPr>
                <w:sz w:val="20"/>
                <w:szCs w:val="20"/>
                <w:color w:val="auto"/>
              </w:rPr>
            </w:pPr>
            <w:r>
              <w:rPr>
                <w:rFonts w:ascii="Times New Roman" w:cs="Times New Roman" w:eastAsia="Times New Roman" w:hAnsi="Times New Roman"/>
                <w:sz w:val="18"/>
                <w:szCs w:val="18"/>
                <w:color w:val="auto"/>
              </w:rPr>
              <w:t>Name of Reporting Persons</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720" w:type="dxa"/>
            <w:vAlign w:val="bottom"/>
            <w:tcBorders>
              <w:left w:val="single" w:sz="8" w:color="auto"/>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William Tai-Wei Ho</w:t>
            </w:r>
          </w:p>
        </w:tc>
        <w:tc>
          <w:tcPr>
            <w:tcW w:w="772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1720" w:type="dxa"/>
            <w:vAlign w:val="bottom"/>
            <w:tcBorders>
              <w:left w:val="single" w:sz="8" w:color="auto"/>
              <w:right w:val="single" w:sz="8" w:color="auto"/>
            </w:tcBorders>
          </w:tcPr>
          <w:p>
            <w:pPr>
              <w:ind w:left="180"/>
              <w:spacing w:after="0" w:line="156" w:lineRule="exact"/>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3"/>
                <w:szCs w:val="13"/>
                <w:color w:val="auto"/>
              </w:rPr>
            </w:pPr>
          </w:p>
        </w:tc>
        <w:tc>
          <w:tcPr>
            <w:tcW w:w="9440" w:type="dxa"/>
            <w:vAlign w:val="bottom"/>
            <w:tcBorders>
              <w:right w:val="single" w:sz="8" w:color="auto"/>
            </w:tcBorders>
            <w:gridSpan w:val="4"/>
          </w:tcPr>
          <w:p>
            <w:pPr>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1720" w:type="dxa"/>
            <w:vAlign w:val="bottom"/>
            <w:tcBorders>
              <w:left w:val="single" w:sz="8" w:color="auto"/>
              <w:bottom w:val="single" w:sz="8" w:color="auto"/>
              <w:right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gridSpan w:val="2"/>
          </w:tcPr>
          <w:p>
            <w:pPr>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3"/>
                <w:szCs w:val="23"/>
                <w:color w:val="auto"/>
              </w:rPr>
            </w:pPr>
          </w:p>
        </w:tc>
        <w:tc>
          <w:tcPr>
            <w:tcW w:w="7720" w:type="dxa"/>
            <w:vAlign w:val="bottom"/>
            <w:tcBorders>
              <w:bottom w:val="single" w:sz="8" w:color="auto"/>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172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420" w:type="dxa"/>
            <w:vAlign w:val="bottom"/>
            <w:tcBorders>
              <w:bottom w:val="single" w:sz="8" w:color="auto"/>
            </w:tcBorders>
          </w:tcPr>
          <w:p>
            <w:pPr>
              <w:spacing w:after="0"/>
              <w:rPr>
                <w:sz w:val="18"/>
                <w:szCs w:val="18"/>
                <w:color w:val="auto"/>
              </w:rPr>
            </w:pPr>
          </w:p>
        </w:tc>
        <w:tc>
          <w:tcPr>
            <w:tcW w:w="7720" w:type="dxa"/>
            <w:vAlign w:val="bottom"/>
            <w:tcBorders>
              <w:bottom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72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6"/>
                <w:szCs w:val="16"/>
                <w:color w:val="auto"/>
              </w:rPr>
            </w:pPr>
          </w:p>
        </w:tc>
        <w:tc>
          <w:tcPr>
            <w:tcW w:w="9440" w:type="dxa"/>
            <w:vAlign w:val="bottom"/>
            <w:tcBorders>
              <w:right w:val="single" w:sz="8" w:color="auto"/>
            </w:tcBorders>
            <w:gridSpan w:val="4"/>
          </w:tcPr>
          <w:p>
            <w:pPr>
              <w:spacing w:after="0" w:line="191" w:lineRule="exact"/>
              <w:rPr>
                <w:sz w:val="20"/>
                <w:szCs w:val="20"/>
                <w:color w:val="auto"/>
              </w:rPr>
            </w:pPr>
            <w:r>
              <w:rPr>
                <w:rFonts w:ascii="Times New Roman" w:cs="Times New Roman" w:eastAsia="Times New Roman" w:hAnsi="Times New Roman"/>
                <w:sz w:val="18"/>
                <w:szCs w:val="18"/>
                <w:color w:val="auto"/>
              </w:rPr>
              <w:t>Citizenship or Place of Organization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720" w:type="dxa"/>
            <w:vAlign w:val="bottom"/>
            <w:tcBorders>
              <w:left w:val="single" w:sz="8" w:color="auto"/>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40" w:type="dxa"/>
            <w:vAlign w:val="bottom"/>
            <w:tcBorders>
              <w:bottom w:val="single" w:sz="8" w:color="auto"/>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840" w:type="dxa"/>
            <w:vAlign w:val="bottom"/>
            <w:tcBorders>
              <w:left w:val="single" w:sz="8" w:color="auto"/>
              <w:right w:val="single" w:sz="8" w:color="auto"/>
            </w:tcBorders>
            <w:gridSpan w:val="3"/>
          </w:tcPr>
          <w:p>
            <w:pPr>
              <w:jc w:val="center"/>
              <w:spacing w:after="0" w:line="191" w:lineRule="exact"/>
              <w:rPr>
                <w:sz w:val="20"/>
                <w:szCs w:val="20"/>
                <w:color w:val="auto"/>
              </w:rPr>
            </w:pPr>
            <w:r>
              <w:rPr>
                <w:rFonts w:ascii="Times New Roman" w:cs="Times New Roman" w:eastAsia="Times New Roman" w:hAnsi="Times New Roman"/>
                <w:sz w:val="18"/>
                <w:szCs w:val="18"/>
                <w:color w:val="auto"/>
              </w:rPr>
              <w:t>Number of</w:t>
            </w:r>
          </w:p>
        </w:tc>
        <w:tc>
          <w:tcPr>
            <w:tcW w:w="260" w:type="dxa"/>
            <w:vAlign w:val="bottom"/>
          </w:tcPr>
          <w:p>
            <w:pPr>
              <w:spacing w:after="0"/>
              <w:rPr>
                <w:sz w:val="16"/>
                <w:szCs w:val="16"/>
                <w:color w:val="auto"/>
              </w:rPr>
            </w:pPr>
          </w:p>
        </w:tc>
        <w:tc>
          <w:tcPr>
            <w:tcW w:w="420" w:type="dxa"/>
            <w:vAlign w:val="bottom"/>
            <w:tcBorders>
              <w:right w:val="single" w:sz="8" w:color="auto"/>
            </w:tcBorders>
          </w:tcPr>
          <w:p>
            <w:pPr>
              <w:jc w:val="right"/>
              <w:ind w:right="150"/>
              <w:spacing w:after="0" w:line="191" w:lineRule="exact"/>
              <w:rPr>
                <w:sz w:val="20"/>
                <w:szCs w:val="20"/>
                <w:color w:val="auto"/>
              </w:rPr>
            </w:pPr>
            <w:r>
              <w:rPr>
                <w:rFonts w:ascii="Times New Roman" w:cs="Times New Roman" w:eastAsia="Times New Roman" w:hAnsi="Times New Roman"/>
                <w:sz w:val="18"/>
                <w:szCs w:val="18"/>
                <w:color w:val="auto"/>
              </w:rPr>
              <w:t>5.</w:t>
            </w:r>
          </w:p>
        </w:tc>
        <w:tc>
          <w:tcPr>
            <w:tcW w:w="772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800" w:type="dxa"/>
            <w:vAlign w:val="bottom"/>
            <w:tcBorders>
              <w:left w:val="single" w:sz="8" w:color="auto"/>
            </w:tcBorders>
            <w:gridSpan w:val="2"/>
          </w:tcPr>
          <w:p>
            <w:pPr>
              <w:jc w:val="center"/>
              <w:ind w:left="950"/>
              <w:spacing w:after="0"/>
              <w:rPr>
                <w:sz w:val="20"/>
                <w:szCs w:val="20"/>
                <w:color w:val="auto"/>
              </w:rPr>
            </w:pPr>
            <w:r>
              <w:rPr>
                <w:rFonts w:ascii="Times New Roman" w:cs="Times New Roman" w:eastAsia="Times New Roman" w:hAnsi="Times New Roman"/>
                <w:sz w:val="18"/>
                <w:szCs w:val="18"/>
                <w:color w:val="auto"/>
                <w:w w:val="99"/>
              </w:rPr>
              <w:t>Shares</w:t>
            </w:r>
          </w:p>
        </w:tc>
        <w:tc>
          <w:tcPr>
            <w:tcW w:w="1040" w:type="dxa"/>
            <w:vAlign w:val="bottom"/>
            <w:tcBorders>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77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2,871,006(1)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840" w:type="dxa"/>
            <w:vAlign w:val="bottom"/>
            <w:tcBorders>
              <w:left w:val="single" w:sz="8" w:color="auto"/>
              <w:right w:val="single" w:sz="8" w:color="auto"/>
            </w:tcBorders>
            <w:gridSpan w:val="3"/>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Beneficially</w:t>
            </w:r>
          </w:p>
        </w:tc>
        <w:tc>
          <w:tcPr>
            <w:tcW w:w="260" w:type="dxa"/>
            <w:vAlign w:val="bottom"/>
          </w:tcPr>
          <w:p>
            <w:pPr>
              <w:spacing w:after="0"/>
              <w:rPr>
                <w:sz w:val="16"/>
                <w:szCs w:val="16"/>
                <w:color w:val="auto"/>
              </w:rPr>
            </w:pPr>
          </w:p>
        </w:tc>
        <w:tc>
          <w:tcPr>
            <w:tcW w:w="420" w:type="dxa"/>
            <w:vAlign w:val="bottom"/>
            <w:tcBorders>
              <w:right w:val="single" w:sz="8" w:color="auto"/>
            </w:tcBorders>
          </w:tcPr>
          <w:p>
            <w:pPr>
              <w:jc w:val="right"/>
              <w:ind w:right="150"/>
              <w:spacing w:after="0" w:line="191" w:lineRule="exact"/>
              <w:rPr>
                <w:sz w:val="20"/>
                <w:szCs w:val="20"/>
                <w:color w:val="auto"/>
              </w:rPr>
            </w:pPr>
            <w:r>
              <w:rPr>
                <w:rFonts w:ascii="Times New Roman" w:cs="Times New Roman" w:eastAsia="Times New Roman" w:hAnsi="Times New Roman"/>
                <w:sz w:val="18"/>
                <w:szCs w:val="18"/>
                <w:color w:val="auto"/>
              </w:rPr>
              <w:t>6.</w:t>
            </w:r>
          </w:p>
        </w:tc>
        <w:tc>
          <w:tcPr>
            <w:tcW w:w="772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800" w:type="dxa"/>
            <w:vAlign w:val="bottom"/>
            <w:tcBorders>
              <w:left w:val="single" w:sz="8" w:color="auto"/>
            </w:tcBorders>
            <w:gridSpan w:val="2"/>
          </w:tcPr>
          <w:p>
            <w:pPr>
              <w:jc w:val="center"/>
              <w:ind w:left="950"/>
              <w:spacing w:after="0"/>
              <w:rPr>
                <w:sz w:val="20"/>
                <w:szCs w:val="20"/>
                <w:color w:val="auto"/>
              </w:rPr>
            </w:pPr>
            <w:r>
              <w:rPr>
                <w:rFonts w:ascii="Times New Roman" w:cs="Times New Roman" w:eastAsia="Times New Roman" w:hAnsi="Times New Roman"/>
                <w:sz w:val="18"/>
                <w:szCs w:val="18"/>
                <w:color w:val="auto"/>
              </w:rPr>
              <w:t>Owned by</w:t>
            </w:r>
          </w:p>
        </w:tc>
        <w:tc>
          <w:tcPr>
            <w:tcW w:w="1040" w:type="dxa"/>
            <w:vAlign w:val="bottom"/>
            <w:tcBorders>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77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255,499(2)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800" w:type="dxa"/>
            <w:vAlign w:val="bottom"/>
            <w:tcBorders>
              <w:left w:val="single" w:sz="8" w:color="auto"/>
            </w:tcBorders>
            <w:gridSpan w:val="2"/>
          </w:tcPr>
          <w:p>
            <w:pPr>
              <w:jc w:val="center"/>
              <w:ind w:left="950"/>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104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Borders>
              <w:right w:val="single" w:sz="8" w:color="auto"/>
            </w:tcBorders>
          </w:tcPr>
          <w:p>
            <w:pPr>
              <w:jc w:val="right"/>
              <w:ind w:right="15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7720" w:type="dxa"/>
            <w:vAlign w:val="bottom"/>
            <w:tcBorders>
              <w:right w:val="single" w:sz="8" w:color="auto"/>
            </w:tcBorders>
          </w:tcPr>
          <w:p>
            <w:pPr>
              <w:ind w:left="8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800" w:type="dxa"/>
            <w:vAlign w:val="bottom"/>
            <w:tcBorders>
              <w:left w:val="single" w:sz="8" w:color="auto"/>
            </w:tcBorders>
            <w:gridSpan w:val="2"/>
          </w:tcPr>
          <w:p>
            <w:pPr>
              <w:jc w:val="center"/>
              <w:ind w:left="950"/>
              <w:spacing w:after="0"/>
              <w:rPr>
                <w:sz w:val="20"/>
                <w:szCs w:val="20"/>
                <w:color w:val="auto"/>
              </w:rPr>
            </w:pPr>
            <w:r>
              <w:rPr>
                <w:rFonts w:ascii="Times New Roman" w:cs="Times New Roman" w:eastAsia="Times New Roman" w:hAnsi="Times New Roman"/>
                <w:sz w:val="18"/>
                <w:szCs w:val="18"/>
                <w:color w:val="auto"/>
                <w:w w:val="99"/>
              </w:rPr>
              <w:t>Reporting</w:t>
            </w:r>
          </w:p>
        </w:tc>
        <w:tc>
          <w:tcPr>
            <w:tcW w:w="104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7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2,871,006(1)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1800" w:type="dxa"/>
            <w:vAlign w:val="bottom"/>
            <w:tcBorders>
              <w:left w:val="single" w:sz="8" w:color="auto"/>
            </w:tcBorders>
            <w:gridSpan w:val="2"/>
            <w:vMerge w:val="restart"/>
          </w:tcPr>
          <w:p>
            <w:pPr>
              <w:jc w:val="center"/>
              <w:ind w:left="950"/>
              <w:spacing w:after="0"/>
              <w:rPr>
                <w:sz w:val="20"/>
                <w:szCs w:val="20"/>
                <w:color w:val="auto"/>
              </w:rPr>
            </w:pPr>
            <w:r>
              <w:rPr>
                <w:rFonts w:ascii="Times New Roman" w:cs="Times New Roman" w:eastAsia="Times New Roman" w:hAnsi="Times New Roman"/>
                <w:sz w:val="18"/>
                <w:szCs w:val="18"/>
                <w:color w:val="auto"/>
                <w:w w:val="97"/>
              </w:rPr>
              <w:t>Person</w:t>
            </w:r>
          </w:p>
        </w:tc>
        <w:tc>
          <w:tcPr>
            <w:tcW w:w="1040" w:type="dxa"/>
            <w:vAlign w:val="bottom"/>
            <w:tcBorders>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7720" w:type="dxa"/>
            <w:vAlign w:val="bottom"/>
            <w:tcBorders>
              <w:bottom w:val="single" w:sz="8" w:color="auto"/>
              <w:right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800" w:type="dxa"/>
            <w:vAlign w:val="bottom"/>
            <w:tcBorders>
              <w:left w:val="single" w:sz="8" w:color="auto"/>
            </w:tcBorders>
            <w:gridSpan w:val="2"/>
            <w:vMerge w:val="continue"/>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Borders>
              <w:right w:val="single" w:sz="8" w:color="auto"/>
            </w:tcBorders>
          </w:tcPr>
          <w:p>
            <w:pPr>
              <w:jc w:val="right"/>
              <w:ind w:right="150"/>
              <w:spacing w:after="0" w:line="164" w:lineRule="exact"/>
              <w:rPr>
                <w:sz w:val="20"/>
                <w:szCs w:val="20"/>
                <w:color w:val="auto"/>
              </w:rPr>
            </w:pPr>
            <w:r>
              <w:rPr>
                <w:rFonts w:ascii="Times New Roman" w:cs="Times New Roman" w:eastAsia="Times New Roman" w:hAnsi="Times New Roman"/>
                <w:sz w:val="18"/>
                <w:szCs w:val="18"/>
                <w:color w:val="auto"/>
              </w:rPr>
              <w:t>8.</w:t>
            </w:r>
          </w:p>
        </w:tc>
        <w:tc>
          <w:tcPr>
            <w:tcW w:w="7720" w:type="dxa"/>
            <w:vAlign w:val="bottom"/>
            <w:tcBorders>
              <w:right w:val="single" w:sz="8" w:color="auto"/>
            </w:tcBorders>
          </w:tcPr>
          <w:p>
            <w:pPr>
              <w:ind w:left="80"/>
              <w:spacing w:after="0" w:line="164" w:lineRule="exact"/>
              <w:rPr>
                <w:sz w:val="20"/>
                <w:szCs w:val="20"/>
                <w:color w:val="auto"/>
              </w:rPr>
            </w:pPr>
            <w:r>
              <w:rPr>
                <w:rFonts w:ascii="Times New Roman" w:cs="Times New Roman" w:eastAsia="Times New Roman" w:hAnsi="Times New Roman"/>
                <w:sz w:val="18"/>
                <w:szCs w:val="18"/>
                <w:color w:val="auto"/>
              </w:rPr>
              <w:t>Shared Dispositive Power</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1"/>
        </w:trPr>
        <w:tc>
          <w:tcPr>
            <w:tcW w:w="1800" w:type="dxa"/>
            <w:vAlign w:val="bottom"/>
            <w:tcBorders>
              <w:left w:val="single" w:sz="8" w:color="auto"/>
              <w:bottom w:val="single" w:sz="8" w:color="auto"/>
            </w:tcBorders>
            <w:gridSpan w:val="2"/>
          </w:tcPr>
          <w:p>
            <w:pPr>
              <w:jc w:val="center"/>
              <w:ind w:left="950"/>
              <w:spacing w:after="0"/>
              <w:rPr>
                <w:sz w:val="20"/>
                <w:szCs w:val="20"/>
                <w:color w:val="auto"/>
              </w:rPr>
            </w:pPr>
            <w:r>
              <w:rPr>
                <w:rFonts w:ascii="Times New Roman" w:cs="Times New Roman" w:eastAsia="Times New Roman" w:hAnsi="Times New Roman"/>
                <w:sz w:val="18"/>
                <w:szCs w:val="18"/>
                <w:color w:val="auto"/>
                <w:w w:val="97"/>
              </w:rPr>
              <w:t>With:</w:t>
            </w:r>
          </w:p>
        </w:tc>
        <w:tc>
          <w:tcPr>
            <w:tcW w:w="1040" w:type="dxa"/>
            <w:vAlign w:val="bottom"/>
            <w:tcBorders>
              <w:bottom w:val="single" w:sz="8" w:color="auto"/>
              <w:right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420" w:type="dxa"/>
            <w:vAlign w:val="bottom"/>
            <w:tcBorders>
              <w:bottom w:val="single" w:sz="8" w:color="auto"/>
              <w:right w:val="single" w:sz="8" w:color="auto"/>
            </w:tcBorders>
          </w:tcPr>
          <w:p>
            <w:pPr>
              <w:spacing w:after="0"/>
              <w:rPr>
                <w:sz w:val="22"/>
                <w:szCs w:val="22"/>
                <w:color w:val="auto"/>
              </w:rPr>
            </w:pPr>
          </w:p>
        </w:tc>
        <w:tc>
          <w:tcPr>
            <w:tcW w:w="77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145,999(3)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172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6"/>
                <w:szCs w:val="16"/>
                <w:color w:val="auto"/>
              </w:rPr>
            </w:pPr>
          </w:p>
        </w:tc>
        <w:tc>
          <w:tcPr>
            <w:tcW w:w="9440" w:type="dxa"/>
            <w:vAlign w:val="bottom"/>
            <w:tcBorders>
              <w:right w:val="single" w:sz="8" w:color="auto"/>
            </w:tcBorders>
            <w:gridSpan w:val="4"/>
          </w:tcPr>
          <w:p>
            <w:pPr>
              <w:spacing w:after="0" w:line="191" w:lineRule="exact"/>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720" w:type="dxa"/>
            <w:vAlign w:val="bottom"/>
            <w:tcBorders>
              <w:left w:val="single" w:sz="8" w:color="auto"/>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3,126,505(1)(2)</w:t>
            </w:r>
          </w:p>
        </w:tc>
        <w:tc>
          <w:tcPr>
            <w:tcW w:w="420" w:type="dxa"/>
            <w:vAlign w:val="bottom"/>
            <w:tcBorders>
              <w:bottom w:val="single" w:sz="8" w:color="auto"/>
            </w:tcBorders>
          </w:tcPr>
          <w:p>
            <w:pPr>
              <w:spacing w:after="0"/>
              <w:rPr>
                <w:sz w:val="20"/>
                <w:szCs w:val="20"/>
                <w:color w:val="auto"/>
              </w:rPr>
            </w:pPr>
          </w:p>
        </w:tc>
        <w:tc>
          <w:tcPr>
            <w:tcW w:w="772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1720" w:type="dxa"/>
            <w:vAlign w:val="bottom"/>
            <w:tcBorders>
              <w:left w:val="single" w:sz="8" w:color="auto"/>
              <w:right w:val="single" w:sz="8" w:color="auto"/>
            </w:tcBorders>
          </w:tcPr>
          <w:p>
            <w:pPr>
              <w:ind w:left="180"/>
              <w:spacing w:after="0" w:line="156" w:lineRule="exact"/>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3"/>
                <w:szCs w:val="13"/>
                <w:color w:val="auto"/>
              </w:rPr>
            </w:pPr>
          </w:p>
        </w:tc>
        <w:tc>
          <w:tcPr>
            <w:tcW w:w="9440" w:type="dxa"/>
            <w:vAlign w:val="bottom"/>
            <w:tcBorders>
              <w:right w:val="single" w:sz="8" w:color="auto"/>
            </w:tcBorders>
            <w:gridSpan w:val="4"/>
          </w:tcPr>
          <w:p>
            <w:pPr>
              <w:spacing w:after="0" w:line="156" w:lineRule="exact"/>
              <w:rPr>
                <w:sz w:val="20"/>
                <w:szCs w:val="20"/>
                <w:color w:val="auto"/>
              </w:rPr>
            </w:pPr>
            <w:r>
              <w:rPr>
                <w:rFonts w:ascii="Times New Roman" w:cs="Times New Roman" w:eastAsia="Times New Roman" w:hAnsi="Times New Roman"/>
                <w:sz w:val="18"/>
                <w:szCs w:val="18"/>
                <w:color w:val="auto"/>
              </w:rPr>
              <w:t>Check if the Aggregate Amount in Row (9) Excludes Certain Shares (See Instructions)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1720" w:type="dxa"/>
            <w:vAlign w:val="bottom"/>
            <w:tcBorders>
              <w:left w:val="single" w:sz="8" w:color="auto"/>
              <w:bottom w:val="single" w:sz="8" w:color="auto"/>
              <w:right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2"/>
                <w:szCs w:val="22"/>
                <w:color w:val="auto"/>
              </w:rPr>
            </w:pPr>
          </w:p>
        </w:tc>
        <w:tc>
          <w:tcPr>
            <w:tcW w:w="7720" w:type="dxa"/>
            <w:vAlign w:val="bottom"/>
            <w:tcBorders>
              <w:bottom w:val="single" w:sz="8" w:color="auto"/>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172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6"/>
                <w:szCs w:val="16"/>
                <w:color w:val="auto"/>
              </w:rPr>
            </w:pPr>
          </w:p>
        </w:tc>
        <w:tc>
          <w:tcPr>
            <w:tcW w:w="9440" w:type="dxa"/>
            <w:vAlign w:val="bottom"/>
            <w:tcBorders>
              <w:right w:val="single" w:sz="8" w:color="auto"/>
            </w:tcBorders>
            <w:gridSpan w:val="4"/>
          </w:tcPr>
          <w:p>
            <w:pPr>
              <w:spacing w:after="0" w:line="191" w:lineRule="exact"/>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720" w:type="dxa"/>
            <w:vAlign w:val="bottom"/>
            <w:tcBorders>
              <w:left w:val="single" w:sz="8" w:color="auto"/>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7.1%(4)</w:t>
            </w:r>
          </w:p>
        </w:tc>
        <w:tc>
          <w:tcPr>
            <w:tcW w:w="2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72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72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6"/>
                <w:szCs w:val="16"/>
                <w:color w:val="auto"/>
              </w:rPr>
            </w:pPr>
          </w:p>
        </w:tc>
        <w:tc>
          <w:tcPr>
            <w:tcW w:w="9440" w:type="dxa"/>
            <w:vAlign w:val="bottom"/>
            <w:tcBorders>
              <w:right w:val="single" w:sz="8" w:color="auto"/>
            </w:tcBorders>
            <w:gridSpan w:val="4"/>
          </w:tcPr>
          <w:p>
            <w:pPr>
              <w:spacing w:after="0" w:line="191" w:lineRule="exact"/>
              <w:rPr>
                <w:sz w:val="20"/>
                <w:szCs w:val="20"/>
                <w:color w:val="auto"/>
              </w:rPr>
            </w:pPr>
            <w:r>
              <w:rPr>
                <w:rFonts w:ascii="Times New Roman" w:cs="Times New Roman" w:eastAsia="Times New Roman" w:hAnsi="Times New Roman"/>
                <w:sz w:val="18"/>
                <w:szCs w:val="18"/>
                <w:color w:val="auto"/>
              </w:rPr>
              <w:t>Type of Reporting Person (See Instructions)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720" w:type="dxa"/>
            <w:vAlign w:val="bottom"/>
            <w:tcBorders>
              <w:left w:val="single" w:sz="8" w:color="auto"/>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IN</w:t>
            </w:r>
          </w:p>
        </w:tc>
        <w:tc>
          <w:tcPr>
            <w:tcW w:w="420" w:type="dxa"/>
            <w:vAlign w:val="bottom"/>
            <w:tcBorders>
              <w:bottom w:val="single" w:sz="8" w:color="auto"/>
            </w:tcBorders>
          </w:tcPr>
          <w:p>
            <w:pPr>
              <w:spacing w:after="0"/>
              <w:rPr>
                <w:sz w:val="20"/>
                <w:szCs w:val="20"/>
                <w:color w:val="auto"/>
              </w:rPr>
            </w:pPr>
          </w:p>
        </w:tc>
        <w:tc>
          <w:tcPr>
            <w:tcW w:w="772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80" w:hanging="332"/>
        <w:spacing w:after="0" w:line="257"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2,421,512 shares of Common Stock held of record by the Reporting Person and (ii) 449,494 shares of Common Stock underlying outstanding options held by the Reporting Person that are immediately exercisable or will be immediately exercisable within 60 days of December 31, 2023.</w:t>
      </w:r>
    </w:p>
    <w:p>
      <w:pPr>
        <w:spacing w:after="0" w:line="1" w:lineRule="exact"/>
        <w:rPr>
          <w:rFonts w:ascii="Times New Roman" w:cs="Times New Roman" w:eastAsia="Times New Roman" w:hAnsi="Times New Roman"/>
          <w:sz w:val="18"/>
          <w:szCs w:val="18"/>
          <w:color w:val="auto"/>
        </w:rPr>
      </w:pPr>
    </w:p>
    <w:p>
      <w:pPr>
        <w:ind w:left="340" w:right="200" w:hanging="332"/>
        <w:spacing w:after="0" w:line="250"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145,999 shares of Common Stock held of record by the Reporting Person’s two minor children and (ii) 109,500 shares of Common Stock held of record by certain other relatives of the Reporting Person, over which, under all but certain limited circumstances, the Reporting Person holds an irrevocable proxy, pursuant to voting agreements between the Reporting Person, the Issuer, and such stockholders.</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145,999 shares of Common Stock held of record by the Reporting Person’s two minor children.</w:t>
      </w:r>
    </w:p>
    <w:p>
      <w:pPr>
        <w:spacing w:after="0" w:line="9" w:lineRule="exact"/>
        <w:rPr>
          <w:rFonts w:ascii="Times New Roman" w:cs="Times New Roman" w:eastAsia="Times New Roman" w:hAnsi="Times New Roman"/>
          <w:sz w:val="18"/>
          <w:szCs w:val="18"/>
          <w:color w:val="auto"/>
        </w:rPr>
      </w:pPr>
    </w:p>
    <w:p>
      <w:pPr>
        <w:ind w:left="340" w:right="120" w:hanging="332"/>
        <w:spacing w:after="0" w:line="273" w:lineRule="auto"/>
        <w:tabs>
          <w:tab w:leader="none" w:pos="3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calculation is based on dividing (a) the aggregate number of shares of Common Stock beneficially owned by the Reporting Person as set forth in Row 9 by (b) the sum of (i) 43,287,325 shares of Common Stock outstanding as of as of January 1, 2024 as reported by the Issuer on its Prospectus, dated and filed with the Securities and Exchange Commission on January 18, 2024, and (ii) 449,494 shares of Common Stock underlying outstanding options held by the Reporting Person that are immediately exercisable or will be immediately exercisable within 60 days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tabs>
          <w:tab w:leader="none" w:pos="9940" w:val="left"/>
        </w:tabs>
        <w:rPr>
          <w:sz w:val="20"/>
          <w:szCs w:val="20"/>
          <w:color w:val="auto"/>
        </w:rPr>
      </w:pPr>
      <w:r>
        <w:rPr>
          <w:rFonts w:ascii="Times New Roman" w:cs="Times New Roman" w:eastAsia="Times New Roman" w:hAnsi="Times New Roman"/>
          <w:sz w:val="18"/>
          <w:szCs w:val="18"/>
          <w:color w:val="auto"/>
        </w:rPr>
        <w:t>CUSIP No. 45674E 109</w:t>
      </w:r>
      <w:r>
        <w:rPr>
          <w:sz w:val="20"/>
          <w:szCs w:val="20"/>
          <w:color w:val="auto"/>
        </w:rPr>
        <w:tab/>
      </w:r>
      <w:r>
        <w:rPr>
          <w:rFonts w:ascii="Times New Roman" w:cs="Times New Roman" w:eastAsia="Times New Roman" w:hAnsi="Times New Roman"/>
          <w:sz w:val="17"/>
          <w:szCs w:val="17"/>
          <w:color w:val="auto"/>
        </w:rPr>
        <w:t>Page 3 of 4 Pages</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u w:val="single" w:color="auto"/>
          <w:color w:val="auto"/>
        </w:rPr>
        <w:t>Item 1(a)</w:t>
      </w:r>
      <w:r>
        <w:rPr>
          <w:sz w:val="20"/>
          <w:szCs w:val="20"/>
          <w:color w:val="auto"/>
        </w:rPr>
        <w:tab/>
      </w:r>
      <w:r>
        <w:rPr>
          <w:rFonts w:ascii="Times New Roman" w:cs="Times New Roman" w:eastAsia="Times New Roman" w:hAnsi="Times New Roman"/>
          <w:sz w:val="17"/>
          <w:szCs w:val="17"/>
          <w:u w:val="single" w:color="auto"/>
          <w:color w:val="auto"/>
        </w:rPr>
        <w:t>Name of Issuer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IN8bio, Inc., a Delaware corporation (the “Issuer”)</w:t>
      </w:r>
    </w:p>
    <w:p>
      <w:pPr>
        <w:spacing w:after="0" w:line="13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u w:val="single" w:color="auto"/>
          <w:color w:val="auto"/>
        </w:rPr>
        <w:t>Item 1(b)</w:t>
      </w:r>
      <w:r>
        <w:rPr>
          <w:sz w:val="20"/>
          <w:szCs w:val="20"/>
          <w:color w:val="auto"/>
        </w:rPr>
        <w:tab/>
      </w:r>
      <w:r>
        <w:rPr>
          <w:rFonts w:ascii="Times New Roman" w:cs="Times New Roman" w:eastAsia="Times New Roman" w:hAnsi="Times New Roman"/>
          <w:sz w:val="17"/>
          <w:szCs w:val="17"/>
          <w:u w:val="single" w:color="auto"/>
          <w:color w:val="auto"/>
        </w:rPr>
        <w:t>Address of Issuer’s Principal Executive Offices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350 5th Avenue, Suite 5330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10118</w:t>
      </w:r>
    </w:p>
    <w:p>
      <w:pPr>
        <w:spacing w:after="0" w:line="11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u w:val="single" w:color="auto"/>
          <w:color w:val="auto"/>
        </w:rPr>
        <w:t>Item 2(a)</w:t>
      </w:r>
      <w:r>
        <w:rPr>
          <w:sz w:val="20"/>
          <w:szCs w:val="20"/>
          <w:color w:val="auto"/>
        </w:rPr>
        <w:tab/>
      </w:r>
      <w:r>
        <w:rPr>
          <w:rFonts w:ascii="Times New Roman" w:cs="Times New Roman" w:eastAsia="Times New Roman" w:hAnsi="Times New Roman"/>
          <w:sz w:val="18"/>
          <w:szCs w:val="18"/>
          <w:u w:val="single" w:color="auto"/>
          <w:color w:val="auto"/>
        </w:rPr>
        <w:t>Name of Person Filing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Schedule 13G is filed by William Tai-Wei Ho (the “Reporting Person”).</w:t>
      </w:r>
    </w:p>
    <w:p>
      <w:pPr>
        <w:spacing w:after="0" w:line="13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u w:val="single" w:color="auto"/>
          <w:color w:val="auto"/>
        </w:rPr>
        <w:t>Item 2(b)</w:t>
      </w:r>
      <w:r>
        <w:rPr>
          <w:sz w:val="20"/>
          <w:szCs w:val="20"/>
          <w:color w:val="auto"/>
        </w:rPr>
        <w:tab/>
      </w:r>
      <w:r>
        <w:rPr>
          <w:rFonts w:ascii="Times New Roman" w:cs="Times New Roman" w:eastAsia="Times New Roman" w:hAnsi="Times New Roman"/>
          <w:sz w:val="17"/>
          <w:szCs w:val="17"/>
          <w:u w:val="single" w:color="auto"/>
          <w:color w:val="auto"/>
        </w:rPr>
        <w:t>Address of Principal Business Office or, if none, Residence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IN8bio,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350 5th Avenue, Suite 5330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10118</w:t>
      </w:r>
    </w:p>
    <w:p>
      <w:pPr>
        <w:spacing w:after="0" w:line="11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u w:val="single" w:color="auto"/>
          <w:color w:val="auto"/>
        </w:rPr>
        <w:t>Item 2(c)</w:t>
      </w:r>
      <w:r>
        <w:rPr>
          <w:sz w:val="20"/>
          <w:szCs w:val="20"/>
          <w:color w:val="auto"/>
        </w:rPr>
        <w:tab/>
      </w:r>
      <w:r>
        <w:rPr>
          <w:rFonts w:ascii="Times New Roman" w:cs="Times New Roman" w:eastAsia="Times New Roman" w:hAnsi="Times New Roman"/>
          <w:sz w:val="17"/>
          <w:szCs w:val="17"/>
          <w:u w:val="single" w:color="auto"/>
          <w:color w:val="auto"/>
        </w:rPr>
        <w:t>Citizenship</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 of America</w:t>
      </w:r>
    </w:p>
    <w:p>
      <w:pPr>
        <w:spacing w:after="0" w:line="13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u w:val="single" w:color="auto"/>
          <w:color w:val="auto"/>
        </w:rPr>
        <w:t>Item 2(d)</w:t>
      </w:r>
      <w:r>
        <w:rPr>
          <w:sz w:val="20"/>
          <w:szCs w:val="20"/>
          <w:color w:val="auto"/>
        </w:rPr>
        <w:tab/>
      </w:r>
      <w:r>
        <w:rPr>
          <w:rFonts w:ascii="Times New Roman" w:cs="Times New Roman" w:eastAsia="Times New Roman" w:hAnsi="Times New Roman"/>
          <w:sz w:val="17"/>
          <w:szCs w:val="17"/>
          <w:u w:val="single" w:color="auto"/>
          <w:color w:val="auto"/>
        </w:rPr>
        <w:t>Title of Class of Securities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$0.0001 par value per share</w:t>
      </w:r>
    </w:p>
    <w:p>
      <w:pPr>
        <w:spacing w:after="0" w:line="13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u w:val="single" w:color="auto"/>
          <w:color w:val="auto"/>
        </w:rPr>
        <w:t>Item 2(e)</w:t>
      </w:r>
      <w:r>
        <w:rPr>
          <w:sz w:val="20"/>
          <w:szCs w:val="20"/>
          <w:color w:val="auto"/>
        </w:rPr>
        <w:tab/>
      </w:r>
      <w:r>
        <w:rPr>
          <w:rFonts w:ascii="Times New Roman" w:cs="Times New Roman" w:eastAsia="Times New Roman" w:hAnsi="Times New Roman"/>
          <w:sz w:val="17"/>
          <w:szCs w:val="17"/>
          <w:u w:val="single" w:color="auto"/>
          <w:color w:val="auto"/>
        </w:rPr>
        <w:t>CUSIP Number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45674E 109</w:t>
      </w:r>
    </w:p>
    <w:p>
      <w:pPr>
        <w:spacing w:after="0" w:line="13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u w:val="single" w:color="auto"/>
          <w:color w:val="auto"/>
        </w:rPr>
        <w:t>Item 3</w:t>
      </w:r>
      <w:r>
        <w:rPr>
          <w:sz w:val="20"/>
          <w:szCs w:val="20"/>
          <w:color w:val="auto"/>
        </w:rPr>
        <w:tab/>
      </w:r>
      <w:r>
        <w:rPr>
          <w:rFonts w:ascii="Times New Roman" w:cs="Times New Roman" w:eastAsia="Times New Roman" w:hAnsi="Times New Roman"/>
          <w:sz w:val="17"/>
          <w:szCs w:val="17"/>
          <w:u w:val="single" w:color="auto"/>
          <w:color w:val="auto"/>
        </w:rPr>
        <w:t>If this statement is filed pursuant to §§ 240.13d-1(b), or 240.13d-2(b) or (c), check whether the person filing is a</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3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u w:val="single" w:color="auto"/>
          <w:color w:val="auto"/>
        </w:rPr>
        <w:t>Item 4</w:t>
      </w:r>
      <w:r>
        <w:rPr>
          <w:sz w:val="20"/>
          <w:szCs w:val="20"/>
          <w:color w:val="auto"/>
        </w:rPr>
        <w:tab/>
      </w:r>
      <w:r>
        <w:rPr>
          <w:rFonts w:ascii="Times New Roman" w:cs="Times New Roman" w:eastAsia="Times New Roman" w:hAnsi="Times New Roman"/>
          <w:sz w:val="17"/>
          <w:szCs w:val="17"/>
          <w:u w:val="single" w:color="auto"/>
          <w:color w:val="auto"/>
        </w:rPr>
        <w:t>Ownership</w:t>
      </w:r>
    </w:p>
    <w:p>
      <w:pPr>
        <w:spacing w:after="0" w:line="131"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See responses to Item 9 on the attached cover page.</w:t>
      </w:r>
    </w:p>
    <w:p>
      <w:pPr>
        <w:spacing w:after="0" w:line="13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See responses to Item 11 on the attached cover page.</w:t>
      </w:r>
    </w:p>
    <w:p>
      <w:pPr>
        <w:spacing w:after="0" w:line="13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130" w:lineRule="exact"/>
        <w:rPr>
          <w:rFonts w:ascii="Times New Roman" w:cs="Times New Roman" w:eastAsia="Times New Roman" w:hAnsi="Times New Roman"/>
          <w:sz w:val="18"/>
          <w:szCs w:val="18"/>
          <w:color w:val="auto"/>
        </w:rPr>
      </w:pPr>
    </w:p>
    <w:p>
      <w:pPr>
        <w:ind w:left="380" w:right="4520" w:firstLine="29"/>
        <w:spacing w:after="0" w:line="261" w:lineRule="auto"/>
        <w:tabs>
          <w:tab w:leader="none" w:pos="65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direct the vote: See responses to Item 5 on the attached cover page. (ii) Shared power to direct the vote: See responses to Item 6 on the attached cover page.</w:t>
      </w:r>
    </w:p>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(iii) Sole power to dispose or to direct the disposition of: See responses to Item 7 on the attached cover page.</w:t>
      </w:r>
    </w:p>
    <w:p>
      <w:pPr>
        <w:spacing w:after="0" w:line="9" w:lineRule="exact"/>
        <w:rPr>
          <w:rFonts w:ascii="Times New Roman" w:cs="Times New Roman" w:eastAsia="Times New Roman" w:hAnsi="Times New Roman"/>
          <w:sz w:val="18"/>
          <w:szCs w:val="18"/>
          <w:color w:val="auto"/>
        </w:rPr>
      </w:pPr>
    </w:p>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(iv) Shared power to dispose or to direct the disposition of: See responses to Item 8 on the attached cover page.</w:t>
      </w:r>
    </w:p>
    <w:p>
      <w:pPr>
        <w:spacing w:after="0" w:line="11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u w:val="single" w:color="auto"/>
          <w:color w:val="auto"/>
        </w:rPr>
        <w:t>Item 5</w:t>
      </w:r>
      <w:r>
        <w:rPr>
          <w:sz w:val="20"/>
          <w:szCs w:val="20"/>
          <w:color w:val="auto"/>
        </w:rPr>
        <w:tab/>
      </w:r>
      <w:r>
        <w:rPr>
          <w:rFonts w:ascii="Times New Roman" w:cs="Times New Roman" w:eastAsia="Times New Roman" w:hAnsi="Times New Roman"/>
          <w:sz w:val="18"/>
          <w:szCs w:val="18"/>
          <w:u w:val="single" w:color="auto"/>
          <w:color w:val="auto"/>
        </w:rPr>
        <w:t>Ownership of Five Percent or Less of a Class</w:t>
      </w:r>
    </w:p>
    <w:p>
      <w:pPr>
        <w:spacing w:after="0" w:line="131" w:lineRule="exact"/>
        <w:rPr>
          <w:sz w:val="20"/>
          <w:szCs w:val="20"/>
          <w:color w:val="auto"/>
        </w:rPr>
      </w:pPr>
    </w:p>
    <w:p>
      <w:pPr>
        <w:ind w:right="520"/>
        <w:spacing w:after="0" w:line="239"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u w:val="single" w:color="auto"/>
          <w:color w:val="auto"/>
        </w:rPr>
        <w:t>Item 6</w:t>
      </w:r>
      <w:r>
        <w:rPr>
          <w:sz w:val="20"/>
          <w:szCs w:val="20"/>
          <w:color w:val="auto"/>
        </w:rPr>
        <w:tab/>
      </w:r>
      <w:r>
        <w:rPr>
          <w:rFonts w:ascii="Times New Roman" w:cs="Times New Roman" w:eastAsia="Times New Roman" w:hAnsi="Times New Roman"/>
          <w:sz w:val="17"/>
          <w:szCs w:val="17"/>
          <w:u w:val="single" w:color="auto"/>
          <w:color w:val="auto"/>
        </w:rPr>
        <w:t>Ownership of More than Five Percent of Another Person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3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u w:val="single" w:color="auto"/>
          <w:color w:val="auto"/>
        </w:rPr>
        <w:t>Item 7</w:t>
      </w:r>
      <w:r>
        <w:rPr>
          <w:sz w:val="20"/>
          <w:szCs w:val="20"/>
          <w:color w:val="auto"/>
        </w:rPr>
        <w:tab/>
      </w:r>
      <w:r>
        <w:rPr>
          <w:rFonts w:ascii="Times New Roman" w:cs="Times New Roman" w:eastAsia="Times New Roman" w:hAnsi="Times New Roman"/>
          <w:sz w:val="17"/>
          <w:szCs w:val="17"/>
          <w:u w:val="single" w:color="auto"/>
          <w:color w:val="auto"/>
        </w:rPr>
        <w:t>Identification and Classification of the Subsidiary which Acquired the Security Being Reported on by the Parent Holding Company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3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u w:val="single" w:color="auto"/>
          <w:color w:val="auto"/>
        </w:rPr>
        <w:t>Item 8</w:t>
      </w:r>
      <w:r>
        <w:rPr>
          <w:sz w:val="20"/>
          <w:szCs w:val="20"/>
          <w:color w:val="auto"/>
        </w:rPr>
        <w:tab/>
      </w:r>
      <w:r>
        <w:rPr>
          <w:rFonts w:ascii="Times New Roman" w:cs="Times New Roman" w:eastAsia="Times New Roman" w:hAnsi="Times New Roman"/>
          <w:sz w:val="18"/>
          <w:szCs w:val="18"/>
          <w:u w:val="single" w:color="auto"/>
          <w:color w:val="auto"/>
        </w:rPr>
        <w:t>Identification and Classification of Members of the Group</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3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u w:val="single" w:color="auto"/>
          <w:color w:val="auto"/>
        </w:rPr>
        <w:t>Item 9</w:t>
      </w:r>
      <w:r>
        <w:rPr>
          <w:sz w:val="20"/>
          <w:szCs w:val="20"/>
          <w:color w:val="auto"/>
        </w:rPr>
        <w:tab/>
      </w:r>
      <w:r>
        <w:rPr>
          <w:rFonts w:ascii="Times New Roman" w:cs="Times New Roman" w:eastAsia="Times New Roman" w:hAnsi="Times New Roman"/>
          <w:sz w:val="17"/>
          <w:szCs w:val="17"/>
          <w:u w:val="single" w:color="auto"/>
          <w:color w:val="auto"/>
        </w:rPr>
        <w:t>Notice of Dissolution of Group</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3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u w:val="single" w:color="auto"/>
          <w:color w:val="auto"/>
        </w:rPr>
        <w:t>Item 10</w:t>
      </w:r>
      <w:r>
        <w:rPr>
          <w:sz w:val="20"/>
          <w:szCs w:val="20"/>
          <w:color w:val="auto"/>
        </w:rPr>
        <w:tab/>
      </w:r>
      <w:r>
        <w:rPr>
          <w:rFonts w:ascii="Times New Roman" w:cs="Times New Roman" w:eastAsia="Times New Roman" w:hAnsi="Times New Roman"/>
          <w:sz w:val="17"/>
          <w:szCs w:val="17"/>
          <w:u w:val="single" w:color="auto"/>
          <w:color w:val="auto"/>
        </w:rPr>
        <w:t>Certification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tabs>
          <w:tab w:leader="none" w:pos="9940" w:val="left"/>
        </w:tabs>
        <w:rPr>
          <w:sz w:val="20"/>
          <w:szCs w:val="20"/>
          <w:color w:val="auto"/>
        </w:rPr>
      </w:pPr>
      <w:r>
        <w:rPr>
          <w:rFonts w:ascii="Times New Roman" w:cs="Times New Roman" w:eastAsia="Times New Roman" w:hAnsi="Times New Roman"/>
          <w:sz w:val="18"/>
          <w:szCs w:val="18"/>
          <w:color w:val="auto"/>
        </w:rPr>
        <w:t>CUSIP No. 45674E 109</w:t>
      </w:r>
      <w:r>
        <w:rPr>
          <w:sz w:val="20"/>
          <w:szCs w:val="20"/>
          <w:color w:val="auto"/>
        </w:rPr>
        <w:tab/>
      </w:r>
      <w:r>
        <w:rPr>
          <w:rFonts w:ascii="Times New Roman" w:cs="Times New Roman" w:eastAsia="Times New Roman" w:hAnsi="Times New Roman"/>
          <w:sz w:val="17"/>
          <w:szCs w:val="17"/>
          <w:color w:val="auto"/>
        </w:rPr>
        <w:t>Page 4 of 4 Pages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180"/>
        <w:spacing w:after="0" w:line="498"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 Dated: February 13, 2024</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WILLIAM TAI-WEI HO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William Tai-Wei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2024-02-13T15:16:41Z</dcterms:created>
  <dcterms:modified xsi:type="dcterms:W3CDTF">2024-02-13T15:16:41Z</dcterms:modified>
</cp:coreProperties>
</file>