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7,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333-259458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333-264893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333-274092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333-276614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333-285798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2</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(File Nos. 333-259458 and 333-264893)</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AND</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POST-EFFECTIVE AMENDMENT NO. 1</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(File Nos. 333-274092, 333-276614 and 333-285798)</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FORM S-8</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6080" w:type="dxa"/>
            <w:vAlign w:val="bottom"/>
          </w:tcPr>
          <w:p>
            <w:pPr>
              <w:jc w:val="center"/>
              <w:ind w:right="351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82-5462585</w:t>
            </w:r>
          </w:p>
        </w:tc>
      </w:tr>
      <w:tr>
        <w:trPr>
          <w:trHeight w:val="148"/>
        </w:trPr>
        <w:tc>
          <w:tcPr>
            <w:tcW w:w="6080" w:type="dxa"/>
            <w:vAlign w:val="bottom"/>
          </w:tcPr>
          <w:p>
            <w:pPr>
              <w:jc w:val="center"/>
              <w:ind w:right="351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80" w:type="dxa"/>
            <w:vAlign w:val="bottom"/>
          </w:tcPr>
          <w:p>
            <w:pPr>
              <w:jc w:val="center"/>
              <w:ind w:right="351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080" w:type="dxa"/>
            <w:vAlign w:val="bottom"/>
          </w:tcPr>
          <w:p>
            <w:pPr>
              <w:jc w:val="center"/>
              <w:ind w:right="3537"/>
              <w:spacing w:after="0"/>
              <w:rPr>
                <w:sz w:val="20"/>
                <w:szCs w:val="20"/>
                <w:color w:val="auto"/>
              </w:rPr>
            </w:pPr>
            <w:r>
              <w:rPr>
                <w:rFonts w:ascii="Times New Roman" w:cs="Times New Roman" w:eastAsia="Times New Roman" w:hAnsi="Times New Roman"/>
                <w:sz w:val="18"/>
                <w:szCs w:val="18"/>
                <w:b w:val="1"/>
                <w:bCs w:val="1"/>
                <w:color w:val="auto"/>
                <w:w w:val="99"/>
              </w:rPr>
              <w:t>350 5th Avenue, Suite 5330</w:t>
            </w:r>
          </w:p>
        </w:tc>
        <w:tc>
          <w:tcPr>
            <w:tcW w:w="1280" w:type="dxa"/>
            <w:vAlign w:val="bottom"/>
          </w:tcPr>
          <w:p>
            <w:pPr>
              <w:spacing w:after="0"/>
              <w:rPr>
                <w:sz w:val="24"/>
                <w:szCs w:val="24"/>
                <w:color w:val="auto"/>
              </w:rPr>
            </w:pPr>
          </w:p>
        </w:tc>
      </w:tr>
      <w:tr>
        <w:trPr>
          <w:trHeight w:val="227"/>
        </w:trPr>
        <w:tc>
          <w:tcPr>
            <w:tcW w:w="6080" w:type="dxa"/>
            <w:vAlign w:val="bottom"/>
          </w:tcPr>
          <w:p>
            <w:pPr>
              <w:jc w:val="center"/>
              <w:ind w:right="3537"/>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10118</w:t>
            </w:r>
          </w:p>
        </w:tc>
      </w:tr>
      <w:tr>
        <w:trPr>
          <w:trHeight w:val="190"/>
        </w:trPr>
        <w:tc>
          <w:tcPr>
            <w:tcW w:w="6080" w:type="dxa"/>
            <w:vAlign w:val="bottom"/>
          </w:tcPr>
          <w:p>
            <w:pPr>
              <w:jc w:val="center"/>
              <w:ind w:right="35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6080" w:type="dxa"/>
            <w:vAlign w:val="bottom"/>
          </w:tcPr>
          <w:p>
            <w:pPr>
              <w:jc w:val="center"/>
              <w:ind w:left="1757"/>
              <w:spacing w:after="0"/>
              <w:rPr>
                <w:sz w:val="20"/>
                <w:szCs w:val="20"/>
                <w:color w:val="auto"/>
              </w:rPr>
            </w:pPr>
            <w:r>
              <w:rPr>
                <w:rFonts w:ascii="Times New Roman" w:cs="Times New Roman" w:eastAsia="Times New Roman" w:hAnsi="Times New Roman"/>
                <w:sz w:val="18"/>
                <w:szCs w:val="18"/>
                <w:b w:val="1"/>
                <w:bCs w:val="1"/>
                <w:color w:val="auto"/>
              </w:rPr>
              <w:t>2018 Equity Incentive Plan, as Amended</w:t>
            </w:r>
          </w:p>
        </w:tc>
        <w:tc>
          <w:tcPr>
            <w:tcW w:w="1280" w:type="dxa"/>
            <w:vAlign w:val="bottom"/>
          </w:tcPr>
          <w:p>
            <w:pPr>
              <w:spacing w:after="0"/>
              <w:rPr>
                <w:sz w:val="24"/>
                <w:szCs w:val="24"/>
                <w:color w:val="auto"/>
              </w:rPr>
            </w:pPr>
          </w:p>
        </w:tc>
      </w:tr>
      <w:tr>
        <w:trPr>
          <w:trHeight w:val="216"/>
        </w:trPr>
        <w:tc>
          <w:tcPr>
            <w:tcW w:w="6080" w:type="dxa"/>
            <w:vAlign w:val="bottom"/>
          </w:tcPr>
          <w:p>
            <w:pPr>
              <w:jc w:val="center"/>
              <w:ind w:left="1757"/>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tc>
        <w:tc>
          <w:tcPr>
            <w:tcW w:w="1280" w:type="dxa"/>
            <w:vAlign w:val="bottom"/>
          </w:tcPr>
          <w:p>
            <w:pPr>
              <w:spacing w:after="0"/>
              <w:rPr>
                <w:sz w:val="18"/>
                <w:szCs w:val="18"/>
                <w:color w:val="auto"/>
              </w:rPr>
            </w:pPr>
          </w:p>
        </w:tc>
      </w:tr>
      <w:tr>
        <w:trPr>
          <w:trHeight w:val="216"/>
        </w:trPr>
        <w:tc>
          <w:tcPr>
            <w:tcW w:w="6080" w:type="dxa"/>
            <w:vAlign w:val="bottom"/>
          </w:tcPr>
          <w:p>
            <w:pPr>
              <w:jc w:val="center"/>
              <w:ind w:left="1757"/>
              <w:spacing w:after="0"/>
              <w:rPr>
                <w:sz w:val="20"/>
                <w:szCs w:val="20"/>
                <w:color w:val="auto"/>
              </w:rPr>
            </w:pPr>
            <w:r>
              <w:rPr>
                <w:rFonts w:ascii="Times New Roman" w:cs="Times New Roman" w:eastAsia="Times New Roman" w:hAnsi="Times New Roman"/>
                <w:sz w:val="18"/>
                <w:szCs w:val="18"/>
                <w:b w:val="1"/>
                <w:bCs w:val="1"/>
                <w:color w:val="auto"/>
              </w:rPr>
              <w:t>Amended and Restated 2023 Equity Incentive Plan</w:t>
            </w:r>
          </w:p>
        </w:tc>
        <w:tc>
          <w:tcPr>
            <w:tcW w:w="1280" w:type="dxa"/>
            <w:vAlign w:val="bottom"/>
          </w:tcPr>
          <w:p>
            <w:pPr>
              <w:spacing w:after="0"/>
              <w:rPr>
                <w:sz w:val="18"/>
                <w:szCs w:val="18"/>
                <w:color w:val="auto"/>
              </w:rPr>
            </w:pPr>
          </w:p>
        </w:tc>
      </w:tr>
      <w:tr>
        <w:trPr>
          <w:trHeight w:val="214"/>
        </w:trPr>
        <w:tc>
          <w:tcPr>
            <w:tcW w:w="6080" w:type="dxa"/>
            <w:vAlign w:val="bottom"/>
          </w:tcPr>
          <w:p>
            <w:pPr>
              <w:jc w:val="center"/>
              <w:ind w:left="1757"/>
              <w:spacing w:after="0"/>
              <w:rPr>
                <w:sz w:val="20"/>
                <w:szCs w:val="20"/>
                <w:color w:val="auto"/>
              </w:rPr>
            </w:pPr>
            <w:r>
              <w:rPr>
                <w:rFonts w:ascii="Times New Roman" w:cs="Times New Roman" w:eastAsia="Times New Roman" w:hAnsi="Times New Roman"/>
                <w:sz w:val="18"/>
                <w:szCs w:val="18"/>
                <w:b w:val="1"/>
                <w:bCs w:val="1"/>
                <w:color w:val="auto"/>
              </w:rPr>
              <w:t>Amended and Restated 2026 Equity Incentive Plan</w:t>
            </w:r>
          </w:p>
        </w:tc>
        <w:tc>
          <w:tcPr>
            <w:tcW w:w="1280" w:type="dxa"/>
            <w:vAlign w:val="bottom"/>
          </w:tcPr>
          <w:p>
            <w:pPr>
              <w:spacing w:after="0"/>
              <w:rPr>
                <w:sz w:val="18"/>
                <w:szCs w:val="18"/>
                <w:color w:val="auto"/>
              </w:rPr>
            </w:pPr>
          </w:p>
        </w:tc>
      </w:tr>
      <w:tr>
        <w:trPr>
          <w:trHeight w:val="190"/>
        </w:trPr>
        <w:tc>
          <w:tcPr>
            <w:tcW w:w="6080" w:type="dxa"/>
            <w:vAlign w:val="bottom"/>
          </w:tcPr>
          <w:p>
            <w:pPr>
              <w:jc w:val="center"/>
              <w:ind w:left="1777"/>
              <w:spacing w:after="0"/>
              <w:rPr>
                <w:sz w:val="20"/>
                <w:szCs w:val="20"/>
                <w:color w:val="auto"/>
              </w:rPr>
            </w:pPr>
            <w:r>
              <w:rPr>
                <w:rFonts w:ascii="Times New Roman" w:cs="Times New Roman" w:eastAsia="Times New Roman" w:hAnsi="Times New Roman"/>
                <w:sz w:val="14"/>
                <w:szCs w:val="14"/>
                <w:b w:val="1"/>
                <w:bCs w:val="1"/>
                <w:color w:val="auto"/>
              </w:rPr>
              <w:t>(Full titles of the plans)</w:t>
            </w:r>
          </w:p>
        </w:tc>
        <w:tc>
          <w:tcPr>
            <w:tcW w:w="1280" w:type="dxa"/>
            <w:vAlign w:val="bottom"/>
          </w:tcPr>
          <w:p>
            <w:pPr>
              <w:spacing w:after="0"/>
              <w:rPr>
                <w:sz w:val="16"/>
                <w:szCs w:val="16"/>
                <w:color w:val="auto"/>
              </w:rPr>
            </w:pP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William Ho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 5th Avenue, Suite 5330, New York, New York 10118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600-6438</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Jaime L. Chase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1299 Pennsylvania Avenue, NW, Suite 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 842-7800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168910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20"/>
          </w:cols>
          <w:pgMar w:left="440" w:top="225" w:right="439" w:bottom="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60" w:space="340"/>
            <w:col w:w="5760" w:space="720"/>
            <w:col w:w="1600" w:space="720"/>
            <w:col w:w="220"/>
          </w:cols>
          <w:pgMar w:left="440" w:top="225" w:right="439" w:bottom="0" w:gutter="0" w:footer="0" w:header="0"/>
          <w:type w:val="continuous"/>
        </w:sectPr>
      </w:pP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520" w:space="480"/>
            <w:col w:w="5760" w:space="720"/>
            <w:col w:w="1980" w:space="340"/>
            <w:col w:w="220"/>
          </w:cols>
          <w:pgMar w:left="440" w:top="225" w:right="439" w:bottom="0" w:gutter="0" w:footer="0" w:header="0"/>
          <w:type w:val="continuous"/>
        </w:sectPr>
      </w:pPr>
    </w:p>
    <w:bookmarkStart w:id="1" w:name="page2"/>
    <w:bookmarkEnd w:id="1"/>
    <w:p>
      <w:pPr>
        <w:ind w:left="8480"/>
        <w:spacing w:after="0" w:line="207" w:lineRule="exact"/>
        <w:tabs>
          <w:tab w:leader="none" w:pos="107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94" w:right="499" w:bottom="1440" w:gutter="0" w:footer="0" w:header="0"/>
        </w:sectPr>
      </w:pPr>
    </w:p>
    <w:bookmarkStart w:id="2" w:name="page3"/>
    <w:bookmarkEnd w:id="2"/>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left="4" w:right="240"/>
        <w:spacing w:after="0" w:line="272" w:lineRule="auto"/>
        <w:rPr>
          <w:sz w:val="20"/>
          <w:szCs w:val="20"/>
          <w:color w:val="auto"/>
        </w:rPr>
      </w:pPr>
      <w:r>
        <w:rPr>
          <w:rFonts w:ascii="Times New Roman" w:cs="Times New Roman" w:eastAsia="Times New Roman" w:hAnsi="Times New Roman"/>
          <w:sz w:val="17"/>
          <w:szCs w:val="17"/>
          <w:color w:val="auto"/>
        </w:rPr>
        <w:t>IN8bio, Inc. (the “Registrant”) is filing (i) this Post-Effective Amendment No. 2 to each of the Registrant’s registration statements on Form S-8 (File Nos. 333-259458 and 333-264893), as filed with the Securities and Exchange Commission (the “SEC”) on September 10, 2021 and May 12, 2022, respectively, and each as amended by the Post-Effective Amendment No. 1 to each registration statement filed with the SEC on August 18, 2023, and</w:t>
      </w:r>
    </w:p>
    <w:p>
      <w:pPr>
        <w:spacing w:after="0" w:line="2" w:lineRule="exact"/>
        <w:rPr>
          <w:sz w:val="20"/>
          <w:szCs w:val="20"/>
          <w:color w:val="auto"/>
        </w:rPr>
      </w:pPr>
    </w:p>
    <w:p>
      <w:pPr>
        <w:ind w:left="264" w:hanging="264"/>
        <w:spacing w:after="0"/>
        <w:tabs>
          <w:tab w:leader="none" w:pos="2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Post-Effective Amendment No. 1 to each of the Registrant’s registration statements on Form S-8 (File Nos. 333-274092, 333-276614 and</w:t>
      </w:r>
    </w:p>
    <w:p>
      <w:pPr>
        <w:spacing w:after="0" w:line="9" w:lineRule="exact"/>
        <w:rPr>
          <w:rFonts w:ascii="Times New Roman" w:cs="Times New Roman" w:eastAsia="Times New Roman" w:hAnsi="Times New Roman"/>
          <w:sz w:val="18"/>
          <w:szCs w:val="18"/>
          <w:color w:val="auto"/>
        </w:rPr>
      </w:pPr>
    </w:p>
    <w:p>
      <w:pPr>
        <w:ind w:left="4" w:right="8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333-285798), as filed with the SEC on August 18, 2023, January 19, 2024 and March 13, 2025, respectively (collectively, the “Prior Registration Statements”). Pursuant to the Prior Registration Statements, shares of common stock, par value $0.0001 per share, of the Registrant (“Common Stock”) were registered for issuance under the Registrant’s 2018 Equity Incentive Plan, as amended (the “2018 Plan”), 2020 Equity Incentive Plan (the “2020 Plan”), and Amended and Restated 2023 Equity Incentive Plan (the “2023 Plan” and, together with the 2018 Plan and 2020 Plan, the “Prior Plans”).</w:t>
      </w:r>
    </w:p>
    <w:p>
      <w:pPr>
        <w:spacing w:after="0" w:line="172"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Registrant’s Board of Directors (the “Board”) resolved not to make any further awards under the 2018 Plan following the completion of the Registrant’s initial public offering, but the terms of such plan continue to govern all outstanding awards granted thereunder. On November 2, 2020, the Board adopted the 2020 Plan, subject to approval by the Company’s stockholders, which became effective with such stockholder approval on November 5, 2020. The 2020 Plan replaced and was the successor to the 2018 Plan. On April 29, 2023, the Board adopted the 2023 Plan, subject to approval by the Company’s stockholders, which became effective with such stockholder approval on June 15, 2023. The 2023 Plan replaced and was the successor to the 2020 Plan.</w:t>
      </w:r>
    </w:p>
    <w:p>
      <w:pPr>
        <w:spacing w:after="0" w:line="187" w:lineRule="exact"/>
        <w:rPr>
          <w:sz w:val="20"/>
          <w:szCs w:val="20"/>
          <w:color w:val="auto"/>
        </w:rPr>
      </w:pPr>
    </w:p>
    <w:p>
      <w:pPr>
        <w:ind w:left="4" w:right="220"/>
        <w:spacing w:after="0" w:line="261" w:lineRule="auto"/>
        <w:rPr>
          <w:sz w:val="20"/>
          <w:szCs w:val="20"/>
          <w:color w:val="auto"/>
        </w:rPr>
      </w:pPr>
      <w:r>
        <w:rPr>
          <w:rFonts w:ascii="Times New Roman" w:cs="Times New Roman" w:eastAsia="Times New Roman" w:hAnsi="Times New Roman"/>
          <w:sz w:val="18"/>
          <w:szCs w:val="18"/>
          <w:color w:val="auto"/>
        </w:rPr>
        <w:t>On March 26, 2026, the Board approved the Registrant’s Amended and Restated 2026 Equity Incentive Plan (the “2026 Plan”), subject to stockholder approval of the 2026 Plan. On May 7, 2026, the Registrant’s stockholders approved the 2026 Plan and the 2026 Plan became effective. The 2026 Plan replaces and is the successor to the 2023 Plan. Upon effectiveness of the 2026 Plan on May 7, 2026 (the “Effective Time”), no new grants could be made under the 2023 Plan but the terms of such plan continue to govern all outstanding awards granted thereunder.</w:t>
      </w:r>
    </w:p>
    <w:p>
      <w:pPr>
        <w:spacing w:after="0" w:line="180"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As provided in the 2026 Plan, from and after the Effective Time, all shares of Common Stock that become Prior Plan Returning Shares (as defined below) will be available for grants of new awards under the 2026 Plan. The term “Prior Plan Returning Shares” means shares of Common Stock subject to outstanding stock awards granted under the Prior Plans and that following the Effective Time: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Registrant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89"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The Registrant is filing these Post-Effective Amendments pursuant to SEC Corporation Finance Interpretation 126.43 to amend the Prior Registration Statements to register the offer of the Prior Plan Returning Shares under the 2026 Plan (as such shares would no longer be issuable under the 2023 Plan as described above). As of the date of the filing of these Post-Effective Amendments, the maximum number of shares of Common Stock initially registered for offer pursuant to the Prior Plans that may become Prior Plan Returning Shares and available for offer under the 2026 Plan is 646,630 shares. No additional securities are being registered by these Post-Effective Amendments.</w:t>
      </w:r>
    </w:p>
    <w:p>
      <w:pPr>
        <w:spacing w:after="0" w:line="39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required to be filed with this Post-Effective Amendment.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required to be filed with this Post-Effective Amendment.</w:t>
      </w:r>
    </w:p>
    <w:p>
      <w:pPr>
        <w:sectPr>
          <w:pgSz w:w="11900" w:h="16838" w:orient="portrait"/>
          <w:cols w:equalWidth="0" w:num="1">
            <w:col w:w="11004"/>
          </w:cols>
          <w:pgMar w:left="436" w:top="266"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filed by it with the Commission:</w:t>
      </w:r>
    </w:p>
    <w:p>
      <w:pPr>
        <w:spacing w:after="0" w:line="131" w:lineRule="exact"/>
        <w:rPr>
          <w:sz w:val="20"/>
          <w:szCs w:val="20"/>
          <w:color w:val="auto"/>
        </w:rPr>
      </w:pPr>
    </w:p>
    <w:p>
      <w:pPr>
        <w:jc w:val="both"/>
        <w:ind w:left="960" w:right="280" w:hanging="532"/>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contents of the Registrant’s Registration Statements on Form S-8, previously filed with the Commission on </w:t>
      </w:r>
      <w:hyperlink r:id="rId19">
        <w:r>
          <w:rPr>
            <w:rFonts w:ascii="Times New Roman" w:cs="Times New Roman" w:eastAsia="Times New Roman" w:hAnsi="Times New Roman"/>
            <w:sz w:val="18"/>
            <w:szCs w:val="18"/>
            <w:u w:val="single" w:color="auto"/>
            <w:color w:val="0000EE"/>
          </w:rPr>
          <w:t>September 10, 2021</w:t>
        </w:r>
      </w:hyperlink>
      <w:r>
        <w:rPr>
          <w:rFonts w:ascii="Times New Roman" w:cs="Times New Roman" w:eastAsia="Times New Roman" w:hAnsi="Times New Roman"/>
          <w:sz w:val="18"/>
          <w:szCs w:val="18"/>
          <w:color w:val="auto"/>
        </w:rPr>
        <w:t xml:space="preserve">, as amended on </w:t>
      </w:r>
      <w:hyperlink r:id="rId20">
        <w:r>
          <w:rPr>
            <w:rFonts w:ascii="Times New Roman" w:cs="Times New Roman" w:eastAsia="Times New Roman" w:hAnsi="Times New Roman"/>
            <w:sz w:val="18"/>
            <w:szCs w:val="18"/>
            <w:u w:val="single" w:color="auto"/>
            <w:color w:val="0000EE"/>
          </w:rPr>
          <w:t>August 18,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333-259458), </w:t>
      </w:r>
      <w:hyperlink r:id="rId21">
        <w:r>
          <w:rPr>
            <w:rFonts w:ascii="Times New Roman" w:cs="Times New Roman" w:eastAsia="Times New Roman" w:hAnsi="Times New Roman"/>
            <w:sz w:val="18"/>
            <w:szCs w:val="18"/>
            <w:u w:val="single" w:color="auto"/>
            <w:color w:val="0000EE"/>
          </w:rPr>
          <w:t>May 12,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(333-264893), as amended on </w:t>
      </w:r>
      <w:hyperlink r:id="rId22">
        <w:r>
          <w:rPr>
            <w:rFonts w:ascii="Times New Roman" w:cs="Times New Roman" w:eastAsia="Times New Roman" w:hAnsi="Times New Roman"/>
            <w:sz w:val="18"/>
            <w:szCs w:val="18"/>
            <w:u w:val="single" w:color="auto"/>
            <w:color w:val="0000EE"/>
          </w:rPr>
          <w:t>August 18, 2023</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August 18, 2023</w:t>
        </w:r>
      </w:hyperlink>
      <w:r>
        <w:rPr>
          <w:rFonts w:ascii="Times New Roman" w:cs="Times New Roman" w:eastAsia="Times New Roman" w:hAnsi="Times New Roman"/>
          <w:sz w:val="18"/>
          <w:szCs w:val="18"/>
          <w:color w:val="auto"/>
        </w:rPr>
        <w:t xml:space="preserve"> (File No. 333-274092), </w:t>
      </w:r>
      <w:hyperlink r:id="rId24">
        <w:r>
          <w:rPr>
            <w:rFonts w:ascii="Times New Roman" w:cs="Times New Roman" w:eastAsia="Times New Roman" w:hAnsi="Times New Roman"/>
            <w:sz w:val="18"/>
            <w:szCs w:val="18"/>
            <w:u w:val="single" w:color="auto"/>
            <w:color w:val="0000EE"/>
          </w:rPr>
          <w:t>January 19,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(333-276614) and </w:t>
      </w:r>
      <w:hyperlink r:id="rId25">
        <w:r>
          <w:rPr>
            <w:rFonts w:ascii="Times New Roman" w:cs="Times New Roman" w:eastAsia="Times New Roman" w:hAnsi="Times New Roman"/>
            <w:sz w:val="18"/>
            <w:szCs w:val="18"/>
            <w:u w:val="single" w:color="auto"/>
            <w:color w:val="0000EE"/>
          </w:rPr>
          <w:t>March 13,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333-285798);</w:t>
      </w:r>
    </w:p>
    <w:p>
      <w:pPr>
        <w:spacing w:after="0" w:line="81" w:lineRule="exact"/>
        <w:rPr>
          <w:rFonts w:ascii="Times New Roman" w:cs="Times New Roman" w:eastAsia="Times New Roman" w:hAnsi="Times New Roman"/>
          <w:sz w:val="18"/>
          <w:szCs w:val="18"/>
          <w:color w:val="auto"/>
        </w:rPr>
      </w:pPr>
    </w:p>
    <w:p>
      <w:pPr>
        <w:ind w:left="960" w:right="86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26">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001-39692) for the fiscal year ended December 31, 2025, filed with the Commission on March 12, 2026;</w:t>
      </w:r>
    </w:p>
    <w:p>
      <w:pPr>
        <w:spacing w:after="0" w:line="67" w:lineRule="exact"/>
        <w:rPr>
          <w:rFonts w:ascii="Times New Roman" w:cs="Times New Roman" w:eastAsia="Times New Roman" w:hAnsi="Times New Roman"/>
          <w:sz w:val="18"/>
          <w:szCs w:val="18"/>
          <w:color w:val="auto"/>
        </w:rPr>
      </w:pPr>
    </w:p>
    <w:p>
      <w:pPr>
        <w:ind w:left="960" w:right="28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the Registrant’s Annual Report on Form 10-K for the fiscal year ended December 31, 2025 from the Registrant’s </w:t>
      </w:r>
      <w:hyperlink r:id="rId27">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March 26, 2026;</w:t>
      </w:r>
    </w:p>
    <w:p>
      <w:pPr>
        <w:spacing w:after="0" w:line="67" w:lineRule="exact"/>
        <w:rPr>
          <w:rFonts w:ascii="Times New Roman" w:cs="Times New Roman" w:eastAsia="Times New Roman" w:hAnsi="Times New Roman"/>
          <w:sz w:val="18"/>
          <w:szCs w:val="18"/>
          <w:color w:val="auto"/>
        </w:rPr>
      </w:pPr>
    </w:p>
    <w:p>
      <w:pPr>
        <w:ind w:left="960" w:right="78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28">
        <w:r>
          <w:rPr>
            <w:rFonts w:ascii="Times New Roman" w:cs="Times New Roman" w:eastAsia="Times New Roman" w:hAnsi="Times New Roman"/>
            <w:sz w:val="18"/>
            <w:szCs w:val="18"/>
            <w:u w:val="single" w:color="auto"/>
            <w:color w:val="0000EE"/>
          </w:rPr>
          <w:t>Quarterly Report on 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001-39692) for the three months ended March 31, 2026, filed with the Commission on May 7, 2026;</w:t>
      </w:r>
    </w:p>
    <w:p>
      <w:pPr>
        <w:spacing w:after="0" w:line="67"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 No. 001-39692), filed with the Commission on </w:t>
      </w:r>
      <w:hyperlink r:id="rId29">
        <w:r>
          <w:rPr>
            <w:rFonts w:ascii="Times New Roman" w:cs="Times New Roman" w:eastAsia="Times New Roman" w:hAnsi="Times New Roman"/>
            <w:sz w:val="18"/>
            <w:szCs w:val="18"/>
            <w:u w:val="single" w:color="auto"/>
            <w:color w:val="0000EE"/>
          </w:rPr>
          <w:t>February 9, 2026</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EE"/>
          </w:rPr>
          <w:t>February 27, 2026</w:t>
        </w:r>
      </w:hyperlink>
      <w:r>
        <w:rPr>
          <w:rFonts w:ascii="Times New Roman" w:cs="Times New Roman" w:eastAsia="Times New Roman" w:hAnsi="Times New Roman"/>
          <w:sz w:val="18"/>
          <w:szCs w:val="18"/>
          <w:color w:val="auto"/>
        </w:rPr>
        <w:t xml:space="preserve"> and </w:t>
      </w:r>
      <w:hyperlink r:id="rId31">
        <w:r>
          <w:rPr>
            <w:rFonts w:ascii="Times New Roman" w:cs="Times New Roman" w:eastAsia="Times New Roman" w:hAnsi="Times New Roman"/>
            <w:sz w:val="18"/>
            <w:szCs w:val="18"/>
            <w:u w:val="single" w:color="auto"/>
            <w:color w:val="0000EE"/>
          </w:rPr>
          <w:t>May 7,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extent the information in and exhibits to such reports are filed and not furnished; and</w:t>
      </w:r>
    </w:p>
    <w:p>
      <w:pPr>
        <w:spacing w:after="0" w:line="67"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w:t>
      </w:r>
      <w:hyperlink r:id="rId32">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fiscal year ended December 31, 2025 (File No. 001-39692), filed with the Commission on March 12, 2026, including any 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 13(a), 13(c), 14 or 15(d) of the Securities Exchange Act of 1934, as amended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Registration Statement to the extent that a statement herein or in any subsequently filed document which also is or is deemed to be incorporated by reference herein modifies or supersedes such statement. Any such statement so modified or superseded shall not constitute a part of this Registration Statement, except as so modified or superseded.</w:t>
      </w:r>
    </w:p>
    <w:p>
      <w:pPr>
        <w:spacing w:after="0" w:line="29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rFonts w:ascii="Times New Roman" w:cs="Times New Roman" w:eastAsia="Times New Roman" w:hAnsi="Times New Roman"/>
          <w:sz w:val="18"/>
          <w:szCs w:val="18"/>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the date hereof, GC&amp;H Investments and GC&amp;H Investments, LLC, each an entity that is comprised of partners and associates of Cooley LLP, beneficially own an aggregate of 5,797 shares of the Registrant’s common stock.</w:t>
      </w:r>
    </w:p>
    <w:p>
      <w:pPr>
        <w:spacing w:after="0" w:line="26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rFonts w:ascii="Times New Roman" w:cs="Times New Roman" w:eastAsia="Times New Roman" w:hAnsi="Times New Roman"/>
          <w:sz w:val="18"/>
          <w:szCs w:val="18"/>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The Registrant’s amended and restated certificate of incorporation provides for indemnification of the Registrant’s directors to the maximum extent permitted by the Delaware General Corporation Law, and the Registrant’s amended and restated bylaws provide for indemnification of the Registrant’s directors, officers, employees and other agents to the maximum extent permitted by law.</w:t>
      </w:r>
    </w:p>
    <w:p>
      <w:pPr>
        <w:sectPr>
          <w:pgSz w:w="11900" w:h="16838" w:orient="portrait"/>
          <w:cols w:equalWidth="0" w:num="1">
            <w:col w:w="11000"/>
          </w:cols>
          <w:pgMar w:left="440" w:top="266" w:right="459" w:bottom="1440" w:gutter="0" w:footer="0" w:header="0"/>
        </w:sectPr>
      </w:pPr>
    </w:p>
    <w:bookmarkStart w:id="4" w:name="page5"/>
    <w:bookmarkEnd w:id="4"/>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 has entered into indemnification agreements with the Registrant’s directors and officers, whereby the Registrant has agreed to indemnify the Registrant’s directors and officers to the fullest extent permitted by law, including advancement of expenses incurred in legal proceedings to which the director or officer was, or is threatened to be made, a party by reason of the fact that such director or officer is or was a director, officer, employee or agent of the Registrant, provided that such director or officer acted in good faith and in a manner that the director or officer reasonably believed to be in, or not opposed to, the best interest of the Registrant. At present, there is no pending litigation or proceeding involving a director or officer of the Registrant regarding which indemnification is sought, nor is the Registrant aware of any threatened litigation that may result in claims for indemnification.</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Registrant maintains insurance policies that indemnify the Registrant’s directors and officers against various liabilities arising under the Securities Act and the Exchange Act that might be incurred by any director or officer in his capacity as such.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to this Registration Statement are listed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434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434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4"/>
                <w:szCs w:val="24"/>
                <w:color w:val="auto"/>
              </w:rPr>
            </w:pPr>
          </w:p>
        </w:tc>
        <w:tc>
          <w:tcPr>
            <w:tcW w:w="9940" w:type="dxa"/>
            <w:vAlign w:val="bottom"/>
            <w:gridSpan w:val="14"/>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Amended and Restated Certificate of Incorporation of the Company (incorporated herein by reference to Exhibit 3.1 to the Company’s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Current Report on Form 8-K (File No. 001-39692), filed with the SEC on August 3, 2021).</w:t>
              </w:r>
            </w:hyperlink>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99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Certificate of Amendment of the Amended and Restated Certificate of Incorporation of the Company (incorporated herein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Exhibit 3.1 to the Company’s Current Report on Form 8-K (File No. 001-39692), filed with the SEC on June 4, 2025).</w:t>
              </w:r>
            </w:hyperlink>
          </w:p>
        </w:tc>
        <w:tc>
          <w:tcPr>
            <w:tcW w:w="14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tcPr>
          <w:p>
            <w:pPr>
              <w:spacing w:after="0"/>
              <w:rPr>
                <w:sz w:val="24"/>
                <w:szCs w:val="24"/>
                <w:color w:val="auto"/>
              </w:rPr>
            </w:pPr>
          </w:p>
        </w:tc>
        <w:tc>
          <w:tcPr>
            <w:tcW w:w="99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Second Amended and Restated Bylaws of the Company (incorporated herein by reference to Exhibit 3.1 to the Company’s Current Report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on Form 8-K (File No. 001-39692), filed with the SEC on December 7, 2023).</w:t>
              </w:r>
            </w:hyperlink>
          </w:p>
        </w:tc>
        <w:tc>
          <w:tcPr>
            <w:tcW w:w="4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17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Opinion of Cooley LLP.</w:t>
            </w:r>
          </w:p>
        </w:tc>
        <w:tc>
          <w:tcPr>
            <w:tcW w:w="82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43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55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99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Cooley LLP (included in Exhibit 5.1).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60" w:type="dxa"/>
            <w:vAlign w:val="bottom"/>
            <w:gridSpan w:val="2"/>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spacing w:after="0"/>
              <w:rPr>
                <w:sz w:val="24"/>
                <w:szCs w:val="24"/>
                <w:color w:val="auto"/>
              </w:rPr>
            </w:pPr>
          </w:p>
        </w:tc>
        <w:tc>
          <w:tcPr>
            <w:tcW w:w="99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to this Registration Statement).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0" w:type="dxa"/>
            <w:vAlign w:val="bottom"/>
            <w:gridSpan w:val="5"/>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940" w:type="dxa"/>
            <w:vAlign w:val="bottom"/>
            <w:gridSpan w:val="14"/>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Amended and Restated 2026 Equity Incentive Plan (incorporated herein by reference to Exhibit 10.1 to the Company’s Current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Form 8-K (File No. 001-39692), filed with the SEC on May 7, 2026).</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0980"/>
          </w:cols>
          <w:pgMar w:left="440" w:top="270" w:right="47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May 7, 2026.</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William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William Ho</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KNOW ALL PERSONS BY THESE PRESENTS, </w:t>
      </w:r>
      <w:r>
        <w:rPr>
          <w:rFonts w:ascii="Times New Roman" w:cs="Times New Roman" w:eastAsia="Times New Roman" w:hAnsi="Times New Roman"/>
          <w:sz w:val="18"/>
          <w:szCs w:val="18"/>
          <w:color w:val="auto"/>
        </w:rPr>
        <w:t>that each person whose signature appears below constitutes and appoints William Ho and Patrick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McCall, and each or any one of them,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40" w:type="dxa"/>
            <w:vAlign w:val="bottom"/>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07"/>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Ho</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5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32"/>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William Ho</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40" w:type="dxa"/>
            <w:vAlign w:val="bottom"/>
          </w:tcPr>
          <w:p>
            <w:pPr>
              <w:spacing w:after="0"/>
              <w:rPr>
                <w:sz w:val="20"/>
                <w:szCs w:val="20"/>
                <w:color w:val="auto"/>
              </w:rPr>
            </w:pPr>
          </w:p>
        </w:tc>
      </w:tr>
      <w:tr>
        <w:trPr>
          <w:trHeight w:val="423"/>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Patrick McCall</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5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32"/>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Patrick McCall</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540" w:type="dxa"/>
            <w:vAlign w:val="bottom"/>
          </w:tcPr>
          <w:p>
            <w:pPr>
              <w:spacing w:after="0"/>
              <w:rPr>
                <w:sz w:val="20"/>
                <w:szCs w:val="20"/>
                <w:color w:val="auto"/>
              </w:rPr>
            </w:pPr>
          </w:p>
        </w:tc>
      </w:tr>
      <w:tr>
        <w:trPr>
          <w:trHeight w:val="423"/>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Jeremy R. Graff</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Interim Chairman of the Board of Directors</w:t>
            </w:r>
          </w:p>
        </w:tc>
        <w:tc>
          <w:tcPr>
            <w:tcW w:w="15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32"/>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Jeremy R. Graff</w:t>
            </w:r>
          </w:p>
        </w:tc>
        <w:tc>
          <w:tcPr>
            <w:tcW w:w="57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3"/>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Brandt</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32"/>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Peter Brandt</w:t>
            </w:r>
          </w:p>
        </w:tc>
        <w:tc>
          <w:tcPr>
            <w:tcW w:w="57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3"/>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Corinne Epperly</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32"/>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Corinne Epperly</w:t>
            </w:r>
          </w:p>
        </w:tc>
        <w:tc>
          <w:tcPr>
            <w:tcW w:w="57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3"/>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Emily T. Fairbairn</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32"/>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Emily T. Fairbairn</w:t>
            </w:r>
          </w:p>
        </w:tc>
        <w:tc>
          <w:tcPr>
            <w:tcW w:w="57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3"/>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Luba Greenwood</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32"/>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Luba Greenwood</w:t>
            </w:r>
          </w:p>
        </w:tc>
        <w:tc>
          <w:tcPr>
            <w:tcW w:w="574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ectPr>
          <w:pgSz w:w="11900" w:h="16838" w:orient="portrait"/>
          <w:cols w:equalWidth="0" w:num="1">
            <w:col w:w="10940"/>
          </w:cols>
          <w:pgMar w:left="440" w:top="266" w:right="5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174115"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11741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Jaime L. Chase</w:t>
      </w:r>
    </w:p>
    <w:p>
      <w:pPr>
        <w:spacing w:after="0" w:line="27" w:lineRule="exact"/>
        <w:rPr>
          <w:sz w:val="20"/>
          <w:szCs w:val="20"/>
          <w:color w:val="auto"/>
        </w:rPr>
      </w:pPr>
    </w:p>
    <w:p>
      <w:pPr>
        <w:jc w:val="both"/>
        <w:ind w:left="4" w:right="9580" w:hanging="4"/>
        <w:spacing w:after="0" w:line="290" w:lineRule="auto"/>
        <w:tabs>
          <w:tab w:leader="none" w:pos="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+1 202 728 7096 jchase@cooley.com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May 7,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IN8bio,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350 5th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Suite 5330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10118</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have acted as counsel to IN8bio,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by the Company with the Securities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(i) a Post-Effective Amendment No. 2 to each of the Company’s registration statements 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Form S-8 (File Nos. 333-259458 and 333-264893), as filed with the Commission on September 10, 2021 and May 12, 2022, respectively, and each 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amended by the Post-Effective Amendment No. 1 to each registration statement filed with the Commission on August 18, 2023, and (ii) a Post-Effective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Amendment No. 1 to each of the Company’s registration statements on Form S-8 (File Nos. 333-274092, 333-276614 and 333-285798), as filed with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Commission on August 18, 2023, January 19, 2024 and March 13, 2025, respectively (such registration statements, collectively, the “</w:t>
      </w:r>
      <w:r>
        <w:rPr>
          <w:rFonts w:ascii="Times New Roman" w:cs="Times New Roman" w:eastAsia="Times New Roman" w:hAnsi="Times New Roman"/>
          <w:sz w:val="18"/>
          <w:szCs w:val="18"/>
          <w:b w:val="1"/>
          <w:bCs w:val="1"/>
          <w:i w:val="1"/>
          <w:iCs w:val="1"/>
          <w:color w:val="auto"/>
        </w:rPr>
        <w:t>Prior Registration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Statements</w:t>
      </w:r>
      <w:r>
        <w:rPr>
          <w:rFonts w:ascii="Times New Roman" w:cs="Times New Roman" w:eastAsia="Times New Roman" w:hAnsi="Times New Roman"/>
          <w:sz w:val="18"/>
          <w:szCs w:val="18"/>
          <w:color w:val="auto"/>
        </w:rPr>
        <w:t>,” and the post-effective amendment to each of the Prior Registration Statements, collectively, the “</w:t>
      </w:r>
      <w:r>
        <w:rPr>
          <w:rFonts w:ascii="Times New Roman" w:cs="Times New Roman" w:eastAsia="Times New Roman" w:hAnsi="Times New Roman"/>
          <w:sz w:val="18"/>
          <w:szCs w:val="18"/>
          <w:b w:val="1"/>
          <w:bCs w:val="1"/>
          <w:i w:val="1"/>
          <w:iCs w:val="1"/>
          <w:color w:val="auto"/>
        </w:rPr>
        <w:t>Post-Effective Amendments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 w:right="300"/>
        <w:spacing w:after="0" w:line="257" w:lineRule="auto"/>
        <w:rPr>
          <w:sz w:val="20"/>
          <w:szCs w:val="20"/>
          <w:color w:val="auto"/>
        </w:rPr>
      </w:pPr>
      <w:r>
        <w:rPr>
          <w:rFonts w:ascii="Times New Roman" w:cs="Times New Roman" w:eastAsia="Times New Roman" w:hAnsi="Times New Roman"/>
          <w:sz w:val="18"/>
          <w:szCs w:val="18"/>
          <w:color w:val="auto"/>
        </w:rPr>
        <w:t>The Prior Registration Statements covered the offering of shares of the Company’s common stock,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previously available for issuance under the Company’s 2018 Equity Incentive Plan, as amended (the “</w:t>
      </w:r>
      <w:r>
        <w:rPr>
          <w:rFonts w:ascii="Times New Roman" w:cs="Times New Roman" w:eastAsia="Times New Roman" w:hAnsi="Times New Roman"/>
          <w:sz w:val="18"/>
          <w:szCs w:val="18"/>
          <w:b w:val="1"/>
          <w:bCs w:val="1"/>
          <w:i w:val="1"/>
          <w:iCs w:val="1"/>
          <w:color w:val="auto"/>
        </w:rPr>
        <w:t>2018 Plan</w:t>
      </w:r>
      <w:r>
        <w:rPr>
          <w:rFonts w:ascii="Times New Roman" w:cs="Times New Roman" w:eastAsia="Times New Roman" w:hAnsi="Times New Roman"/>
          <w:sz w:val="18"/>
          <w:szCs w:val="18"/>
          <w:color w:val="auto"/>
        </w:rPr>
        <w:t>”), 2020 Equity Incentive Plan (the “</w:t>
      </w:r>
      <w:r>
        <w:rPr>
          <w:rFonts w:ascii="Times New Roman" w:cs="Times New Roman" w:eastAsia="Times New Roman" w:hAnsi="Times New Roman"/>
          <w:sz w:val="18"/>
          <w:szCs w:val="18"/>
          <w:b w:val="1"/>
          <w:bCs w:val="1"/>
          <w:i w:val="1"/>
          <w:iCs w:val="1"/>
          <w:color w:val="auto"/>
        </w:rPr>
        <w:t>2020 Plan</w:t>
      </w:r>
      <w:r>
        <w:rPr>
          <w:rFonts w:ascii="Times New Roman" w:cs="Times New Roman" w:eastAsia="Times New Roman" w:hAnsi="Times New Roman"/>
          <w:sz w:val="18"/>
          <w:szCs w:val="18"/>
          <w:color w:val="auto"/>
        </w:rPr>
        <w:t>”), and Amended and Restated 2023 Equity Incentive Plan (the “</w:t>
      </w:r>
      <w:r>
        <w:rPr>
          <w:rFonts w:ascii="Times New Roman" w:cs="Times New Roman" w:eastAsia="Times New Roman" w:hAnsi="Times New Roman"/>
          <w:sz w:val="18"/>
          <w:szCs w:val="18"/>
          <w:b w:val="1"/>
          <w:bCs w:val="1"/>
          <w:i w:val="1"/>
          <w:iCs w:val="1"/>
          <w:color w:val="auto"/>
        </w:rPr>
        <w:t>2023 Plan</w:t>
      </w:r>
      <w:r>
        <w:rPr>
          <w:rFonts w:ascii="Times New Roman" w:cs="Times New Roman" w:eastAsia="Times New Roman" w:hAnsi="Times New Roman"/>
          <w:sz w:val="18"/>
          <w:szCs w:val="18"/>
          <w:color w:val="auto"/>
        </w:rPr>
        <w:t>” and, together with the 2018 Plan and 2020 Plan, the “</w:t>
      </w:r>
      <w:r>
        <w:rPr>
          <w:rFonts w:ascii="Times New Roman" w:cs="Times New Roman" w:eastAsia="Times New Roman" w:hAnsi="Times New Roman"/>
          <w:sz w:val="18"/>
          <w:szCs w:val="18"/>
          <w:b w:val="1"/>
          <w:bCs w:val="1"/>
          <w:i w:val="1"/>
          <w:i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Plans</w:t>
      </w:r>
      <w:r>
        <w:rPr>
          <w:rFonts w:ascii="Times New Roman" w:cs="Times New Roman" w:eastAsia="Times New Roman" w:hAnsi="Times New Roman"/>
          <w:sz w:val="18"/>
          <w:szCs w:val="18"/>
          <w:color w:val="auto"/>
        </w:rPr>
        <w:t>”). For purposes of this opinion,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up to 646,630 shares of Common Stock, which is the number of shares of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outstanding stock awards granted under the Prior Plans that, from and after May 7, 2026, may become available for grant under the Company’s Amended and Restated 2026 Equity Incentive Plan (the “</w:t>
      </w:r>
      <w:r>
        <w:rPr>
          <w:rFonts w:ascii="Times New Roman" w:cs="Times New Roman" w:eastAsia="Times New Roman" w:hAnsi="Times New Roman"/>
          <w:sz w:val="18"/>
          <w:szCs w:val="18"/>
          <w:b w:val="1"/>
          <w:bCs w:val="1"/>
          <w:i w:val="1"/>
          <w:iCs w:val="1"/>
          <w:color w:val="auto"/>
        </w:rPr>
        <w:t>2026 Plan</w:t>
      </w:r>
      <w:r>
        <w:rPr>
          <w:rFonts w:ascii="Times New Roman" w:cs="Times New Roman" w:eastAsia="Times New Roman" w:hAnsi="Times New Roman"/>
          <w:sz w:val="18"/>
          <w:szCs w:val="18"/>
          <w:color w:val="auto"/>
        </w:rPr>
        <w:t>”) as described in the Post-Effective Amendments.</w:t>
      </w:r>
    </w:p>
    <w:p>
      <w:pPr>
        <w:spacing w:after="0" w:line="186" w:lineRule="exact"/>
        <w:rPr>
          <w:sz w:val="20"/>
          <w:szCs w:val="20"/>
          <w:color w:val="auto"/>
        </w:rPr>
      </w:pPr>
    </w:p>
    <w:p>
      <w:pPr>
        <w:ind w:left="4" w:right="20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(a) the Prior Registration Statements, the Post-Effective Amendments and related prospectuses, (b) the Company’s certificate of incorporation and bylaws, each as currently in effect, (c) the Prior Plans, (d) the 2026 Plan, and (e) such records, documents,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89"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Cooley LLP  1299 Pennsylvania Avenue NW  Suite 700  Washington, DC  20004-2400</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 +1 202 842 7800  f: +1 202 842 7899  cooley.com</w:t>
      </w:r>
    </w:p>
    <w:p>
      <w:pPr>
        <w:sectPr>
          <w:pgSz w:w="11900" w:h="16838" w:orient="portrait"/>
          <w:cols w:equalWidth="0" w:num="1">
            <w:col w:w="11024"/>
          </w:cols>
          <w:pgMar w:left="436" w:top="117"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7,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the basis of the foregoing, and in reliance thereon and subject to the assumptions, exceptions, limitations and qualifications set forth herein, we are of the opinion that the Shares, when sold and issued in accordance with the 2026 Plan, the Post-Effective Amendments and related prospectuses, will be validly issued, fully paid, and nonassessable (except as to shares issued pursuant to deferred payment arrangements, which will be fully paid and nonassessable when such deferred payments are made in full).</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Post-Effective Amendments. In giving such consent, we do not thereby admit that we are in the category of persons whose consent is required under Section 7 of the Securities Act of 1933, as amended, or the rules and regulations of the Commission thereunder.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OOLEY</w:t>
      </w:r>
      <w:r>
        <w:rPr>
          <w:rFonts w:ascii="Times New Roman" w:cs="Times New Roman" w:eastAsia="Times New Roman" w:hAnsi="Times New Roman"/>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Jaime L.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Jaime L. Chase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1299 Pennsylvania Avenue NW  Suite 700  Washington, DC  20004-2400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+1 202 842 7800  f: +1 202 842 7899  cooley.com</w:t>
      </w:r>
    </w:p>
    <w:p>
      <w:pPr>
        <w:sectPr>
          <w:pgSz w:w="11900" w:h="16838" w:orient="portrait"/>
          <w:cols w:equalWidth="0" w:num="1">
            <w:col w:w="11000"/>
          </w:cols>
          <w:pgMar w:left="440" w:top="270" w:right="4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this Post-effective Amendment No. 1 to the Registration Statements on Form S-8 (333-285798, 333-276614, and 333-274092) and Post-effective Amendment No. 2 to the Registration Statements on Form S-8 (333-264893 and 333-259458) of our report dated March 12, 2026, with respect to the financial statements of IN8bio, Inc. as of December 31, 2025 and 2024, and for the years then ended, which report is included in the Annual Report on Form 10-K of IN8bio, Inc. for the year ended December 31, 2025 filed with the Securities and Exchange Commission. Our audit report includes an explanatory paragraph relating to IN8bio, Inc.’s ability to continue as a going concern.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2"/>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upperLetter"/>
      <w:start w:val="2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3" Type="http://schemas.openxmlformats.org/officeDocument/2006/relationships/image" Target="media/image12.png"/><Relationship Id="rId38"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jpeg"/><Relationship Id="rId41" Type="http://schemas.openxmlformats.org/officeDocument/2006/relationships/image" Target="media/image16.png"/><Relationship Id="rId42" Type="http://schemas.openxmlformats.org/officeDocument/2006/relationships/image" Target="media/image17.png"/><Relationship Id="rId19" Type="http://schemas.openxmlformats.org/officeDocument/2006/relationships/hyperlink" Target="http://www.sec.gov/Archives/edgar/data/1740279/000119312521270077/d216810ds8.htm" TargetMode="External"/><Relationship Id="rId20" Type="http://schemas.openxmlformats.org/officeDocument/2006/relationships/hyperlink" Target="http://www.sec.gov/Archives/edgar/data/1740279/000119312523216045/d387080ds8pos.htm" TargetMode="External"/><Relationship Id="rId21" Type="http://schemas.openxmlformats.org/officeDocument/2006/relationships/hyperlink" Target="http://www.sec.gov/Archives/edgar/data/1740279/000119312522148782/d313321ds8.htm" TargetMode="External"/><Relationship Id="rId22" Type="http://schemas.openxmlformats.org/officeDocument/2006/relationships/hyperlink" Target="http://www.sec.gov/Archives/edgar/data/1740279/000119312523216041/d387080ds8pos.htm" TargetMode="External"/><Relationship Id="rId23" Type="http://schemas.openxmlformats.org/officeDocument/2006/relationships/hyperlink" Target="http://www.sec.gov/Archives/edgar/data/1740279/000119312523216033/d512282ds8.htm" TargetMode="External"/><Relationship Id="rId24" Type="http://schemas.openxmlformats.org/officeDocument/2006/relationships/hyperlink" Target="http://www.sec.gov/Archives/edgar/data/1740279/000119312524011235/d691824ds8.htm" TargetMode="External"/><Relationship Id="rId25" Type="http://schemas.openxmlformats.org/officeDocument/2006/relationships/hyperlink" Target="http://www.sec.gov/Archives/edgar/data/1740279/000119312525054019/d936078ds8.htm" TargetMode="External"/><Relationship Id="rId26" Type="http://schemas.openxmlformats.org/officeDocument/2006/relationships/hyperlink" Target="http://www.sec.gov/ix?doc=/Archives/edgar/data/0001740279/000119312526104181/inab-20251231.htm" TargetMode="External"/><Relationship Id="rId27" Type="http://schemas.openxmlformats.org/officeDocument/2006/relationships/hyperlink" Target="http://www.sec.gov/ix?doc=/Archives/edgar/data/0001740279/000119312526126208/d26327ddef14a.htm" TargetMode="External"/><Relationship Id="rId28" Type="http://schemas.openxmlformats.org/officeDocument/2006/relationships/hyperlink" Target="http://www.sec.gov/ix?doc=/Archives/edgar/data/1740279/000119312526212135/inab-20260331.htm" TargetMode="External"/><Relationship Id="rId29" Type="http://schemas.openxmlformats.org/officeDocument/2006/relationships/hyperlink" Target="http://www.sec.gov/ix?doc=/Archives/edgar/data/0001740279/000119312526041975/d50284d8k.htm" TargetMode="External"/><Relationship Id="rId30" Type="http://schemas.openxmlformats.org/officeDocument/2006/relationships/hyperlink" Target="http://www.sec.gov/ix?doc=/Archives/edgar/data/0001740279/000119312526082539/d915471d8k.htm" TargetMode="External"/><Relationship Id="rId31" Type="http://schemas.openxmlformats.org/officeDocument/2006/relationships/hyperlink" Target="http://www.sec.gov/ix?doc=/Archives/edgar/data/1740279/000119312526212128/inab-20260507.htm" TargetMode="External"/><Relationship Id="rId32" Type="http://schemas.openxmlformats.org/officeDocument/2006/relationships/hyperlink" Target="http://www.sec.gov/Archives/edgar/data/1740279/000119312526104181/inab-ex4_2.htm" TargetMode="External"/><Relationship Id="rId34" Type="http://schemas.openxmlformats.org/officeDocument/2006/relationships/hyperlink" Target="http://www.sec.gov/Archives/edgar/data/1740279/000110465921099436/tm2030088d31_ex3-1.htm" TargetMode="External"/><Relationship Id="rId35" Type="http://schemas.openxmlformats.org/officeDocument/2006/relationships/hyperlink" Target="http://www.sec.gov/Archives/edgar/data/1740279/000119312525134487/d927529dex31.htm" TargetMode="External"/><Relationship Id="rId36" Type="http://schemas.openxmlformats.org/officeDocument/2006/relationships/hyperlink" Target="http://www.sec.gov/Archives/edgar/data/1740279/000119312523290707/d634027dex31.htm" TargetMode="External"/><Relationship Id="rId37" Type="http://schemas.openxmlformats.org/officeDocument/2006/relationships/hyperlink" Target="http://www.sec.gov/Archives/edgar/data/1740279/000119312526212128/inab-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2026-05-07T16:22:34Z</dcterms:created>
  <dcterms:modified xsi:type="dcterms:W3CDTF">2026-05-07T16:22:34Z</dcterms:modified>
</cp:coreProperties>
</file>