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1601d8k.htm"/>
      <w:bookmarkStart w:id="1" w:name="ksd91160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IN8bio,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82-5462585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350 5th Avenue, Suite 5330</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10118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646 600-6438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INAB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IN8bio, Inc. (the “Company”) held its annual meeting of stockholders (the “Annual Meeting”) on May 8, 2025. The final results for each of the proposals submitted to a vote of the Company’s stockholders at the Annual Meeting are set forth below. These proposals are described in detail in the Company’s definitive proxy statement filed with the Securities and Exchange Commission on March 17, 2025. </w:t>
      </w:r>
    </w:p>
    <w:p>
      <w:pPr>
        <w:pStyle w:val="TextBody"/>
        <w:bidi w:val="0"/>
        <w:spacing w:before="240" w:after="0"/>
        <w:jc w:val="left"/>
        <w:rPr>
          <w:rFonts w:ascii="Times New Roman" w:hAnsi="Times New Roman"/>
          <w:sz w:val="20"/>
        </w:rPr>
      </w:pPr>
      <w:r>
        <w:rPr>
          <w:rFonts w:ascii="Times New Roman" w:hAnsi="Times New Roman"/>
          <w:sz w:val="20"/>
          <w:u w:val="single"/>
        </w:rPr>
        <w:t>Proposal No. 1</w:t>
      </w:r>
      <w:r>
        <w:rPr>
          <w:rFonts w:ascii="Times New Roman" w:hAnsi="Times New Roman"/>
          <w:sz w:val="20"/>
        </w:rPr>
        <w:t xml:space="preserve">: Election of three nominees to serve as directors until the 2028 annual meeting of stockholders and until their respective successors are elected and qualified. All nominees were elected. The votes were cast as follows: </w:t>
      </w:r>
    </w:p>
    <w:p>
      <w:pPr>
        <w:pStyle w:val="TextBody"/>
        <w:bidi w:val="0"/>
        <w:spacing w:before="0" w:after="0"/>
        <w:jc w:val="left"/>
        <w:rPr/>
      </w:pPr>
      <w:r>
        <w:rPr/>
        <w:t> </w:t>
      </w:r>
    </w:p>
    <w:tbl>
      <w:tblPr>
        <w:tblW w:w="5810" w:type="dxa"/>
        <w:jc w:val="left"/>
        <w:tblInd w:w="0" w:type="dxa"/>
        <w:tblLayout w:type="fixed"/>
        <w:tblCellMar>
          <w:top w:w="0" w:type="dxa"/>
          <w:left w:w="0" w:type="dxa"/>
          <w:bottom w:w="0" w:type="dxa"/>
          <w:right w:w="0" w:type="dxa"/>
        </w:tblCellMar>
      </w:tblPr>
      <w:tblGrid>
        <w:gridCol w:w="1430"/>
        <w:gridCol w:w="120"/>
        <w:gridCol w:w="60"/>
        <w:gridCol w:w="1100"/>
        <w:gridCol w:w="60"/>
        <w:gridCol w:w="120"/>
        <w:gridCol w:w="86"/>
        <w:gridCol w:w="1419"/>
        <w:gridCol w:w="60"/>
        <w:gridCol w:w="120"/>
        <w:gridCol w:w="60"/>
        <w:gridCol w:w="110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pPr>
            <w:r>
              <w:rPr/>
              <w:t>Votes 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Broker</w:t>
              <w:br/>
              <w:t>Non-Votes</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Emily Fairbairn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30,676,601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pPr>
            <w:r>
              <w:rPr/>
              <w:t>3,309,277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12,912,395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Jeremy Graff</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30,513,135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283"/>
              <w:jc w:val="right"/>
              <w:rPr/>
            </w:pPr>
            <w:r>
              <w:rPr/>
              <w:t>3,472,743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12,912,395</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Luba Greenwood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32,635,426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pPr>
            <w:r>
              <w:rPr/>
              <w:t>1,350,452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12,912,395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Proposal No. 2</w:t>
      </w:r>
      <w:r>
        <w:rPr>
          <w:rFonts w:ascii="Times New Roman" w:hAnsi="Times New Roman"/>
          <w:sz w:val="20"/>
        </w:rPr>
        <w:t xml:space="preserve">: Ratification of the selection of CohnReznick LLP as independent registered public accounting firm for the fiscal year ending December 31, 2025. The appointment was ratified. The votes were cast as follows: </w:t>
      </w:r>
    </w:p>
    <w:p>
      <w:pPr>
        <w:pStyle w:val="TextBody"/>
        <w:bidi w:val="0"/>
        <w:spacing w:before="0" w:after="0"/>
        <w:jc w:val="left"/>
        <w:rPr/>
      </w:pPr>
      <w:r>
        <w:rPr/>
        <w:t> </w:t>
      </w:r>
    </w:p>
    <w:tbl>
      <w:tblPr>
        <w:tblW w:w="8195" w:type="dxa"/>
        <w:jc w:val="left"/>
        <w:tblInd w:w="0" w:type="dxa"/>
        <w:tblLayout w:type="fixed"/>
        <w:tblCellMar>
          <w:top w:w="0" w:type="dxa"/>
          <w:left w:w="0" w:type="dxa"/>
          <w:bottom w:w="0" w:type="dxa"/>
          <w:right w:w="0" w:type="dxa"/>
        </w:tblCellMar>
      </w:tblPr>
      <w:tblGrid>
        <w:gridCol w:w="4070"/>
        <w:gridCol w:w="120"/>
        <w:gridCol w:w="60"/>
        <w:gridCol w:w="1100"/>
        <w:gridCol w:w="60"/>
        <w:gridCol w:w="120"/>
        <w:gridCol w:w="95"/>
        <w:gridCol w:w="1275"/>
        <w:gridCol w:w="60"/>
        <w:gridCol w:w="120"/>
        <w:gridCol w:w="60"/>
        <w:gridCol w:w="980"/>
        <w:gridCol w:w="75"/>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Abstained</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Ratification of appointment of CohnReznick LLP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44,955,278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503,043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1,439,952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Proposal No. 3</w:t>
      </w:r>
      <w:r>
        <w:rPr>
          <w:rFonts w:ascii="Times New Roman" w:hAnsi="Times New Roman"/>
          <w:sz w:val="20"/>
        </w:rPr>
        <w:t xml:space="preserve">: Approval of a series of alternate amendments to the Company’s Amended and Restated Certificate of Incorporation to effect a reverse stock split of the Company’s common stock (the “Reverse Stock Split Proposal”). </w:t>
      </w:r>
    </w:p>
    <w:p>
      <w:pPr>
        <w:pStyle w:val="TextBody"/>
        <w:bidi w:val="0"/>
        <w:spacing w:before="0" w:after="0"/>
        <w:jc w:val="left"/>
        <w:rPr/>
      </w:pPr>
      <w:r>
        <w:rPr/>
        <w:t> </w:t>
      </w:r>
    </w:p>
    <w:tbl>
      <w:tblPr>
        <w:tblW w:w="6440" w:type="dxa"/>
        <w:jc w:val="left"/>
        <w:tblInd w:w="0" w:type="dxa"/>
        <w:tblLayout w:type="fixed"/>
        <w:tblCellMar>
          <w:top w:w="0" w:type="dxa"/>
          <w:left w:w="0" w:type="dxa"/>
          <w:bottom w:w="0" w:type="dxa"/>
          <w:right w:w="0" w:type="dxa"/>
        </w:tblCellMar>
      </w:tblPr>
      <w:tblGrid>
        <w:gridCol w:w="2375"/>
        <w:gridCol w:w="120"/>
        <w:gridCol w:w="60"/>
        <w:gridCol w:w="1100"/>
        <w:gridCol w:w="60"/>
        <w:gridCol w:w="120"/>
        <w:gridCol w:w="79"/>
        <w:gridCol w:w="1291"/>
        <w:gridCol w:w="60"/>
        <w:gridCol w:w="120"/>
        <w:gridCol w:w="79"/>
        <w:gridCol w:w="901"/>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Abstained</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Reverse Stock Split Proposal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43,559,092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3,249,100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90,081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26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75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0" w:type="dxa"/>
            <w:gridSpan w:val="3"/>
            <w:tcBorders/>
            <w:vAlign w:val="center"/>
          </w:tcPr>
          <w:p>
            <w:pPr>
              <w:pStyle w:val="TableContents"/>
              <w:bidi w:val="0"/>
              <w:spacing w:before="0" w:after="283"/>
              <w:jc w:val="left"/>
              <w:rPr>
                <w:b/>
              </w:rPr>
            </w:pPr>
            <w:r>
              <w:rPr>
                <w:b/>
              </w:rPr>
              <w:t>IN8bio,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Dated: May 9,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McCall</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b/>
              </w:rPr>
            </w:pPr>
            <w:r>
              <w:rPr>
                <w:b/>
              </w:rPr>
              <w:t>Patrick McCall</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Chief Financial Officer and Secretary</w:t>
            </w:r>
          </w:p>
          <w:p>
            <w:pPr>
              <w:pStyle w:val="TableContents"/>
              <w:bidi w:val="0"/>
              <w:spacing w:before="0" w:after="20"/>
              <w:jc w:val="left"/>
              <w:rPr>
                <w:rFonts w:ascii="Times New Roman" w:hAnsi="Times New Roman"/>
                <w:i/>
                <w:sz w:val="20"/>
              </w:rPr>
            </w:pPr>
            <w:r>
              <w:rPr>
                <w:rFonts w:ascii="Times New Roman" w:hAnsi="Times New Roman"/>
                <w:i/>
                <w:sz w:val="20"/>
              </w:rPr>
              <w:t>(Principal Financial and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594</Words>
  <Characters>3310</Characters>
  <CharactersWithSpaces>3958</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