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350 5th Avenue, Suite 5330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7, 2025, IN8bio, Inc. (the “Company”) issued a press release announcing its financial results for the first quarter ended March 31, 2025.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r>
      <w:tr>
        <w:trPr>
          <w:trHeight w:val="385"/>
        </w:trPr>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7, 2025.</w:t>
            </w:r>
          </w:p>
        </w:tc>
        <w:tc>
          <w:tcPr>
            <w:tcW w:w="20" w:type="dxa"/>
            <w:vAlign w:val="bottom"/>
            <w:tcBorders>
              <w:bottom w:val="single" w:sz="8" w:color="0000EE"/>
            </w:tcBorders>
          </w:tcPr>
          <w:p>
            <w:pPr>
              <w:spacing w:after="0"/>
              <w:rPr>
                <w:sz w:val="24"/>
                <w:szCs w:val="24"/>
                <w:color w:val="auto"/>
              </w:rPr>
            </w:pPr>
          </w:p>
        </w:tc>
        <w:tc>
          <w:tcPr>
            <w:tcW w:w="7440" w:type="dxa"/>
            <w:vAlign w:val="bottom"/>
            <w:gridSpan w:val="2"/>
          </w:tcPr>
          <w:p>
            <w:pPr>
              <w:spacing w:after="0"/>
              <w:rPr>
                <w:sz w:val="24"/>
                <w:szCs w:val="24"/>
                <w:color w:val="auto"/>
              </w:rPr>
            </w:pPr>
          </w:p>
        </w:tc>
      </w:tr>
      <w:tr>
        <w:trPr>
          <w:trHeight w:val="237"/>
        </w:trPr>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0"/>
        <w:spacing w:after="0"/>
        <w:tabs>
          <w:tab w:leader="none" w:pos="620" w:val="left"/>
          <w:tab w:leader="none" w:pos="5900" w:val="left"/>
          <w:tab w:leader="none" w:pos="8040" w:val="left"/>
        </w:tabs>
        <w:rPr>
          <w:sz w:val="20"/>
          <w:szCs w:val="20"/>
          <w:color w:val="auto"/>
        </w:rPr>
      </w:pPr>
      <w:r>
        <w:rPr>
          <w:rFonts w:ascii="Times New Roman" w:cs="Times New Roman" w:eastAsia="Times New Roman" w:hAnsi="Times New Roman"/>
          <w:sz w:val="18"/>
          <w:szCs w:val="18"/>
          <w:color w:val="auto"/>
        </w:rPr>
        <w:t>Date:</w:t>
        <w:tab/>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28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95"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IN8bio Reports First Quarter 2025 Financial Results and Recent Business Highlights</w:t>
      </w:r>
    </w:p>
    <w:p>
      <w:pPr>
        <w:spacing w:after="0" w:line="235" w:lineRule="exact"/>
        <w:rPr>
          <w:sz w:val="20"/>
          <w:szCs w:val="20"/>
          <w:color w:val="auto"/>
        </w:rPr>
      </w:pPr>
    </w:p>
    <w:p>
      <w:pPr>
        <w:jc w:val="both"/>
        <w:ind w:left="760" w:hanging="378"/>
        <w:spacing w:after="0" w:line="261"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i w:val="1"/>
          <w:iCs w:val="1"/>
          <w:color w:val="auto"/>
        </w:rPr>
        <w:t>Phase 1 clinical data of INB-100 continues to demonstrate long-term durable remissions, with 100% of treated Acute Myeloid Leukemia (AML) patients remaining relapse-free with median follow-up of 20.1 months as of January 17, 2025, as presented at the 2025 Transplantation &amp; Cellular Therapy (TCT) Meetings</w:t>
      </w:r>
    </w:p>
    <w:p>
      <w:pPr>
        <w:spacing w:after="0" w:line="107" w:lineRule="exact"/>
        <w:rPr>
          <w:rFonts w:ascii="Times New Roman" w:cs="Times New Roman" w:eastAsia="Times New Roman" w:hAnsi="Times New Roman"/>
          <w:sz w:val="21"/>
          <w:szCs w:val="21"/>
          <w:color w:val="auto"/>
        </w:rPr>
      </w:pPr>
    </w:p>
    <w:p>
      <w:pPr>
        <w:jc w:val="both"/>
        <w:ind w:left="760" w:hanging="378"/>
        <w:spacing w:after="0" w:line="225"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On May 1</w:t>
      </w:r>
      <w:r>
        <w:rPr>
          <w:rFonts w:ascii="Arial" w:cs="Arial" w:eastAsia="Arial" w:hAnsi="Arial"/>
          <w:sz w:val="28"/>
          <w:szCs w:val="28"/>
          <w:i w:val="1"/>
          <w:iCs w:val="1"/>
          <w:color w:val="auto"/>
          <w:vertAlign w:val="superscript"/>
        </w:rPr>
        <w:t>st</w:t>
      </w:r>
      <w:r>
        <w:rPr>
          <w:rFonts w:ascii="Arial" w:cs="Arial" w:eastAsia="Arial" w:hAnsi="Arial"/>
          <w:sz w:val="22"/>
          <w:szCs w:val="22"/>
          <w:i w:val="1"/>
          <w:iCs w:val="1"/>
          <w:color w:val="auto"/>
        </w:rPr>
        <w:t>, 2025, we celebrated the 5</w:t>
      </w:r>
      <w:r>
        <w:rPr>
          <w:rFonts w:ascii="Arial" w:cs="Arial" w:eastAsia="Arial" w:hAnsi="Arial"/>
          <w:sz w:val="28"/>
          <w:szCs w:val="28"/>
          <w:i w:val="1"/>
          <w:iCs w:val="1"/>
          <w:color w:val="auto"/>
          <w:vertAlign w:val="superscript"/>
        </w:rPr>
        <w:t>th</w:t>
      </w:r>
      <w:r>
        <w:rPr>
          <w:rFonts w:ascii="Arial" w:cs="Arial" w:eastAsia="Arial" w:hAnsi="Arial"/>
          <w:sz w:val="22"/>
          <w:szCs w:val="22"/>
          <w:i w:val="1"/>
          <w:iCs w:val="1"/>
          <w:color w:val="auto"/>
        </w:rPr>
        <w:t xml:space="preserve"> anniversary of the first patient ever treated with a gamma-delta T cell therapy being developed by IN8bio. This older patient with complex AML and multiple genetic abnormalities was treated with INB-100 and remains alive and in remission today</w:t>
      </w:r>
    </w:p>
    <w:p>
      <w:pPr>
        <w:spacing w:after="0" w:line="96"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Presented new data on INB-600, a next-generation gamma-delta T cell engager (TCE) platform at the American Association for Cancer Research (AACR) 2025 Annual Meeting with potential applications across both oncology and autoimmune diseases</w:t>
      </w:r>
    </w:p>
    <w:p>
      <w:pPr>
        <w:spacing w:after="0" w:line="10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Continued operational execution with strategic focus on meaningful data milestones including an upcoming oral presentation of INB-200 at the American Society of Clinical Oncology (ASCO) 2025 Annual Meeting</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Raised aggregate net proceeds of approximately $4.1 million from the sale of common stock under the ATM and exercise of warrants in 1Q25</w:t>
      </w:r>
    </w:p>
    <w:p>
      <w:pPr>
        <w:spacing w:after="0" w:line="31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NEW YORK, May 07, 2025 -- </w:t>
      </w:r>
      <w:r>
        <w:rPr>
          <w:rFonts w:ascii="Arial" w:cs="Arial" w:eastAsia="Arial" w:hAnsi="Arial"/>
          <w:sz w:val="22"/>
          <w:szCs w:val="22"/>
          <w:u w:val="single" w:color="auto"/>
          <w:color w:val="0000FF"/>
        </w:rPr>
        <w:t>IN8bio, Inc</w:t>
      </w:r>
      <w:r>
        <w:rPr>
          <w:rFonts w:ascii="Arial" w:cs="Arial" w:eastAsia="Arial" w:hAnsi="Arial"/>
          <w:sz w:val="22"/>
          <w:szCs w:val="22"/>
          <w:color w:val="auto"/>
        </w:rPr>
        <w:t>. (Nasdaq: INAB), a clinical-stage biopharmaceutical company developing innovative gamma-delta T cell therapies, today reported financial results and business highlights for the first quarter ended March 31, 2025 and recent corporate highlights.</w:t>
      </w:r>
    </w:p>
    <w:p>
      <w:pPr>
        <w:spacing w:after="0" w:line="19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“IN8bio stands at the forefront of gamma-delta T cell innovation, pioneering transformative therapies for cancer patients with urgent unmet needs. Driven by our commitment to scientific excellence, we are advancing our mission of Cancer Zero</w:t>
      </w:r>
      <w:r>
        <w:rPr>
          <w:rFonts w:ascii="Arial" w:cs="Arial" w:eastAsia="Arial" w:hAnsi="Arial"/>
          <w:sz w:val="12"/>
          <w:szCs w:val="12"/>
          <w:color w:val="auto"/>
        </w:rPr>
        <w:t>TM</w:t>
      </w:r>
      <w:r>
        <w:rPr>
          <w:rFonts w:ascii="Arial" w:cs="Arial" w:eastAsia="Arial" w:hAnsi="Arial"/>
          <w:sz w:val="22"/>
          <w:szCs w:val="22"/>
          <w:color w:val="auto"/>
        </w:rPr>
        <w:t xml:space="preserve"> with elegant, cutting-edge approaches. Our clinical data showcases robust activity, delivering extended progression-free survival and a unique safety profile across challenging cancers to date. As the biopharmaceutical industry excitedly embraces novel T cell engagers, IN8bio is once again redefining the landscape with our innovative INB-600 TCE platform. The preclinical data unveiled at AACR represents a leap forward,” said William Ho, CEO &amp; co-founder, IN8bio. “Harnessing our deep expertise, we’ve engineered a breakthrough technology that achieves picomolar potency, enhances immune surveillance, and potentially mitigates some of the safety risks associated with conventional CD3-targeted TCEs. We’re excited to advance this platform into both oncology and autoimmune indications and continue building a differentiated pipeline that promises to reshape the future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Corporate Highlights and Recent Developments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Expanded Pipeline with INB-600 Gamma-Delta T Cell Engager Platform</w:t>
      </w:r>
    </w:p>
    <w:p>
      <w:pPr>
        <w:spacing w:after="0" w:line="78" w:lineRule="exact"/>
        <w:rPr>
          <w:sz w:val="20"/>
          <w:szCs w:val="20"/>
          <w:color w:val="auto"/>
        </w:rPr>
      </w:pPr>
    </w:p>
    <w:p>
      <w:pPr>
        <w:ind w:left="1020" w:right="28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Presented </w:t>
      </w:r>
      <w:r>
        <w:rPr>
          <w:rFonts w:ascii="Arial" w:cs="Arial" w:eastAsia="Arial" w:hAnsi="Arial"/>
          <w:sz w:val="22"/>
          <w:szCs w:val="22"/>
          <w:u w:val="single" w:color="auto"/>
          <w:color w:val="auto"/>
        </w:rPr>
        <w:t>new preclinical data</w:t>
      </w:r>
      <w:r>
        <w:rPr>
          <w:rFonts w:ascii="Arial" w:cs="Arial" w:eastAsia="Arial" w:hAnsi="Arial"/>
          <w:sz w:val="22"/>
          <w:szCs w:val="22"/>
          <w:color w:val="auto"/>
        </w:rPr>
        <w:t xml:space="preserve"> at the 2025 American Association for Cancer Research (AACR) Annual Meeting highlighting the INB-600 platform, including lead candidates INB-619 (targeting CD19) and INB-633 (targeting CD33).</w:t>
      </w:r>
    </w:p>
    <w:p>
      <w:pPr>
        <w:spacing w:after="0" w:line="64" w:lineRule="exact"/>
        <w:rPr>
          <w:rFonts w:ascii="Times New Roman" w:cs="Times New Roman" w:eastAsia="Times New Roman" w:hAnsi="Times New Roman"/>
          <w:sz w:val="22"/>
          <w:szCs w:val="22"/>
          <w:color w:val="auto"/>
        </w:rPr>
      </w:pPr>
    </w:p>
    <w:p>
      <w:pPr>
        <w:ind w:left="1020" w:right="14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Preclinical studies demonstrated strong, antigen-specific cytotoxicity against leukemia cells and primary B cells with minimal inflammatory cytokine release, potentially addressing key limitations of conventional CD3-based TCEs.</w:t>
      </w:r>
    </w:p>
    <w:p>
      <w:pPr>
        <w:spacing w:after="0" w:line="64" w:lineRule="exact"/>
        <w:rPr>
          <w:rFonts w:ascii="Times New Roman" w:cs="Times New Roman" w:eastAsia="Times New Roman" w:hAnsi="Times New Roman"/>
          <w:sz w:val="22"/>
          <w:szCs w:val="22"/>
          <w:color w:val="auto"/>
        </w:rPr>
      </w:pPr>
    </w:p>
    <w:p>
      <w:pPr>
        <w:ind w:left="1020" w:right="54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INB-600 TCE platform significantly expands both Vδ1+ and Vδ2+ subsets to address the reduced cell counts that have limited earlier γδ TCE therapies in cancer patients.</w:t>
      </w:r>
    </w:p>
    <w:p>
      <w:pPr>
        <w:spacing w:after="0" w:line="49" w:lineRule="exact"/>
        <w:rPr>
          <w:rFonts w:ascii="Times New Roman" w:cs="Times New Roman" w:eastAsia="Times New Roman" w:hAnsi="Times New Roman"/>
          <w:sz w:val="22"/>
          <w:szCs w:val="22"/>
          <w:color w:val="auto"/>
        </w:rPr>
      </w:pPr>
    </w:p>
    <w:p>
      <w:pPr>
        <w:ind w:left="1020" w:right="86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Targeted B cell elimination (INB-619) highlights potential applications in B cell–driven autoimmune diseases as well as oncology indications.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Demonstrated Additional Clinical Progress Across Gamma-Delta T Cell Therapy Pipeline</w:t>
      </w:r>
    </w:p>
    <w:p>
      <w:pPr>
        <w:spacing w:after="0" w:line="100" w:lineRule="exact"/>
        <w:rPr>
          <w:sz w:val="20"/>
          <w:szCs w:val="20"/>
          <w:color w:val="auto"/>
        </w:rPr>
      </w:pPr>
    </w:p>
    <w:p>
      <w:pPr>
        <w:ind w:left="1020" w:right="140" w:hanging="503"/>
        <w:spacing w:after="0" w:line="239" w:lineRule="auto"/>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Presented </w:t>
      </w:r>
      <w:r>
        <w:rPr>
          <w:rFonts w:ascii="Arial" w:cs="Arial" w:eastAsia="Arial" w:hAnsi="Arial"/>
          <w:sz w:val="22"/>
          <w:szCs w:val="22"/>
          <w:u w:val="single" w:color="auto"/>
          <w:color w:val="0000FF"/>
        </w:rPr>
        <w:t>Positive Phase 1 data</w:t>
      </w:r>
      <w:r>
        <w:rPr>
          <w:rFonts w:ascii="Arial" w:cs="Arial" w:eastAsia="Arial" w:hAnsi="Arial"/>
          <w:sz w:val="22"/>
          <w:szCs w:val="22"/>
          <w:color w:val="auto"/>
        </w:rPr>
        <w:t xml:space="preserve"> (February 2025) for INB-100 (Allogeneic Gamma-Delta T Cell Therapy for High-Risk AML and Leukemias) at the 2025 Transplantation &amp; Cellular Therapy (TCT) Annual Meeting showing durable remissions, with 100% of treated AML patients remaining relapse-free with 20.1 month median follow-up as of January 17, 2025.</w:t>
      </w:r>
    </w:p>
    <w:p>
      <w:pPr>
        <w:spacing w:after="0" w:line="71" w:lineRule="exact"/>
        <w:rPr>
          <w:rFonts w:ascii="Times New Roman" w:cs="Times New Roman" w:eastAsia="Times New Roman" w:hAnsi="Times New Roman"/>
          <w:sz w:val="22"/>
          <w:szCs w:val="22"/>
          <w:color w:val="auto"/>
        </w:rPr>
      </w:pPr>
    </w:p>
    <w:p>
      <w:pPr>
        <w:ind w:left="1020" w:right="380" w:hanging="503"/>
        <w:spacing w:after="0" w:line="258" w:lineRule="auto"/>
        <w:tabs>
          <w:tab w:leader="none" w:pos="10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Observed a favorable safety profile, with no cases of cytokine release syndrome (CRS) or neurotoxicity (ICANs) reported to date.</w:t>
      </w:r>
    </w:p>
    <w:p>
      <w:pPr>
        <w:spacing w:after="0" w:line="49" w:lineRule="exact"/>
        <w:rPr>
          <w:rFonts w:ascii="Times New Roman" w:cs="Times New Roman" w:eastAsia="Times New Roman" w:hAnsi="Times New Roman"/>
          <w:sz w:val="22"/>
          <w:szCs w:val="22"/>
          <w:color w:val="auto"/>
        </w:rPr>
      </w:pPr>
    </w:p>
    <w:p>
      <w:pPr>
        <w:ind w:left="1020" w:right="220" w:hanging="503"/>
        <w:spacing w:after="0" w:line="255" w:lineRule="auto"/>
        <w:tabs>
          <w:tab w:leader="none" w:pos="1020"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1-Year Survival Rates Exceeded Real-World Control Groups: The 1-year progression-free survival (PFS) rate across all leukemia patients is 90.9% and 1-year overall survival (OS) is 100%, outperforming comparative real-world historical control data obtained from both the Center for International Blood &amp; Marrow Transplant Research (CIBMTR) and from the University of Kansas Cancer Center.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Participation at Immuno-Oncology 360° (IO360°) Conference</w:t>
      </w:r>
    </w:p>
    <w:p>
      <w:pPr>
        <w:spacing w:after="0" w:line="100" w:lineRule="exact"/>
        <w:rPr>
          <w:sz w:val="20"/>
          <w:szCs w:val="20"/>
          <w:color w:val="auto"/>
        </w:rPr>
      </w:pPr>
    </w:p>
    <w:p>
      <w:pPr>
        <w:ind w:left="1020" w:right="160" w:hanging="503"/>
        <w:spacing w:after="0" w:line="239" w:lineRule="auto"/>
        <w:tabs>
          <w:tab w:leader="none" w:pos="102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William Ho, Chief Executive Officer and co-founder of IN8bio, Co-Chaired Day 2 of the Immuno-Oncology 360° (IO360°) Conference on March 25, 2025, delivering opening remarks, leading the “State of the IO Market, Investments and Deals Plenary” session, and presenting on the promise of gamma-delta T cell engagers for oncology and autoimmune diseases, including INB-619.</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Anticipated Pipeline Milestones and Events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Society of Clinical Oncology (ASCO) 2025 Annual Meeting (May 30, 2025):</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22"/>
          <w:szCs w:val="22"/>
          <w:b w:val="1"/>
          <w:bCs w:val="1"/>
          <w:color w:val="auto"/>
        </w:rPr>
        <w:t xml:space="preserve">Upcoming oral presentation: </w:t>
      </w:r>
      <w:r>
        <w:rPr>
          <w:rFonts w:ascii="Arial" w:cs="Arial" w:eastAsia="Arial" w:hAnsi="Arial"/>
          <w:sz w:val="22"/>
          <w:szCs w:val="22"/>
          <w:i w:val="1"/>
          <w:iCs w:val="1"/>
          <w:color w:val="auto"/>
        </w:rPr>
        <w:t>"INB-200: Phase 1 Study of Gene-Modified Autologous Gamma-Delta (γδ) T Cells in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Newly Diagnosed Glioblastoma Multiforme (GBM)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2"/>
          <w:szCs w:val="22"/>
          <w:i w:val="1"/>
          <w:iCs w:val="1"/>
          <w:color w:val="auto"/>
        </w:rPr>
        <w:t xml:space="preserve">Receiving Maintenance Temozolomide (TMZ)" </w:t>
      </w:r>
      <w:r>
        <w:rPr>
          <w:rFonts w:ascii="Arial" w:cs="Arial" w:eastAsia="Arial" w:hAnsi="Arial"/>
          <w:sz w:val="22"/>
          <w:szCs w:val="22"/>
          <w:color w:val="auto"/>
        </w:rPr>
        <w:t>will present updated clinical data from IN8bio’s Phase 1 trial of INB-200. The data will be featured in the Central Nervous System Tumors Oral Abstract Session.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International Society for Cell &amp; Gene Therapy (ISCT) 2025 Annual Meeting (May 9, 2025):</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Upcoming oral presentation: </w:t>
      </w:r>
      <w:r>
        <w:rPr>
          <w:rFonts w:ascii="Arial" w:cs="Arial" w:eastAsia="Arial" w:hAnsi="Arial"/>
          <w:sz w:val="21"/>
          <w:szCs w:val="21"/>
          <w:i w:val="1"/>
          <w:iCs w:val="1"/>
          <w:color w:val="auto"/>
        </w:rPr>
        <w:t>"From Donor to Therapy: How Robust Manufacturing Shapes the TCR Repertoire and</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 xml:space="preserve">Cytotoxic Power of Donor-Derived Allogeneic ex vivo Expanded and Activated γδ T Cell Products" </w:t>
      </w:r>
      <w:r>
        <w:rPr>
          <w:rFonts w:ascii="Arial" w:cs="Arial" w:eastAsia="Arial" w:hAnsi="Arial"/>
          <w:sz w:val="21"/>
          <w:szCs w:val="21"/>
          <w:color w:val="auto"/>
        </w:rPr>
        <w:t>will highlight the</w:t>
      </w:r>
      <w:r>
        <w:rPr>
          <w:rFonts w:ascii="Arial" w:cs="Arial" w:eastAsia="Arial" w:hAnsi="Arial"/>
          <w:sz w:val="21"/>
          <w:szCs w:val="21"/>
          <w:i w:val="1"/>
          <w:iCs w:val="1"/>
          <w:color w:val="auto"/>
        </w:rPr>
        <w:t xml:space="preserve"> </w:t>
      </w:r>
      <w:r>
        <w:rPr>
          <w:rFonts w:ascii="Arial" w:cs="Arial" w:eastAsia="Arial" w:hAnsi="Arial"/>
          <w:sz w:val="21"/>
          <w:szCs w:val="21"/>
          <w:color w:val="auto"/>
        </w:rPr>
        <w:t>power of the company’s gamma-delta T cell manufacturing platform. The data will demonstrate the TCR diversity, genomic profiling and cytotoxic function of donor-derived clinical gamma-delta T cell therapies. Mariska ter Haak, Senior Director, Analytical Development at IN8bio, will present during the Oral Abstract Session – Immunotherapy.</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Poster Presentation: </w:t>
      </w:r>
      <w:r>
        <w:rPr>
          <w:rFonts w:ascii="Arial" w:cs="Arial" w:eastAsia="Arial" w:hAnsi="Arial"/>
          <w:sz w:val="22"/>
          <w:szCs w:val="22"/>
          <w:color w:val="auto"/>
        </w:rPr>
        <w:t>“Selection and Implementation of the Electronic Quality Management System for High</w:t>
      </w:r>
      <w:r>
        <w:rPr>
          <w:rFonts w:ascii="Arial" w:cs="Arial" w:eastAsia="Arial" w:hAnsi="Arial"/>
          <w:sz w:val="22"/>
          <w:szCs w:val="22"/>
          <w:b w:val="1"/>
          <w:bCs w:val="1"/>
          <w:color w:val="auto"/>
        </w:rPr>
        <w:t xml:space="preserve"> </w:t>
      </w:r>
      <w:r>
        <w:rPr>
          <w:rFonts w:ascii="Arial" w:cs="Arial" w:eastAsia="Arial" w:hAnsi="Arial"/>
          <w:sz w:val="22"/>
          <w:szCs w:val="22"/>
          <w:color w:val="auto"/>
        </w:rPr>
        <w:t>Complexity Clinical Stage Cellular Therapy Company.” This will be presented by Guoling Chen, Senior Director, Quality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Society of Gene &amp; Cell Therapy (ASGCT) 2025 Annual Meeting (May 17, 2025):</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Upcoming oral presentation: </w:t>
      </w:r>
      <w:r>
        <w:rPr>
          <w:rFonts w:ascii="Arial" w:cs="Arial" w:eastAsia="Arial" w:hAnsi="Arial"/>
          <w:sz w:val="22"/>
          <w:szCs w:val="22"/>
          <w:i w:val="1"/>
          <w:iCs w:val="1"/>
          <w:color w:val="auto"/>
        </w:rPr>
        <w:t>"Decoding the Molecular Signature of Expanded Gamma Delta T Cell Products; TCR</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 xml:space="preserve">and Immune Gene Expression from Allogeneic Derived Products" </w:t>
      </w:r>
      <w:r>
        <w:rPr>
          <w:rFonts w:ascii="Arial" w:cs="Arial" w:eastAsia="Arial" w:hAnsi="Arial"/>
          <w:sz w:val="22"/>
          <w:szCs w:val="22"/>
          <w:color w:val="auto"/>
        </w:rPr>
        <w:t>will present new data characterizing the TCR</w:t>
      </w:r>
      <w:r>
        <w:rPr>
          <w:rFonts w:ascii="Arial" w:cs="Arial" w:eastAsia="Arial" w:hAnsi="Arial"/>
          <w:sz w:val="22"/>
          <w:szCs w:val="22"/>
          <w:i w:val="1"/>
          <w:iCs w:val="1"/>
          <w:color w:val="auto"/>
        </w:rPr>
        <w:t xml:space="preserve"> </w:t>
      </w:r>
      <w:r>
        <w:rPr>
          <w:rFonts w:ascii="Arial" w:cs="Arial" w:eastAsia="Arial" w:hAnsi="Arial"/>
          <w:sz w:val="22"/>
          <w:szCs w:val="22"/>
          <w:color w:val="auto"/>
        </w:rPr>
        <w:t>repertoire and immune gene expression profiles of IN8bio’s clinical expanded gamma-delta T cell products. This data will show the robustness and reproducibility of the in-house developed manufacturing platform at IN8bio. Mariska ter Haak, Senior Director, Analytical Development, will deliver the presentation at the New Orleans Ernest N. Morial Convention Center.</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Poster Presentation: </w:t>
      </w:r>
      <w:r>
        <w:rPr>
          <w:rFonts w:ascii="Arial" w:cs="Arial" w:eastAsia="Arial" w:hAnsi="Arial"/>
          <w:sz w:val="22"/>
          <w:szCs w:val="22"/>
          <w:color w:val="auto"/>
        </w:rPr>
        <w:t>“</w:t>
      </w:r>
      <w:r>
        <w:rPr>
          <w:rFonts w:ascii="Arial" w:cs="Arial" w:eastAsia="Arial" w:hAnsi="Arial"/>
          <w:sz w:val="22"/>
          <w:szCs w:val="22"/>
          <w:i w:val="1"/>
          <w:iCs w:val="1"/>
          <w:color w:val="auto"/>
        </w:rPr>
        <w:t>INB-600: A Novel T Cell Engager Platform Specific for gamma-delta (γδ) T cells</w:t>
      </w:r>
      <w:r>
        <w:rPr>
          <w:rFonts w:ascii="Arial" w:cs="Arial" w:eastAsia="Arial" w:hAnsi="Arial"/>
          <w:sz w:val="22"/>
          <w:szCs w:val="22"/>
          <w:color w:val="auto"/>
        </w:rPr>
        <w:t>” will</w:t>
      </w:r>
      <w:r>
        <w:rPr>
          <w:rFonts w:ascii="Arial" w:cs="Arial" w:eastAsia="Arial" w:hAnsi="Arial"/>
          <w:sz w:val="22"/>
          <w:szCs w:val="22"/>
          <w:b w:val="1"/>
          <w:bCs w:val="1"/>
          <w:color w:val="auto"/>
        </w:rPr>
        <w:t xml:space="preserve"> </w:t>
      </w:r>
      <w:r>
        <w:rPr>
          <w:rFonts w:ascii="Arial" w:cs="Arial" w:eastAsia="Arial" w:hAnsi="Arial"/>
          <w:sz w:val="22"/>
          <w:szCs w:val="22"/>
          <w:color w:val="auto"/>
        </w:rPr>
        <w:t>demonstrate the use of the novel CD19 γδ TCE for driving deep B cell depletion and potential application in autoimmune disease including Lupus. This will be presented by Lawrence Lamb, Ph.D., Co-Founder and Chief Scientific Officer.</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2025 Financial Highlights</w:t>
      </w:r>
    </w:p>
    <w:p>
      <w:pPr>
        <w:spacing w:after="0" w:line="98" w:lineRule="exact"/>
        <w:rPr>
          <w:sz w:val="20"/>
          <w:szCs w:val="20"/>
          <w:color w:val="auto"/>
        </w:rPr>
      </w:pPr>
    </w:p>
    <w:p>
      <w:pPr>
        <w:jc w:val="both"/>
        <w:ind w:left="1020" w:hanging="503"/>
        <w:spacing w:after="0" w:line="237"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R&amp;D expenses were $3.0 million for the three months</w:t>
      </w:r>
      <w:r>
        <w:rPr>
          <w:rFonts w:ascii="Arial" w:cs="Arial" w:eastAsia="Arial" w:hAnsi="Arial"/>
          <w:sz w:val="22"/>
          <w:szCs w:val="22"/>
          <w:b w:val="1"/>
          <w:bCs w:val="1"/>
          <w:color w:val="auto"/>
        </w:rPr>
        <w:t xml:space="preserve"> </w:t>
      </w:r>
      <w:r>
        <w:rPr>
          <w:rFonts w:ascii="Arial" w:cs="Arial" w:eastAsia="Arial" w:hAnsi="Arial"/>
          <w:sz w:val="22"/>
          <w:szCs w:val="22"/>
          <w:color w:val="auto"/>
        </w:rPr>
        <w:t>ended March 31, 2025, compared with $4.9 million in the prior year. These amounts include non-cash items such as stock-based compensation (SBC) and depreciation. The change was primarily due to decreased but some remaining clinical trial-related activities for the INB-400 program and a decrease in personnel-related costs, in each case as a result of the Company’s pipeline prioritization announced in September 2024.</w:t>
      </w:r>
    </w:p>
    <w:p>
      <w:pPr>
        <w:spacing w:after="0" w:line="66" w:lineRule="exact"/>
        <w:rPr>
          <w:rFonts w:ascii="Times New Roman" w:cs="Times New Roman" w:eastAsia="Times New Roman" w:hAnsi="Times New Roman"/>
          <w:sz w:val="22"/>
          <w:szCs w:val="22"/>
          <w:color w:val="auto"/>
        </w:rPr>
      </w:pPr>
    </w:p>
    <w:p>
      <w:pPr>
        <w:ind w:left="1020" w:hanging="503"/>
        <w:spacing w:after="0" w:line="260" w:lineRule="auto"/>
        <w:tabs>
          <w:tab w:leader="none" w:pos="102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$2.7 million for the three months</w:t>
      </w:r>
      <w:r>
        <w:rPr>
          <w:rFonts w:ascii="Arial" w:cs="Arial" w:eastAsia="Arial" w:hAnsi="Arial"/>
          <w:sz w:val="22"/>
          <w:szCs w:val="22"/>
          <w:b w:val="1"/>
          <w:bCs w:val="1"/>
          <w:color w:val="auto"/>
        </w:rPr>
        <w:t xml:space="preserve"> </w:t>
      </w:r>
      <w:r>
        <w:rPr>
          <w:rFonts w:ascii="Arial" w:cs="Arial" w:eastAsia="Arial" w:hAnsi="Arial"/>
          <w:sz w:val="22"/>
          <w:szCs w:val="22"/>
          <w:color w:val="auto"/>
        </w:rPr>
        <w:t>ended March 31, 2025, compared with $3.7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78" w:lineRule="exact"/>
        <w:rPr>
          <w:sz w:val="20"/>
          <w:szCs w:val="20"/>
          <w:color w:val="auto"/>
        </w:rPr>
      </w:pPr>
    </w:p>
    <w:p>
      <w:pPr>
        <w:jc w:val="both"/>
        <w:ind w:left="1020"/>
        <w:spacing w:after="0" w:line="245" w:lineRule="auto"/>
        <w:rPr>
          <w:sz w:val="20"/>
          <w:szCs w:val="20"/>
          <w:color w:val="auto"/>
        </w:rPr>
      </w:pPr>
      <w:r>
        <w:rPr>
          <w:rFonts w:ascii="Arial" w:cs="Arial" w:eastAsia="Arial" w:hAnsi="Arial"/>
          <w:sz w:val="22"/>
          <w:szCs w:val="22"/>
          <w:color w:val="auto"/>
        </w:rPr>
        <w:t>for the comparable prior year period. These amounts include non-cash items such as SBC and depreciation. The change was primarily due to cost savings related to personnel-related costs, director and officer insurance premiums and professional services.</w:t>
      </w:r>
    </w:p>
    <w:p>
      <w:pPr>
        <w:spacing w:after="0" w:line="60" w:lineRule="exact"/>
        <w:rPr>
          <w:sz w:val="20"/>
          <w:szCs w:val="20"/>
          <w:color w:val="auto"/>
        </w:rPr>
      </w:pPr>
    </w:p>
    <w:p>
      <w:pPr>
        <w:jc w:val="both"/>
        <w:ind w:left="1020" w:hanging="503"/>
        <w:spacing w:after="0" w:line="245" w:lineRule="auto"/>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The company reported a net loss of $5.6 million, or $0.07 per basic and diluted common share,</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three months ended March 31, 2025, compared with a net loss of $8.6 million, or $0.20 per basic and diluted common share, for the comparable prior year period.</w:t>
      </w:r>
    </w:p>
    <w:p>
      <w:pPr>
        <w:spacing w:after="0" w:line="61" w:lineRule="exact"/>
        <w:rPr>
          <w:rFonts w:ascii="Times New Roman" w:cs="Times New Roman" w:eastAsia="Times New Roman" w:hAnsi="Times New Roman"/>
          <w:sz w:val="22"/>
          <w:szCs w:val="22"/>
          <w:color w:val="auto"/>
        </w:rPr>
      </w:pPr>
    </w:p>
    <w:p>
      <w:pPr>
        <w:jc w:val="both"/>
        <w:ind w:left="1020" w:hanging="503"/>
        <w:spacing w:after="0" w:line="245" w:lineRule="auto"/>
        <w:tabs>
          <w:tab w:leader="none" w:pos="102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As of March 31, 2025, the Company had cash of $11.9 million, compared with $13.0</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the comparable prior year. Subsequently, in April 2025, the Company received aggregate gross proceeds of $1.9 million from the exercise of its Series A and Series B common stock warrants.</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IN8bio</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allogeneic gamma-delta T cells given to patients following a hematopoietic stem cell transplant. The company is also evaluating autologous DeltEx DRI gamma-delta T cells, in combination with standard of care, for glioblastoma, and advancing novel gamma-delta TCEs for potential oncology and autoimmune indications. For more information about IN8bio, visit </w:t>
      </w:r>
      <w:r>
        <w:rPr>
          <w:rFonts w:ascii="Arial" w:cs="Arial" w:eastAsia="Arial" w:hAnsi="Arial"/>
          <w:sz w:val="22"/>
          <w:szCs w:val="22"/>
          <w:u w:val="single" w:color="auto"/>
          <w:color w:val="0000FF"/>
        </w:rPr>
        <w:t>www.IN8bio.com</w:t>
      </w:r>
      <w:r>
        <w:rPr>
          <w:rFonts w:ascii="Arial" w:cs="Arial" w:eastAsia="Arial" w:hAnsi="Arial"/>
          <w:sz w:val="22"/>
          <w:szCs w:val="22"/>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ability of IN8bio’s INB-600 TCE platform to</w:t>
      </w:r>
    </w:p>
    <w:p>
      <w:pPr>
        <w:spacing w:after="0" w:line="3" w:lineRule="exact"/>
        <w:rPr>
          <w:sz w:val="20"/>
          <w:szCs w:val="20"/>
          <w:color w:val="auto"/>
        </w:rPr>
      </w:pPr>
    </w:p>
    <w:p>
      <w:pPr>
        <w:jc w:val="both"/>
        <w:ind w:firstLine="8"/>
        <w:spacing w:after="0" w:line="232" w:lineRule="auto"/>
        <w:tabs>
          <w:tab w:leader="none" w:pos="299" w:val="left"/>
        </w:tabs>
        <w:numPr>
          <w:ilvl w:val="0"/>
          <w:numId w:val="8"/>
        </w:numPr>
        <w:rPr>
          <w:rFonts w:ascii="Arial" w:cs="Arial" w:eastAsia="Arial" w:hAnsi="Arial"/>
          <w:sz w:val="22"/>
          <w:szCs w:val="22"/>
          <w:color w:val="auto"/>
        </w:rPr>
      </w:pPr>
      <w:r>
        <w:rPr>
          <w:rFonts w:ascii="Arial" w:cs="Arial" w:eastAsia="Arial" w:hAnsi="Arial"/>
          <w:sz w:val="22"/>
          <w:szCs w:val="22"/>
          <w:color w:val="auto"/>
        </w:rPr>
        <w:t>be applicable across both oncology and autoimmune indications, (ii) demonstrate consistent results in future clinical trials, (iii) offer a more precise and powerful method of mobilizing the immune system against cancer cells; IN8bio’s ability to advance its INB-600 platform; INB-100’s continued ability to (a) demonstrate long-term durable remissions, (b) avoid cases of CRS and/or ICANs and (c) outperform real-world historical controls; the strength of IN8bio’s manufacturing platform; IN8bio’s ability to achieve other anticipated milestones, including expected presentations and data readouts from its trials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22"/>
          <w:szCs w:val="22"/>
          <w:color w:val="auto"/>
        </w:rPr>
        <w:t>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Annual Report on Form 10-K filed with the Securities and Exchange Commission (SEC) on March 13,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BALANCE SHEETS</w:t>
      </w: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11,888</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12,725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assets - finance leases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assets - operating leases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19,869</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finance lease liability</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Short-term operating lease liability</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2,957</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color w:val="auto"/>
              </w:rPr>
              <w:t>Long-term finance lease liability</w:t>
            </w:r>
          </w:p>
        </w:tc>
        <w:tc>
          <w:tcPr>
            <w:tcW w:w="2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 operating lease liability</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2,846</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5,992</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76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Preferred stock, par value $0.0001 per share; 10,000,000 shares authorized at March 31,</w:t>
            </w:r>
          </w:p>
        </w:tc>
        <w:tc>
          <w:tcPr>
            <w:tcW w:w="240" w:type="dxa"/>
            <w:vAlign w:val="bottom"/>
            <w:shd w:val="clear" w:color="auto" w:fill="CFF0FC"/>
          </w:tcPr>
          <w:p>
            <w:pPr>
              <w:spacing w:after="0"/>
              <w:rPr>
                <w:sz w:val="15"/>
                <w:szCs w:val="15"/>
                <w:color w:val="auto"/>
              </w:rPr>
            </w:pPr>
          </w:p>
        </w:tc>
        <w:tc>
          <w:tcPr>
            <w:tcW w:w="14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1"/>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2025 and December 31, 2024. No shares issued and outstanding</w:t>
            </w:r>
          </w:p>
        </w:tc>
        <w:tc>
          <w:tcPr>
            <w:tcW w:w="240" w:type="dxa"/>
            <w:vAlign w:val="bottom"/>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760" w:type="dxa"/>
            <w:vAlign w:val="bottom"/>
          </w:tcPr>
          <w:p>
            <w:pPr>
              <w:ind w:left="200"/>
              <w:spacing w:after="0" w:line="183" w:lineRule="exact"/>
              <w:rPr>
                <w:sz w:val="20"/>
                <w:szCs w:val="20"/>
                <w:color w:val="auto"/>
              </w:rPr>
            </w:pPr>
            <w:r>
              <w:rPr>
                <w:rFonts w:ascii="Arial" w:cs="Arial" w:eastAsia="Arial" w:hAnsi="Arial"/>
                <w:sz w:val="18"/>
                <w:szCs w:val="18"/>
                <w:color w:val="auto"/>
              </w:rPr>
              <w:t>Common stock, par value $0.0001 per share; 490,000,000 shares authorized at March 31,</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2025 and December 31, 2024; 81,258,763 and 72,483,253 shares issued and outstanding at</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60" w:type="dxa"/>
            <w:vAlign w:val="bottom"/>
          </w:tcPr>
          <w:p>
            <w:pPr>
              <w:ind w:left="200"/>
              <w:spacing w:after="0"/>
              <w:rPr>
                <w:sz w:val="20"/>
                <w:szCs w:val="20"/>
                <w:color w:val="auto"/>
              </w:rPr>
            </w:pPr>
            <w:r>
              <w:rPr>
                <w:rFonts w:ascii="Arial" w:cs="Arial" w:eastAsia="Arial" w:hAnsi="Arial"/>
                <w:sz w:val="18"/>
                <w:szCs w:val="18"/>
                <w:color w:val="auto"/>
              </w:rPr>
              <w:t>March 31, 2025 and December 31, 2024, 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141,075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136,127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(127,206)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(121,656)</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13,877</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19,869</w:t>
            </w:r>
          </w:p>
        </w:tc>
        <w:tc>
          <w:tcPr>
            <w:tcW w:w="180" w:type="dxa"/>
            <w:vAlign w:val="bottom"/>
          </w:tcPr>
          <w:p>
            <w:pPr>
              <w:spacing w:after="0"/>
              <w:rPr>
                <w:sz w:val="17"/>
                <w:szCs w:val="17"/>
                <w:color w:val="auto"/>
              </w:rPr>
            </w:pP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7"/>
        </w:trPr>
        <w:tc>
          <w:tcPr>
            <w:tcW w:w="7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-5039995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-4259580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-4259580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-3985895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-3968115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-3985895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-2922270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-2656840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-2382520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CONDENSED STATEMENTS OF OPERATIONS</w:t>
      </w:r>
    </w:p>
    <w:p>
      <w:pPr>
        <w:ind w:left="3140"/>
        <w:spacing w:after="0" w:line="230" w:lineRule="auto"/>
        <w:rPr>
          <w:sz w:val="20"/>
          <w:szCs w:val="20"/>
          <w:color w:val="auto"/>
        </w:rPr>
      </w:pPr>
      <w:r>
        <w:rPr>
          <w:rFonts w:ascii="Arial" w:cs="Arial" w:eastAsia="Arial" w:hAnsi="Arial"/>
          <w:sz w:val="22"/>
          <w:szCs w:val="22"/>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2,972</w:t>
            </w:r>
          </w:p>
        </w:tc>
        <w:tc>
          <w:tcPr>
            <w:tcW w:w="180" w:type="dxa"/>
            <w:vAlign w:val="bottom"/>
          </w:tcPr>
          <w:p>
            <w:pPr>
              <w:spacing w:after="0"/>
              <w:rPr>
                <w:sz w:val="17"/>
                <w:szCs w:val="17"/>
                <w:color w:val="auto"/>
              </w:rPr>
            </w:pPr>
          </w:p>
        </w:tc>
        <w:tc>
          <w:tcPr>
            <w:tcW w:w="6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2,688</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7"/>
                <w:szCs w:val="17"/>
                <w:color w:val="auto"/>
              </w:rPr>
            </w:pPr>
          </w:p>
        </w:tc>
        <w:tc>
          <w:tcPr>
            <w:tcW w:w="1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(5,550)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(5,550)</w:t>
            </w:r>
          </w:p>
        </w:tc>
        <w:tc>
          <w:tcPr>
            <w:tcW w:w="68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36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(0.07)</w:t>
            </w:r>
          </w:p>
        </w:tc>
        <w:tc>
          <w:tcPr>
            <w:tcW w:w="680" w:type="dxa"/>
            <w:vAlign w:val="bottom"/>
            <w:gridSpan w:val="2"/>
          </w:tcPr>
          <w:p>
            <w:pPr>
              <w:jc w:val="right"/>
              <w:ind w:right="48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6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Weighted-average number of shares used in computing net loss per common share – basic</w:t>
            </w:r>
          </w:p>
        </w:tc>
        <w:tc>
          <w:tcPr>
            <w:tcW w:w="36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83,482,125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43,287,325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760" w:type="dxa"/>
            <w:vAlign w:val="bottom"/>
            <w:tcBorders>
              <w:bottom w:val="single" w:sz="8" w:color="CFF0FC"/>
            </w:tcBorders>
            <w:shd w:val="clear" w:color="auto" w:fill="CFF0FC"/>
          </w:tcPr>
          <w:p>
            <w:pPr>
              <w:spacing w:after="0" w:line="161" w:lineRule="exact"/>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-985520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-710565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-436245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-419735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293849"/>
        </w:rPr>
        <w:t>Investors &amp; Company 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IN8bio, Inc.</w:t>
      </w:r>
    </w:p>
    <w:p>
      <w:pPr>
        <w:spacing w:after="0" w:line="231" w:lineRule="auto"/>
        <w:rPr>
          <w:sz w:val="20"/>
          <w:szCs w:val="20"/>
          <w:color w:val="auto"/>
        </w:rPr>
      </w:pPr>
      <w:r>
        <w:rPr>
          <w:rFonts w:ascii="Arial" w:cs="Arial" w:eastAsia="Arial" w:hAnsi="Arial"/>
          <w:sz w:val="20"/>
          <w:szCs w:val="20"/>
          <w:color w:val="auto"/>
        </w:rPr>
        <w:t>Patrick McCall</w:t>
      </w:r>
    </w:p>
    <w:p>
      <w:pPr>
        <w:spacing w:after="0" w:line="226" w:lineRule="auto"/>
        <w:rPr>
          <w:sz w:val="20"/>
          <w:szCs w:val="20"/>
          <w:color w:val="auto"/>
        </w:rPr>
      </w:pPr>
      <w:r>
        <w:rPr>
          <w:rFonts w:ascii="Arial" w:cs="Arial" w:eastAsia="Arial" w:hAnsi="Arial"/>
          <w:sz w:val="20"/>
          <w:szCs w:val="20"/>
          <w:color w:val="auto"/>
        </w:rPr>
        <w:t>646.933.5603</w:t>
      </w:r>
    </w:p>
    <w:p>
      <w:pPr>
        <w:spacing w:after="0"/>
        <w:rPr>
          <w:sz w:val="20"/>
          <w:szCs w:val="20"/>
          <w:color w:val="auto"/>
        </w:rPr>
      </w:pPr>
      <w:r>
        <w:rPr>
          <w:rFonts w:ascii="Arial" w:cs="Arial" w:eastAsia="Arial" w:hAnsi="Arial"/>
          <w:sz w:val="20"/>
          <w:szCs w:val="20"/>
          <w:color w:val="auto"/>
        </w:rPr>
        <w:t>pfmccall@IN8bio.com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Kimberly Ha</w:t>
      </w:r>
    </w:p>
    <w:p>
      <w:pPr>
        <w:spacing w:after="0" w:line="226" w:lineRule="auto"/>
        <w:rPr>
          <w:sz w:val="20"/>
          <w:szCs w:val="20"/>
          <w:color w:val="auto"/>
        </w:rPr>
      </w:pPr>
      <w:r>
        <w:rPr>
          <w:rFonts w:ascii="Arial" w:cs="Arial" w:eastAsia="Arial" w:hAnsi="Arial"/>
          <w:sz w:val="20"/>
          <w:szCs w:val="20"/>
          <w:color w:val="auto"/>
        </w:rPr>
        <w:t>KKH Advisors</w:t>
      </w:r>
    </w:p>
    <w:p>
      <w:pPr>
        <w:spacing w:after="0" w:line="225" w:lineRule="auto"/>
        <w:rPr>
          <w:sz w:val="20"/>
          <w:szCs w:val="20"/>
          <w:color w:val="auto"/>
        </w:rPr>
      </w:pPr>
      <w:r>
        <w:rPr>
          <w:rFonts w:ascii="Arial" w:cs="Arial" w:eastAsia="Arial" w:hAnsi="Arial"/>
          <w:sz w:val="20"/>
          <w:szCs w:val="20"/>
          <w:u w:val="single" w:color="auto"/>
          <w:color w:val="auto"/>
        </w:rPr>
        <w:t>917.291.5744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kimberly.ha@kkhadvisors.com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293849"/>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2025-05-07T15:14:07Z</dcterms:created>
  <dcterms:modified xsi:type="dcterms:W3CDTF">2025-05-07T15:14:07Z</dcterms:modified>
</cp:coreProperties>
</file>