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812d8k.htm"/>
      <w:bookmarkStart w:id="1" w:name="ksd1181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November 21,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IN8bio,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001-39692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82-5462585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350 5th Avenue, Suite 5330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10118</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(646) 600-6438</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INAB</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IN8bio, Inc. (the “Company”) presented consolidated data, a summary of which is located below, from its investigator-sponsored Phase 1 single-center clinical trial of INB-200 and its Company-sponsored Phase 2 multi-center clinical trial of INB-400 for the treatment of patients with newly diagnosed glioblastoma (“GBM”) in poster and oral presentations at the 2025 Society for Neuro-Oncology (“SNO”) Annual Meeting on November 21 and 22, 2025.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Clinical Update from Phase 1 Trial of INB-200 and Phase 2 Trial of INB-400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Across the two trials, 17 patients were treated with the Company’s DeltExTM Drug Resistant Immunotherapy (“DeltEx DRI”) gamma-delta T cells, with 14 patients receiving repeated (3 up to 6) doses. 10 additional patients were consented contemporaneously but received only the standard-of-care Stupp protocol (“SOC”) and were monitored for progression and survival.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Patients treated with repeated doses of DeltEx DRI cells achieved a median progression-free survival (“mPFS”) of 13.0 months (n=14), compared to the mPFS of 6.6 months for patients receiving only SOC (n=10).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Patients receiving repeated doses of DeltEx DRI cells have not yet reached median overall survival (“mOS”), which continues to climb at 16.4+ months as of October 31, 2025, while SOC patients attained a mOS of 11.0 months.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6833"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375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80" w:type="dxa"/>
            <w:gridSpan w:val="3"/>
            <w:tcBorders/>
            <w:vAlign w:val="center"/>
          </w:tcPr>
          <w:p>
            <w:pPr>
              <w:pStyle w:val="TableContents"/>
              <w:bidi w:val="0"/>
              <w:spacing w:before="0" w:after="283"/>
              <w:jc w:val="left"/>
              <w:rPr>
                <w:b/>
              </w:rPr>
            </w:pPr>
            <w:r>
              <w:rPr>
                <w:b/>
              </w:rPr>
              <w:t>IN8bio,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81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November 24,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Patrick McCall</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b/>
              </w:rPr>
            </w:pPr>
            <w:r>
              <w:rPr>
                <w:b/>
              </w:rPr>
              <w:t>Patrick McCall</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Chief Financial Officer and Secretary</w:t>
            </w:r>
          </w:p>
          <w:p>
            <w:pPr>
              <w:pStyle w:val="TableContents"/>
              <w:bidi w:val="0"/>
              <w:spacing w:before="0" w:after="20"/>
              <w:jc w:val="left"/>
              <w:rPr>
                <w:rFonts w:ascii="Times New Roman" w:hAnsi="Times New Roman"/>
                <w:i/>
                <w:sz w:val="20"/>
              </w:rPr>
            </w:pPr>
            <w:r>
              <w:rPr>
                <w:rFonts w:ascii="Times New Roman" w:hAnsi="Times New Roman"/>
                <w:i/>
                <w:sz w:val="20"/>
              </w:rPr>
              <w:t>(Principal Financial and Accounting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567</Words>
  <Characters>3122</Characters>
  <CharactersWithSpaces>3687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