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350 5th Avenue, Suite 5330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right"/>
        <w:ind w:left="460"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13, 2025, IN8bio, Inc. (the “Company”) issued a press release announcing its financial results for the fourth quarter and fiscal year ended December 31, 2024.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0"/>
                <w:szCs w:val="20"/>
                <w:color w:val="auto"/>
              </w:rPr>
            </w:pPr>
          </w:p>
        </w:tc>
      </w:tr>
      <w:tr>
        <w:trPr>
          <w:trHeight w:val="385"/>
        </w:trPr>
        <w:tc>
          <w:tcPr>
            <w:tcW w:w="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13, 2025.</w:t>
            </w: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tcPr>
          <w:p>
            <w:pPr>
              <w:spacing w:after="0"/>
              <w:rPr>
                <w:sz w:val="20"/>
                <w:szCs w:val="20"/>
                <w:color w:val="auto"/>
              </w:rPr>
            </w:pPr>
          </w:p>
        </w:tc>
      </w:tr>
      <w:tr>
        <w:trPr>
          <w:trHeight w:val="979"/>
        </w:trPr>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ind w:left="80"/>
        <w:spacing w:after="0"/>
        <w:tabs>
          <w:tab w:leader="none" w:pos="620" w:val="left"/>
          <w:tab w:leader="none" w:pos="5900" w:val="left"/>
          <w:tab w:leader="none" w:pos="8040" w:val="left"/>
        </w:tabs>
        <w:rPr>
          <w:sz w:val="20"/>
          <w:szCs w:val="20"/>
          <w:color w:val="auto"/>
        </w:rPr>
      </w:pPr>
      <w:r>
        <w:rPr>
          <w:rFonts w:ascii="Times New Roman" w:cs="Times New Roman" w:eastAsia="Times New Roman" w:hAnsi="Times New Roman"/>
          <w:sz w:val="18"/>
          <w:szCs w:val="18"/>
          <w:color w:val="auto"/>
        </w:rPr>
        <w:t>Date:</w:t>
        <w:tab/>
        <w:t>March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28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5"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IN8bio Reports Fourth Quarter and Full-Year 2024 Financial Results and Recent Business Highlights</w:t>
      </w:r>
    </w:p>
    <w:p>
      <w:pPr>
        <w:spacing w:after="0" w:line="27" w:lineRule="exact"/>
        <w:rPr>
          <w:sz w:val="20"/>
          <w:szCs w:val="20"/>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Ongoing Phase 1 and Phase 2 clinical programs continue to exhibit long-term durable remissions in hard-to-treat cancers, including glioblastoma (GBM) and 100% of treated Acute Myeloid Leukemia (AML) patients remaining relapse-free</w:t>
      </w:r>
    </w:p>
    <w:p>
      <w:pPr>
        <w:spacing w:after="0" w:line="91"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Expanded pipeline with INB-600 platform, featuring novel gamma-delta T Cell engager (TCE) targeting CD19 for potential use in oncology and autoimmune diseases</w:t>
      </w:r>
    </w:p>
    <w:p>
      <w:pPr>
        <w:spacing w:after="0" w:line="8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Continued operational execution with strengthened strategic focus on aligning resources in an effort to drive high-impact programs forward</w:t>
      </w:r>
    </w:p>
    <w:p>
      <w:pPr>
        <w:spacing w:after="0" w:line="8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Maintaining cash position to support operations and achievement of anticipated development milestones throughout 2025 and into 2026</w:t>
      </w:r>
    </w:p>
    <w:p>
      <w:pPr>
        <w:spacing w:after="0" w:line="200" w:lineRule="exact"/>
        <w:rPr>
          <w:sz w:val="20"/>
          <w:szCs w:val="20"/>
          <w:color w:val="auto"/>
        </w:rPr>
      </w:pP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NEW YORK, March 13, 2025 -- IN8bio, Inc. (Nasdaq: INAB)</w:t>
      </w:r>
      <w:r>
        <w:rPr>
          <w:rFonts w:ascii="Arial" w:cs="Arial" w:eastAsia="Arial" w:hAnsi="Arial"/>
          <w:sz w:val="22"/>
          <w:szCs w:val="22"/>
          <w:color w:val="auto"/>
        </w:rPr>
        <w:t>, a clinical-stage biopharmaceutical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developing innovative gamma-delta T cell therapies, today reported financial results and business highlights for the fourth quarter and full-year ended December 31, 2024.</w:t>
      </w:r>
    </w:p>
    <w:p>
      <w:pPr>
        <w:spacing w:after="0" w:line="10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William Ho, Chief Executive Officer and co-founder of IN8bio, commented, “In 2024, IN8bio made significant progress advancing its pipeline of gamma-delta T cell therapies and positioning the Company for long-term success. The INB-100 program continues to demonstrate 100% long term durable response rates as of January 17, 2025, reinforcing its potential to help treat and maintain remissions in high-risk AML patients." Mr. Ho continued, "We have also disclosed our novel INB-600 platform, which we believe has the potential to reshape the T cell engager landscape by potentially improving both the durability of response and safety compared to existing CD3 targeting TCE therapies. Throughout 2025, we remain focused on driving innovation, advancing our clinical programs and delivering value to patients and our stakeholders.”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Highlights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Announced INB-600 Platform &amp; INB-619, a Novel Preclinical Gamma-Delta TCE</w:t>
      </w:r>
    </w:p>
    <w:p>
      <w:pPr>
        <w:spacing w:after="0" w:line="125" w:lineRule="exact"/>
        <w:rPr>
          <w:sz w:val="20"/>
          <w:szCs w:val="20"/>
          <w:color w:val="auto"/>
        </w:rPr>
      </w:pPr>
    </w:p>
    <w:p>
      <w:pPr>
        <w:ind w:left="760" w:right="20" w:hanging="378"/>
        <w:spacing w:after="0" w:line="25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Introduced INB-619, a proprietary next generation gamma-delta TCE targeting CD19 for potential use in oncology and autoimmune diseases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ind w:left="760" w:hanging="378"/>
        <w:spacing w:after="0" w:line="244"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Demonstrated potent B-cell depletion and sustained gamma-delta T cell expansion in preclinical studies, offering commercial and scientific advantages by potentially improving durability and safety over existing CD3 targeting TCE therapies</w:t>
      </w:r>
    </w:p>
    <w:p>
      <w:pPr>
        <w:spacing w:after="0" w:line="105" w:lineRule="exact"/>
        <w:rPr>
          <w:sz w:val="20"/>
          <w:szCs w:val="20"/>
          <w:color w:val="auto"/>
        </w:rPr>
      </w:pPr>
    </w:p>
    <w:p>
      <w:pPr>
        <w:spacing w:after="0" w:line="270" w:lineRule="auto"/>
        <w:rPr>
          <w:sz w:val="20"/>
          <w:szCs w:val="20"/>
          <w:color w:val="auto"/>
        </w:rPr>
      </w:pPr>
      <w:r>
        <w:rPr>
          <w:rFonts w:ascii="Arial" w:cs="Arial" w:eastAsia="Arial" w:hAnsi="Arial"/>
          <w:sz w:val="22"/>
          <w:szCs w:val="22"/>
          <w:b w:val="1"/>
          <w:bCs w:val="1"/>
          <w:i w:val="1"/>
          <w:iCs w:val="1"/>
          <w:color w:val="auto"/>
        </w:rPr>
        <w:t>Demonstrated Additional Clinical Progress with INB-100 (Allogeneic Gamma-Delta T Cell Therapy for AML &amp; Leukemias) for High-Risk AML</w:t>
      </w:r>
    </w:p>
    <w:p>
      <w:pPr>
        <w:spacing w:after="0" w:line="52" w:lineRule="exact"/>
        <w:rPr>
          <w:sz w:val="20"/>
          <w:szCs w:val="20"/>
          <w:color w:val="auto"/>
        </w:rPr>
      </w:pPr>
    </w:p>
    <w:p>
      <w:pPr>
        <w:ind w:left="760" w:hanging="378"/>
        <w:spacing w:after="0" w:line="258"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Presented new Phase 1 data showing durable remissions with 100% of treated AML patients remaining relapse-free (February 2025)</w:t>
      </w:r>
    </w:p>
    <w:p>
      <w:pPr>
        <w:spacing w:after="0" w:line="8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Observed favorable safety profile with no cytokine release syndrome (CRS) or neurotoxicity (ICANs) reported to date</w:t>
      </w:r>
    </w:p>
    <w:p>
      <w:pPr>
        <w:spacing w:after="0" w:line="8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Presented expanded clinical data at 2025 Tandem Meetings reinforcing potential of INB-100 to significantly reduce post-transplant relapse in high-risk AML patients relative to historical real-world data</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22"/>
          <w:szCs w:val="22"/>
          <w:b w:val="1"/>
          <w:bCs w:val="1"/>
          <w:i w:val="1"/>
          <w:iCs w:val="1"/>
          <w:color w:val="auto"/>
        </w:rPr>
        <w:t>Presented Continued Durable Remissions in Phase 1 Trial of INB-200 (Autologous, Drug-Resistant Gamma-Delta T Cell Therapy for Glioblastoma)</w:t>
      </w:r>
    </w:p>
    <w:p>
      <w:pPr>
        <w:spacing w:after="0" w:line="65" w:lineRule="exact"/>
        <w:rPr>
          <w:sz w:val="20"/>
          <w:szCs w:val="20"/>
          <w:color w:val="auto"/>
        </w:rPr>
      </w:pPr>
    </w:p>
    <w:p>
      <w:pPr>
        <w:jc w:val="both"/>
        <w:ind w:left="760" w:hanging="378"/>
        <w:spacing w:after="0" w:line="244"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Presented updated data in a plenary oral presentation at the 2024 Society for Neuro-Oncology (SNO) Annual Meeting, showing the majority of patients exceeded their expected progression free survival based on age and tumor status</w:t>
      </w:r>
    </w:p>
    <w:p>
      <w:pPr>
        <w:spacing w:after="0" w:line="104"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Highlighted potential long-term benefits of INB-200. As of October 18, 2024, five patients remained alive, three patients had returned to work, and one IDH-mutant, grade 4 glioma patient remained progression free for an impressive 40.5 months post treatment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Strategically Optimized Pipeline and Launched Operational Efficiency Initiatives</w:t>
      </w:r>
    </w:p>
    <w:p>
      <w:pPr>
        <w:spacing w:after="0" w:line="139" w:lineRule="exact"/>
        <w:rPr>
          <w:sz w:val="20"/>
          <w:szCs w:val="20"/>
          <w:color w:val="auto"/>
        </w:rPr>
      </w:pPr>
    </w:p>
    <w:p>
      <w:pPr>
        <w:ind w:left="760" w:hanging="378"/>
        <w:spacing w:after="0" w:line="258"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Paused enrollment in the Phase 2 INB-400 glioblastoma program – despite compelling data – to focus resources while exploring partnership and alternative funding opportunities</w:t>
      </w:r>
    </w:p>
    <w:p>
      <w:pPr>
        <w:spacing w:after="0" w:line="8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Implemented cost-saving measures to extend cash runway and prioritize pipeline development</w:t>
      </w:r>
    </w:p>
    <w:p>
      <w:pPr>
        <w:spacing w:after="0" w:line="124"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7"/>
        </w:numPr>
        <w:rPr>
          <w:rFonts w:ascii="Times New Roman" w:cs="Times New Roman" w:eastAsia="Times New Roman" w:hAnsi="Times New Roman"/>
          <w:sz w:val="22"/>
          <w:szCs w:val="22"/>
          <w:color w:val="auto"/>
        </w:rPr>
      </w:pPr>
      <w:r>
        <w:rPr>
          <w:rFonts w:ascii="Arial" w:cs="Arial" w:eastAsia="Arial" w:hAnsi="Arial"/>
          <w:sz w:val="22"/>
          <w:szCs w:val="22"/>
          <w:color w:val="auto"/>
        </w:rPr>
        <w:t>Raised approximately $16.6 million in gross proceeds through various equity offerings, including through our at-the-market (“ATM”) offering program and private placements, during 2024 through February 2025, extending the Company’s cash runway into March 2026</w:t>
      </w:r>
    </w:p>
    <w:p>
      <w:pPr>
        <w:spacing w:after="0" w:line="103" w:lineRule="exact"/>
        <w:rPr>
          <w:sz w:val="20"/>
          <w:szCs w:val="20"/>
          <w:color w:val="auto"/>
        </w:rPr>
      </w:pPr>
    </w:p>
    <w:p>
      <w:pPr>
        <w:ind w:right="3680"/>
        <w:spacing w:after="0" w:line="413" w:lineRule="auto"/>
        <w:rPr>
          <w:sz w:val="20"/>
          <w:szCs w:val="20"/>
          <w:color w:val="auto"/>
        </w:rPr>
      </w:pPr>
      <w:r>
        <w:rPr>
          <w:rFonts w:ascii="Arial" w:cs="Arial" w:eastAsia="Arial" w:hAnsi="Arial"/>
          <w:sz w:val="22"/>
          <w:szCs w:val="22"/>
          <w:b w:val="1"/>
          <w:bCs w:val="1"/>
          <w:color w:val="auto"/>
        </w:rPr>
        <w:t>Upcoming Anticipated Pipeline Milestones and Important Events INB-100: For the potential treatment of high-risk leukemias including 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spacing w:after="0" w:line="78" w:lineRule="exact"/>
        <w:rPr>
          <w:sz w:val="20"/>
          <w:szCs w:val="20"/>
          <w:color w:val="auto"/>
        </w:rPr>
      </w:pPr>
    </w:p>
    <w:p>
      <w:pPr>
        <w:ind w:left="760" w:right="20" w:hanging="378"/>
        <w:spacing w:after="0" w:line="258"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Accelerating patient enrollment in expansion cohort of ongoing Phase 1 clinical trial including the inclusion of an additional investigational center</w:t>
      </w:r>
    </w:p>
    <w:p>
      <w:pPr>
        <w:spacing w:after="0" w:line="49"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Aim to complete enrollment into the expansion cohort in 2025. Guidance from the U.S. Food and Drug Administration (FDA) confirmed relapse-free survival (RFS) in AML patients as an acceptable primary endpoint for a potential pivotal randomized control trial</w:t>
      </w:r>
    </w:p>
    <w:p>
      <w:pPr>
        <w:spacing w:after="0" w:line="6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Expect to present updated clinical data in the second half of 2025</w:t>
      </w:r>
    </w:p>
    <w:p>
      <w:pPr>
        <w:spacing w:after="0" w:line="97"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8"/>
        </w:numPr>
        <w:rPr>
          <w:rFonts w:ascii="Times New Roman" w:cs="Times New Roman" w:eastAsia="Times New Roman" w:hAnsi="Times New Roman"/>
          <w:sz w:val="22"/>
          <w:szCs w:val="22"/>
          <w:color w:val="auto"/>
        </w:rPr>
      </w:pPr>
      <w:r>
        <w:rPr>
          <w:rFonts w:ascii="Arial" w:cs="Arial" w:eastAsia="Arial" w:hAnsi="Arial"/>
          <w:sz w:val="22"/>
          <w:szCs w:val="22"/>
          <w:color w:val="auto"/>
        </w:rPr>
        <w:t>Advancing preparations for potential registrational Phase 2 trial with possible IND submission anticipated in 2026 based on receipt of additional funding</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INB-200 and INB-400 (Autologous Gamma-Delta T Cell Therapy for Glioblastoma &amp; Solid Tumors):</w:t>
      </w:r>
    </w:p>
    <w:p>
      <w:pPr>
        <w:spacing w:after="0" w:line="141"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Continue to evaluate early clinical data for signs of efficacy and durability</w:t>
      </w:r>
    </w:p>
    <w:p>
      <w:pPr>
        <w:spacing w:after="0" w:line="9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Report additional findings at upcoming medical meetings in 2025</w:t>
      </w:r>
    </w:p>
    <w:p>
      <w:pPr>
        <w:spacing w:after="0" w:line="9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Seek additional funding sources to advance allogeneic product for glioblastoma and other solid tumors</w:t>
      </w:r>
    </w:p>
    <w:p>
      <w:pPr>
        <w:spacing w:after="0" w:line="9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INB-600 and INB-619 (Gamma-Delta T Cell Engager Targeting CD19 – Oncology &amp; Autoimmune Diseases):</w:t>
      </w:r>
    </w:p>
    <w:p>
      <w:pPr>
        <w:spacing w:after="0" w:line="127"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Present preclinical data evaluating potency, expansion potential, and safety profile at medical meetings in the second quarter of 2025</w:t>
      </w:r>
    </w:p>
    <w:p>
      <w:pPr>
        <w:spacing w:after="0" w:line="49"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Plan to advance towards IND-enabling studies with additional funding to support future clinical development</w:t>
      </w:r>
    </w:p>
    <w:p>
      <w:pPr>
        <w:spacing w:after="0" w:line="97"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Exploring partnership and collaboration options to accelerate development of the platform</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and Full Year 2024 Financial Highlights</w:t>
      </w:r>
    </w:p>
    <w:p>
      <w:pPr>
        <w:spacing w:after="0" w:line="139" w:lineRule="exact"/>
        <w:rPr>
          <w:sz w:val="20"/>
          <w:szCs w:val="20"/>
          <w:color w:val="auto"/>
        </w:rPr>
      </w:pPr>
    </w:p>
    <w:p>
      <w:pPr>
        <w:jc w:val="both"/>
        <w:ind w:left="760" w:hanging="378"/>
        <w:spacing w:after="0" w:line="237" w:lineRule="auto"/>
        <w:tabs>
          <w:tab w:leader="none" w:pos="760"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R&amp;D expenses were $3.6 million for the three months ended</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2024, compared with $4.5 million for the comparable prior year period. R&amp;D expenses were $17.0 million for the year ended December 31, 2024, compared with $16.8 million in the prior year. The change was primarily due to increased clinical trial-related activities for the INB-100 and INB-400 programs and was partially offset by a decrease in personnel-related costs and facility-related and other expenses, in each case as a result of the Company's pipeline prioritization announced in September 2024.</w:t>
      </w:r>
    </w:p>
    <w:p>
      <w:pPr>
        <w:spacing w:after="0" w:line="66" w:lineRule="exact"/>
        <w:rPr>
          <w:rFonts w:ascii="Times New Roman" w:cs="Times New Roman" w:eastAsia="Times New Roman" w:hAnsi="Times New Roman"/>
          <w:sz w:val="22"/>
          <w:szCs w:val="22"/>
          <w:color w:val="auto"/>
        </w:rPr>
      </w:pPr>
    </w:p>
    <w:p>
      <w:pPr>
        <w:jc w:val="both"/>
        <w:ind w:left="760" w:hanging="378"/>
        <w:spacing w:after="0"/>
        <w:tabs>
          <w:tab w:leader="none" w:pos="760" w:val="left"/>
        </w:tabs>
        <w:numPr>
          <w:ilvl w:val="0"/>
          <w:numId w:val="10"/>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General and administrative (G&amp;A) expenses: </w:t>
      </w:r>
      <w:r>
        <w:rPr>
          <w:rFonts w:ascii="Arial" w:cs="Arial" w:eastAsia="Arial" w:hAnsi="Arial"/>
          <w:sz w:val="22"/>
          <w:szCs w:val="22"/>
          <w:color w:val="auto"/>
        </w:rPr>
        <w:t>G&amp;A expenses were $2.6 million for the three months ended</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2024, compared with $3.1 million for the comparable prior year period. G&amp;A expenses were $12.6 million for the year ended December 31, 2024, compared with $13.5 million in the prior year. The change was primarily due to cost savings related to director and officer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78" w:lineRule="exact"/>
        <w:rPr>
          <w:sz w:val="20"/>
          <w:szCs w:val="20"/>
          <w:color w:val="auto"/>
        </w:rPr>
      </w:pPr>
    </w:p>
    <w:p>
      <w:pPr>
        <w:ind w:left="760"/>
        <w:spacing w:after="0" w:line="259" w:lineRule="auto"/>
        <w:rPr>
          <w:sz w:val="20"/>
          <w:szCs w:val="20"/>
          <w:color w:val="auto"/>
        </w:rPr>
      </w:pPr>
      <w:r>
        <w:rPr>
          <w:rFonts w:ascii="Arial" w:cs="Arial" w:eastAsia="Arial" w:hAnsi="Arial"/>
          <w:sz w:val="22"/>
          <w:szCs w:val="22"/>
          <w:color w:val="auto"/>
        </w:rPr>
        <w:t>premiums, professional services, and personnel-related costs, partially offset by an increase in legal and consulting expenses.</w:t>
      </w:r>
    </w:p>
    <w:p>
      <w:pPr>
        <w:spacing w:after="0" w:line="46" w:lineRule="exact"/>
        <w:rPr>
          <w:sz w:val="20"/>
          <w:szCs w:val="20"/>
          <w:color w:val="auto"/>
        </w:rPr>
      </w:pPr>
    </w:p>
    <w:p>
      <w:pPr>
        <w:jc w:val="both"/>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Severance and related charges: </w:t>
      </w:r>
      <w:r>
        <w:rPr>
          <w:rFonts w:ascii="Arial" w:cs="Arial" w:eastAsia="Arial" w:hAnsi="Arial"/>
          <w:sz w:val="22"/>
          <w:szCs w:val="22"/>
          <w:color w:val="auto"/>
        </w:rPr>
        <w:t>Severance and related charges were $1.1 million for the year ended</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2024, compared with zero in the prior year. These were one-time costs related to the September 2024 workforce reduction, including non-cash stock-based compensation expense and severance payments.</w:t>
      </w:r>
    </w:p>
    <w:p>
      <w:pPr>
        <w:spacing w:after="0" w:line="67"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The company reported a net loss of $6.2 million, or $0.08 per basic and diluted common share,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three months ended December 31, 2024, compared with a net loss of $7.6 million, or $0.22 per basic and diluted common share, for the comparable prior year period. For the year ended December 31, 2024, net loss was $30.4 million, or $0.57 per basic and diluted common share, compared with a net loss of $30.0 million, or $1.00 per basic and diluted common share, for the prior year.</w:t>
      </w:r>
    </w:p>
    <w:p>
      <w:pPr>
        <w:spacing w:after="0" w:line="67" w:lineRule="exact"/>
        <w:rPr>
          <w:rFonts w:ascii="Times New Roman" w:cs="Times New Roman" w:eastAsia="Times New Roman" w:hAnsi="Times New Roman"/>
          <w:sz w:val="22"/>
          <w:szCs w:val="22"/>
          <w:color w:val="auto"/>
        </w:rPr>
      </w:pPr>
    </w:p>
    <w:p>
      <w:pPr>
        <w:jc w:val="both"/>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As of December 31, 2024, the Company had cash of $11.1 million as of December 31, 2024,</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with $21.3 million as of December 31, 2023. Subsequently, in February 2025, the Company sold common stock under its ATM offering program and had Series C warrants exercised for aggregate net proceeds of $4.1 million.</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IN8bio</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IN8bio is a clinical-stage biopharmaceutical company developing gamma-delta T cell-based immunotherapies for cancer patients. Gamma-delta T cells are a specialized population of T cells that possess unique properties, including the ability to differentiate between healthy and diseased tissue. The company’s lead program, INB-100, is focused on AML evaluating haplo-matched allogeneic gamma-delta T cells given to patients following a hematopoietic stem cell transplant. The company is also evaluating autologous DeltEx DRI gamma-delta T cells, in combination with standard of care, for glioblastoma, and advancing novel gamma-delta TCEs for potential oncology and autoimmune indications. For more information about IN8bio, visit www.IN8bio.com.</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42" w:lineRule="auto"/>
        <w:rPr>
          <w:sz w:val="20"/>
          <w:szCs w:val="20"/>
          <w:color w:val="auto"/>
        </w:rPr>
      </w:pPr>
      <w:r>
        <w:rPr>
          <w:rFonts w:ascii="Arial" w:cs="Arial" w:eastAsia="Arial" w:hAnsi="Arial"/>
          <w:sz w:val="21"/>
          <w:szCs w:val="21"/>
          <w:color w:val="auto"/>
        </w:rPr>
        <w:t>to, statements regarding: the ability of gamma-delta T cell therapies to continue to exhibit long-term durable remissions in hard-to-treat cancers; IN8bio’s ability to expand pipeline and potential partnership opportunities, including those related to INB-200, INB-400 and INB-600; IN8bio’s ability to drive high-impact programs forward and position for long-term success; the ability of INB-600 to reshape the TCE landscape and to improve durability and safety over existing CD3-targeting TCE therapies; the evaluation of INB-619 in preclinical studies and its applicability for oncology and autoimmune indications; INB-100’s ability to continue to achieve durable remissions in AML patients; IN8bio’s anticipated cash runway; the potential long-term benefits of INB-200; plans to accelerate patient enrollment for INB-100, to complete the expansion cohort in 2025 and to advance preparations for a potential registrational Phase 2 trial; IN8bio’s ability to achieve other anticipated milestones, including expected presentations and data readouts from its trials, enrollment of additional patients in its clinical trials, IND submissions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November 12, 2024,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1134745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color w:val="auto"/>
        </w:rPr>
        <w:t>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09" w:right="79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IN8BIO,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Balance Sheets</w:t>
      </w: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 - finance leases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finance lease liability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10,000,000 shares authorized at December 31, 2024 and</w:t>
            </w:r>
          </w:p>
        </w:tc>
        <w:tc>
          <w:tcPr>
            <w:tcW w:w="220" w:type="dxa"/>
            <w:vAlign w:val="bottom"/>
          </w:tcPr>
          <w:p>
            <w:pPr>
              <w:spacing w:after="0"/>
              <w:rPr>
                <w:sz w:val="17"/>
                <w:szCs w:val="17"/>
                <w:color w:val="auto"/>
              </w:rPr>
            </w:pPr>
          </w:p>
        </w:tc>
        <w:tc>
          <w:tcPr>
            <w:tcW w:w="1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7"/>
                <w:szCs w:val="17"/>
                <w:color w:val="auto"/>
              </w:rPr>
            </w:pPr>
          </w:p>
        </w:tc>
        <w:tc>
          <w:tcPr>
            <w:tcW w:w="1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 No shares issued and outstanding</w:t>
            </w:r>
          </w:p>
        </w:tc>
        <w:tc>
          <w:tcPr>
            <w:tcW w:w="22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490,000,000 shares authorized at December 31, 2024 and</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2023; 72,483,253 and 43,287,325 shares issued and outstanding at December 31, 2024 and 2023,</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(121,656 )</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(91,219 )</w:t>
            </w:r>
          </w:p>
        </w:tc>
        <w:tc>
          <w:tcPr>
            <w:tcW w:w="0" w:type="dxa"/>
            <w:vAlign w:val="bottom"/>
          </w:tcPr>
          <w:p>
            <w:pPr>
              <w:spacing w:after="0"/>
              <w:rPr>
                <w:sz w:val="1"/>
                <w:szCs w:val="1"/>
                <w:color w:val="auto"/>
              </w:rPr>
            </w:pPr>
          </w:p>
        </w:tc>
      </w:tr>
      <w:tr>
        <w:trPr>
          <w:trHeight w:val="210"/>
        </w:trPr>
        <w:tc>
          <w:tcPr>
            <w:tcW w:w="78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3"/>
        </w:trPr>
        <w:tc>
          <w:tcPr>
            <w:tcW w:w="7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-5520055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-5520055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-4405630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-3274060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-2699385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-1447800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-1156970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-1139190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 w:name="page11"/>
    <w:bookmarkEnd w:id="10"/>
    <w:p>
      <w:pPr>
        <w:jc w:val="center"/>
        <w:ind w:right="60"/>
        <w:spacing w:after="0"/>
        <w:rPr>
          <w:sz w:val="20"/>
          <w:szCs w:val="20"/>
          <w:color w:val="auto"/>
        </w:rPr>
      </w:pPr>
      <w:r>
        <w:rPr>
          <w:rFonts w:ascii="Arial" w:cs="Arial" w:eastAsia="Arial" w:hAnsi="Arial"/>
          <w:sz w:val="22"/>
          <w:szCs w:val="22"/>
          <w:b w:val="1"/>
          <w:bCs w:val="1"/>
          <w:color w:val="auto"/>
        </w:rPr>
        <w:t>IN8BIO, INC.</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Statements of Operations</w:t>
      </w:r>
    </w:p>
    <w:p>
      <w:pPr>
        <w:jc w:val="center"/>
        <w:ind w:right="60"/>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9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320" w:type="dxa"/>
            <w:vAlign w:val="bottom"/>
          </w:tcPr>
          <w:p>
            <w:pPr>
              <w:spacing w:after="0"/>
              <w:rPr>
                <w:sz w:val="18"/>
                <w:szCs w:val="18"/>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32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(30,437 )</w:t>
            </w:r>
          </w:p>
        </w:tc>
        <w:tc>
          <w:tcPr>
            <w:tcW w:w="5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(30,007 )</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(30,437 )</w:t>
            </w:r>
          </w:p>
        </w:tc>
        <w:tc>
          <w:tcPr>
            <w:tcW w:w="5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(30,007 )</w:t>
            </w:r>
          </w:p>
        </w:tc>
        <w:tc>
          <w:tcPr>
            <w:tcW w:w="0" w:type="dxa"/>
            <w:vAlign w:val="bottom"/>
          </w:tcPr>
          <w:p>
            <w:pPr>
              <w:spacing w:after="0"/>
              <w:rPr>
                <w:sz w:val="1"/>
                <w:szCs w:val="1"/>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(0.57 )</w:t>
            </w:r>
          </w:p>
        </w:tc>
        <w:tc>
          <w:tcPr>
            <w:tcW w:w="58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common share, basic</w:t>
            </w:r>
          </w:p>
        </w:tc>
        <w:tc>
          <w:tcPr>
            <w:tcW w:w="440" w:type="dxa"/>
            <w:vAlign w:val="bottom"/>
            <w:shd w:val="clear" w:color="auto" w:fill="CFF0FC"/>
          </w:tcPr>
          <w:p>
            <w:pPr>
              <w:spacing w:after="0"/>
              <w:rPr>
                <w:sz w:val="15"/>
                <w:szCs w:val="15"/>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53,547,030</w:t>
            </w:r>
          </w:p>
        </w:tc>
        <w:tc>
          <w:tcPr>
            <w:tcW w:w="3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29,864,932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920" w:type="dxa"/>
            <w:vAlign w:val="bottom"/>
            <w:tcBorders>
              <w:bottom w:val="single" w:sz="8" w:color="CFF0FC"/>
            </w:tcBorders>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-753745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-462280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-445135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293849"/>
        </w:rPr>
        <w:t>Investors &amp; Company Contacts:</w:t>
      </w:r>
    </w:p>
    <w:p>
      <w:pPr>
        <w:spacing w:after="0" w:line="231" w:lineRule="auto"/>
        <w:rPr>
          <w:sz w:val="20"/>
          <w:szCs w:val="20"/>
          <w:color w:val="auto"/>
        </w:rPr>
      </w:pPr>
      <w:r>
        <w:rPr>
          <w:rFonts w:ascii="Arial" w:cs="Arial" w:eastAsia="Arial" w:hAnsi="Arial"/>
          <w:sz w:val="20"/>
          <w:szCs w:val="20"/>
          <w:color w:val="auto"/>
        </w:rPr>
        <w:t>Glenn Schulman, PharmD, MPH</w:t>
      </w:r>
    </w:p>
    <w:p>
      <w:pPr>
        <w:spacing w:after="0" w:line="223" w:lineRule="auto"/>
        <w:rPr>
          <w:sz w:val="20"/>
          <w:szCs w:val="20"/>
          <w:color w:val="auto"/>
        </w:rPr>
      </w:pPr>
      <w:r>
        <w:rPr>
          <w:rFonts w:ascii="Arial" w:cs="Arial" w:eastAsia="Arial" w:hAnsi="Arial"/>
          <w:sz w:val="20"/>
          <w:szCs w:val="20"/>
          <w:color w:val="auto"/>
        </w:rPr>
        <w:t>203.494.7411</w:t>
      </w:r>
    </w:p>
    <w:p>
      <w:pPr>
        <w:spacing w:after="0"/>
        <w:rPr>
          <w:sz w:val="20"/>
          <w:szCs w:val="20"/>
          <w:color w:val="auto"/>
        </w:rPr>
      </w:pPr>
      <w:r>
        <w:rPr>
          <w:rFonts w:ascii="Arial" w:cs="Arial" w:eastAsia="Arial" w:hAnsi="Arial"/>
          <w:sz w:val="22"/>
          <w:szCs w:val="22"/>
          <w:color w:val="auto"/>
        </w:rPr>
        <w:t>gdschulman@IN8bio.com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IN8bio, Inc.</w:t>
      </w:r>
    </w:p>
    <w:p>
      <w:pPr>
        <w:spacing w:after="0" w:line="229" w:lineRule="auto"/>
        <w:rPr>
          <w:sz w:val="20"/>
          <w:szCs w:val="20"/>
          <w:color w:val="auto"/>
        </w:rPr>
      </w:pPr>
      <w:r>
        <w:rPr>
          <w:rFonts w:ascii="Arial" w:cs="Arial" w:eastAsia="Arial" w:hAnsi="Arial"/>
          <w:sz w:val="20"/>
          <w:szCs w:val="20"/>
          <w:color w:val="auto"/>
        </w:rPr>
        <w:t>Patrick McCall</w:t>
      </w:r>
    </w:p>
    <w:p>
      <w:pPr>
        <w:spacing w:after="0" w:line="226" w:lineRule="auto"/>
        <w:rPr>
          <w:sz w:val="20"/>
          <w:szCs w:val="20"/>
          <w:color w:val="auto"/>
        </w:rPr>
      </w:pPr>
      <w:r>
        <w:rPr>
          <w:rFonts w:ascii="Arial" w:cs="Arial" w:eastAsia="Arial" w:hAnsi="Arial"/>
          <w:sz w:val="20"/>
          <w:szCs w:val="20"/>
          <w:color w:val="auto"/>
        </w:rPr>
        <w:t>646.933.5603</w:t>
      </w:r>
    </w:p>
    <w:p>
      <w:pPr>
        <w:spacing w:after="0"/>
        <w:rPr>
          <w:sz w:val="20"/>
          <w:szCs w:val="20"/>
          <w:color w:val="auto"/>
        </w:rPr>
      </w:pPr>
      <w:r>
        <w:rPr>
          <w:rFonts w:ascii="Arial" w:cs="Arial" w:eastAsia="Arial" w:hAnsi="Arial"/>
          <w:sz w:val="20"/>
          <w:szCs w:val="20"/>
          <w:color w:val="auto"/>
        </w:rPr>
        <w:t>pfmccall@IN8bio.com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Kimberly Ha</w:t>
      </w:r>
    </w:p>
    <w:p>
      <w:pPr>
        <w:spacing w:after="0" w:line="226" w:lineRule="auto"/>
        <w:rPr>
          <w:sz w:val="20"/>
          <w:szCs w:val="20"/>
          <w:color w:val="auto"/>
        </w:rPr>
      </w:pPr>
      <w:r>
        <w:rPr>
          <w:rFonts w:ascii="Arial" w:cs="Arial" w:eastAsia="Arial" w:hAnsi="Arial"/>
          <w:sz w:val="20"/>
          <w:szCs w:val="20"/>
          <w:color w:val="auto"/>
        </w:rPr>
        <w:t>KKH Advisors</w:t>
      </w:r>
    </w:p>
    <w:p>
      <w:pPr>
        <w:spacing w:after="0" w:line="225" w:lineRule="auto"/>
        <w:rPr>
          <w:sz w:val="20"/>
          <w:szCs w:val="20"/>
          <w:color w:val="auto"/>
        </w:rPr>
      </w:pPr>
      <w:r>
        <w:rPr>
          <w:rFonts w:ascii="Arial" w:cs="Arial" w:eastAsia="Arial" w:hAnsi="Arial"/>
          <w:sz w:val="20"/>
          <w:szCs w:val="20"/>
          <w:u w:val="single" w:color="auto"/>
          <w:color w:val="auto"/>
        </w:rPr>
        <w:t>917.291.5744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kimberly.ha@kkhadvisors.com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293849"/>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1115060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2025-03-13T15:19:38Z</dcterms:created>
  <dcterms:modified xsi:type="dcterms:W3CDTF">2025-03-13T15:19:38Z</dcterms:modified>
</cp:coreProperties>
</file>