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9"/>
            <w:vMerge w:val="restart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Lamb Lawrence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IN8BIO,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and CSO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IN8BIO,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 5TH AVE. SUITE 5330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77,600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1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77,600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-5851525</wp:posOffset>
            </wp:positionV>
            <wp:extent cx="7045960" cy="60051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0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380" w:firstLine="4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shares subject to the option shall vest on June 21, 2024, and the remaining shares subject to the option shall vest in thirty-six (36) equal monthly installments thereafter, subject to the Reporting Person continuing to provide service through each such date.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Jason Minio,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30059" TargetMode="External"/><Relationship Id="rId9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2023-06-23T17:33:49Z</dcterms:created>
  <dcterms:modified xsi:type="dcterms:W3CDTF">2023-06-23T17:33:49Z</dcterms:modified>
</cp:coreProperties>
</file>