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1628775</wp:posOffset>
            </wp:positionH>
            <wp:positionV relativeFrom="page">
              <wp:posOffset>1501140</wp:posOffset>
            </wp:positionV>
            <wp:extent cx="4277995" cy="193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277995" cy="19399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231F20"/>
        </w:rPr>
        <w:t>2025 Annual Report</w:t>
      </w:r>
    </w:p>
    <w:p>
      <w:pPr>
        <w:sectPr>
          <w:pgSz w:w="11880" w:h="15480" w:orient="portrait"/>
          <w:cols w:equalWidth="0" w:num="1">
            <w:col w:w="9000"/>
          </w:cols>
          <w:pgMar w:left="1440" w:top="1440" w:right="1440" w:bottom="83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231F20"/>
        </w:rPr>
        <w:t>www.IN8bio.com</w:t>
      </w:r>
    </w:p>
    <w:p>
      <w:pPr>
        <w:sectPr>
          <w:pgSz w:w="11880" w:h="15480" w:orient="portrait"/>
          <w:cols w:equalWidth="0" w:num="1">
            <w:col w:w="9000"/>
          </w:cols>
          <w:pgMar w:left="1440" w:top="1440" w:right="1440" w:bottom="839" w:gutter="0" w:footer="0" w:header="0"/>
          <w:type w:val="continuous"/>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
          <w:szCs w:val="2"/>
          <w:b w:val="1"/>
          <w:bCs w:val="1"/>
          <w:color w:val="231F20"/>
        </w:rPr>
        <w:t>tm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17780</wp:posOffset>
                </wp:positionV>
                <wp:extent cx="649224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pt" to="511.6pt,1.4pt" o:allowincell="f" strokecolor="#231F20" strokeweight="0.75pt"/>
            </w:pict>
          </mc:Fallback>
        </mc:AlternateConten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-221615</wp:posOffset>
                </wp:positionV>
                <wp:extent cx="649224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7.4499pt" to="511.6pt,-17.4499pt" o:allowincell="f" strokecolor="#231F20" strokeweight="0.75pt"/>
            </w:pict>
          </mc:Fallback>
        </mc:AlternateContent>
      </w:r>
    </w:p>
    <w:p>
      <w:pPr>
        <w:jc w:val="center"/>
        <w:spacing w:after="0" w:line="233" w:lineRule="auto"/>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2748280</wp:posOffset>
                </wp:positionH>
                <wp:positionV relativeFrom="paragraph">
                  <wp:posOffset>24130</wp:posOffset>
                </wp:positionV>
                <wp:extent cx="10058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58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pt,1.9pt" to="295.6pt,1.9pt" o:allowincell="f" strokecolor="#231F20" strokeweight="1pt"/>
            </w:pict>
          </mc:Fallback>
        </mc:AlternateConten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231F20"/>
        </w:rPr>
        <w:t>F</w:t>
      </w:r>
      <w:r>
        <w:rPr>
          <w:rFonts w:ascii="Times New Roman" w:cs="Times New Roman" w:eastAsia="Times New Roman" w:hAnsi="Times New Roman"/>
          <w:sz w:val="36"/>
          <w:szCs w:val="36"/>
          <w:b w:val="1"/>
          <w:bCs w:val="1"/>
          <w:u w:val="single" w:color="auto"/>
          <w:color w:val="231F20"/>
        </w:rPr>
        <w:t>ORM 10-</w:t>
      </w:r>
      <w:r>
        <w:rPr>
          <w:rFonts w:ascii="Times New Roman" w:cs="Times New Roman" w:eastAsia="Times New Roman" w:hAnsi="Times New Roman"/>
          <w:sz w:val="36"/>
          <w:szCs w:val="36"/>
          <w:b w:val="1"/>
          <w:bCs w:val="1"/>
          <w:color w:val="231F20"/>
        </w:rPr>
        <w:t>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(Mark One)</w:t>
      </w:r>
    </w:p>
    <w:p>
      <w:pPr>
        <w:ind w:left="280" w:hanging="272"/>
        <w:spacing w:after="0" w:line="228" w:lineRule="auto"/>
        <w:tabs>
          <w:tab w:leader="none" w:pos="280" w:val="left"/>
        </w:tabs>
        <w:numPr>
          <w:ilvl w:val="0"/>
          <w:numId w:val="1"/>
        </w:numPr>
        <w:rPr>
          <w:rFonts w:ascii="Segoe UI Symbol" w:cs="Segoe UI Symbol" w:eastAsia="Segoe UI Symbol" w:hAnsi="Segoe UI Symbol"/>
          <w:sz w:val="20"/>
          <w:szCs w:val="20"/>
          <w:color w:val="231F20"/>
        </w:rPr>
      </w:pPr>
      <w:r>
        <w:rPr>
          <w:rFonts w:ascii="Times New Roman" w:cs="Times New Roman" w:eastAsia="Times New Roman" w:hAnsi="Times New Roman"/>
          <w:sz w:val="20"/>
          <w:szCs w:val="20"/>
          <w:b w:val="1"/>
          <w:bCs w:val="1"/>
          <w:color w:val="231F20"/>
        </w:rPr>
        <w:t>ANNUAL REPORT PURSUANT TO SECTION 13 OR 15(d) OF THE SECURITIES EXCHANGE ACT OF 1934</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For the fiscal year ended December 31, 2025</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OR</w:t>
      </w:r>
    </w:p>
    <w:p>
      <w:pPr>
        <w:spacing w:after="0" w:line="39" w:lineRule="exact"/>
        <w:rPr>
          <w:sz w:val="20"/>
          <w:szCs w:val="20"/>
          <w:color w:val="auto"/>
        </w:rPr>
      </w:pPr>
    </w:p>
    <w:p>
      <w:pPr>
        <w:ind w:left="280" w:hanging="272"/>
        <w:spacing w:after="0" w:line="231" w:lineRule="auto"/>
        <w:tabs>
          <w:tab w:leader="none" w:pos="280" w:val="left"/>
        </w:tabs>
        <w:numPr>
          <w:ilvl w:val="0"/>
          <w:numId w:val="2"/>
        </w:numPr>
        <w:rPr>
          <w:rFonts w:ascii="Segoe UI Symbol" w:cs="Segoe UI Symbol" w:eastAsia="Segoe UI Symbol" w:hAnsi="Segoe UI Symbol"/>
          <w:sz w:val="20"/>
          <w:szCs w:val="20"/>
          <w:color w:val="231F20"/>
        </w:rPr>
      </w:pPr>
      <w:r>
        <w:rPr>
          <w:rFonts w:ascii="Times New Roman" w:cs="Times New Roman" w:eastAsia="Times New Roman" w:hAnsi="Times New Roman"/>
          <w:sz w:val="20"/>
          <w:szCs w:val="20"/>
          <w:b w:val="1"/>
          <w:bCs w:val="1"/>
          <w:color w:val="231F20"/>
        </w:rPr>
        <w:t>TRANSITION REPORT PURSUANT TO SECTION 13 OR 15(d) OF THE SECURITIES EXCHANGE ACT OF 1934 FOR THE TRANSITION PERIOD FROM __________ TO __________</w:t>
      </w: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Commission File Number 001-39692</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231F20"/>
        </w:rPr>
        <w:t>IN8BIO,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2748280</wp:posOffset>
                </wp:positionH>
                <wp:positionV relativeFrom="paragraph">
                  <wp:posOffset>-277495</wp:posOffset>
                </wp:positionV>
                <wp:extent cx="100584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58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pt,-21.8499pt" to="295.6pt,-21.8499pt" o:allowincell="f" strokecolor="#231F20" strokeweight="1pt"/>
            </w:pict>
          </mc:Fallback>
        </mc:AlternateConten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2748280</wp:posOffset>
                </wp:positionH>
                <wp:positionV relativeFrom="paragraph">
                  <wp:posOffset>50800</wp:posOffset>
                </wp:positionV>
                <wp:extent cx="100584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58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pt,4pt" to="295.6pt,4pt" o:allowincell="f" strokecolor="#231F20" strokeweight="1pt"/>
            </w:pict>
          </mc:Fallback>
        </mc:AlternateContent>
      </w:r>
    </w:p>
    <w:p>
      <w:pPr>
        <w:sectPr>
          <w:pgSz w:w="11880" w:h="15480" w:orient="portrait"/>
          <w:cols w:equalWidth="0" w:num="1">
            <w:col w:w="10240"/>
          </w:cols>
          <w:pgMar w:left="820" w:top="768" w:right="820" w:bottom="0" w:gutter="0" w:footer="0" w:header="0"/>
        </w:sectPr>
      </w:pPr>
    </w:p>
    <w:p>
      <w:pPr>
        <w:spacing w:after="0" w:line="112"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0"/>
          <w:szCs w:val="20"/>
          <w:b w:val="1"/>
          <w:bCs w:val="1"/>
          <w:color w:val="231F20"/>
        </w:rPr>
        <w:t>Delaware</w:t>
      </w:r>
    </w:p>
    <w:p>
      <w:pPr>
        <w:ind w:left="1680"/>
        <w:spacing w:after="0" w:line="238" w:lineRule="auto"/>
        <w:rPr>
          <w:sz w:val="20"/>
          <w:szCs w:val="20"/>
          <w:color w:val="auto"/>
        </w:rPr>
      </w:pPr>
      <w:r>
        <w:rPr>
          <w:rFonts w:ascii="Times New Roman" w:cs="Times New Roman" w:eastAsia="Times New Roman" w:hAnsi="Times New Roman"/>
          <w:sz w:val="14"/>
          <w:szCs w:val="14"/>
          <w:b w:val="1"/>
          <w:bCs w:val="1"/>
          <w:color w:val="231F20"/>
        </w:rPr>
        <w:t>(State or other jurisdiction of</w:t>
      </w:r>
    </w:p>
    <w:p>
      <w:pPr>
        <w:ind w:left="1640"/>
        <w:spacing w:after="0" w:line="236" w:lineRule="auto"/>
        <w:rPr>
          <w:sz w:val="20"/>
          <w:szCs w:val="20"/>
          <w:color w:val="auto"/>
        </w:rPr>
      </w:pPr>
      <w:r>
        <w:rPr>
          <w:rFonts w:ascii="Times New Roman" w:cs="Times New Roman" w:eastAsia="Times New Roman" w:hAnsi="Times New Roman"/>
          <w:sz w:val="14"/>
          <w:szCs w:val="14"/>
          <w:b w:val="1"/>
          <w:bCs w:val="1"/>
          <w:color w:val="231F20"/>
        </w:rPr>
        <w:t>incorporation or organization)</w:t>
      </w:r>
    </w:p>
    <w:p>
      <w:pPr>
        <w:jc w:val="center"/>
        <w:ind w:right="1280"/>
        <w:spacing w:after="0" w:line="234" w:lineRule="auto"/>
        <w:rPr>
          <w:sz w:val="20"/>
          <w:szCs w:val="20"/>
          <w:color w:val="auto"/>
        </w:rPr>
      </w:pPr>
      <w:r>
        <w:rPr>
          <w:rFonts w:ascii="Times New Roman" w:cs="Times New Roman" w:eastAsia="Times New Roman" w:hAnsi="Times New Roman"/>
          <w:sz w:val="20"/>
          <w:szCs w:val="20"/>
          <w:b w:val="1"/>
          <w:bCs w:val="1"/>
          <w:color w:val="231F20"/>
        </w:rPr>
        <w:t>350 5th Avenue, Suite 5330</w:t>
      </w:r>
    </w:p>
    <w:p>
      <w:pPr>
        <w:jc w:val="center"/>
        <w:ind w:right="1280"/>
        <w:spacing w:after="0" w:line="236" w:lineRule="auto"/>
        <w:rPr>
          <w:sz w:val="20"/>
          <w:szCs w:val="20"/>
          <w:color w:val="auto"/>
        </w:rPr>
      </w:pPr>
      <w:r>
        <w:rPr>
          <w:rFonts w:ascii="Times New Roman" w:cs="Times New Roman" w:eastAsia="Times New Roman" w:hAnsi="Times New Roman"/>
          <w:sz w:val="20"/>
          <w:szCs w:val="20"/>
          <w:b w:val="1"/>
          <w:bCs w:val="1"/>
          <w:color w:val="231F20"/>
        </w:rPr>
        <w:t>New York, New York</w:t>
      </w:r>
    </w:p>
    <w:p>
      <w:pPr>
        <w:ind w:left="1400"/>
        <w:spacing w:after="0"/>
        <w:rPr>
          <w:sz w:val="20"/>
          <w:szCs w:val="20"/>
          <w:color w:val="auto"/>
        </w:rPr>
      </w:pPr>
      <w:r>
        <w:rPr>
          <w:rFonts w:ascii="Times New Roman" w:cs="Times New Roman" w:eastAsia="Times New Roman" w:hAnsi="Times New Roman"/>
          <w:sz w:val="14"/>
          <w:szCs w:val="14"/>
          <w:b w:val="1"/>
          <w:bCs w:val="1"/>
          <w:color w:val="231F20"/>
        </w:rPr>
        <w:t>(Address of principal executive offices)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82-5462585</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231F20"/>
        </w:rPr>
        <w:t>(I.R.S. Employer</w:t>
      </w:r>
    </w:p>
    <w:p>
      <w:pPr>
        <w:spacing w:after="0"/>
        <w:rPr>
          <w:sz w:val="20"/>
          <w:szCs w:val="20"/>
          <w:color w:val="auto"/>
        </w:rPr>
      </w:pPr>
      <w:r>
        <w:rPr>
          <w:rFonts w:ascii="Times New Roman" w:cs="Times New Roman" w:eastAsia="Times New Roman" w:hAnsi="Times New Roman"/>
          <w:sz w:val="14"/>
          <w:szCs w:val="14"/>
          <w:b w:val="1"/>
          <w:bCs w:val="1"/>
          <w:color w:val="231F20"/>
        </w:rPr>
        <w:t>Identification No.)</w:t>
      </w:r>
    </w:p>
    <w:p>
      <w:pPr>
        <w:spacing w:after="0" w:line="190"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20"/>
          <w:szCs w:val="20"/>
          <w:b w:val="1"/>
          <w:bCs w:val="1"/>
          <w:color w:val="231F20"/>
        </w:rPr>
        <w:t>10118</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231F20"/>
        </w:rPr>
        <w:t>(Zip Code)</w:t>
      </w:r>
    </w:p>
    <w:p>
      <w:pPr>
        <w:spacing w:after="0" w:line="73" w:lineRule="exact"/>
        <w:rPr>
          <w:sz w:val="20"/>
          <w:szCs w:val="20"/>
          <w:color w:val="auto"/>
        </w:rPr>
      </w:pPr>
    </w:p>
    <w:p>
      <w:pPr>
        <w:sectPr>
          <w:pgSz w:w="11880" w:h="15480" w:orient="portrait"/>
          <w:cols w:equalWidth="0" w:num="2">
            <w:col w:w="6400" w:space="720"/>
            <w:col w:w="3120"/>
          </w:cols>
          <w:pgMar w:left="820" w:top="768" w:right="820"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Registrant’s telephone number, including area code: (646) 600-6438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2748280</wp:posOffset>
                </wp:positionH>
                <wp:positionV relativeFrom="paragraph">
                  <wp:posOffset>97790</wp:posOffset>
                </wp:positionV>
                <wp:extent cx="100584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58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pt,7.7pt" to="295.6pt,7.7pt" o:allowincell="f" strokecolor="#231F20" strokeweight="1pt"/>
            </w:pict>
          </mc:Fallback>
        </mc:AlternateConten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231F20"/>
              </w:rPr>
              <w:t>Securities registered pursuant to Section 12(b) of the Act:</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51"/>
        </w:trPr>
        <w:tc>
          <w:tcPr>
            <w:tcW w:w="4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100" w:type="dxa"/>
            <w:vAlign w:val="bottom"/>
          </w:tcPr>
          <w:p>
            <w:pPr>
              <w:spacing w:after="0"/>
              <w:rPr>
                <w:sz w:val="21"/>
                <w:szCs w:val="21"/>
                <w:color w:val="auto"/>
              </w:rPr>
            </w:pPr>
          </w:p>
        </w:tc>
        <w:tc>
          <w:tcPr>
            <w:tcW w:w="1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Trading Symbol(s)</w:t>
            </w:r>
          </w:p>
        </w:tc>
        <w:tc>
          <w:tcPr>
            <w:tcW w:w="100" w:type="dxa"/>
            <w:vAlign w:val="bottom"/>
          </w:tcPr>
          <w:p>
            <w:pPr>
              <w:spacing w:after="0"/>
              <w:rPr>
                <w:sz w:val="21"/>
                <w:szCs w:val="21"/>
                <w:color w:val="auto"/>
              </w:rPr>
            </w:pPr>
          </w:p>
        </w:tc>
        <w:tc>
          <w:tcPr>
            <w:tcW w:w="4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r>
      <w:tr>
        <w:trPr>
          <w:trHeight w:val="230"/>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Common Stock, $0.0001 par value per share</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INAB</w:t>
            </w:r>
          </w:p>
        </w:tc>
        <w:tc>
          <w:tcPr>
            <w:tcW w:w="1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The Nasdaq Stock Market LLC</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2601595</wp:posOffset>
                </wp:positionH>
                <wp:positionV relativeFrom="paragraph">
                  <wp:posOffset>-155575</wp:posOffset>
                </wp:positionV>
                <wp:extent cx="6540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85pt,-12.2499pt" to="210pt,-12.2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3835400</wp:posOffset>
                </wp:positionH>
                <wp:positionV relativeFrom="paragraph">
                  <wp:posOffset>-155575</wp:posOffset>
                </wp:positionV>
                <wp:extent cx="6477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pt,-12.2499pt" to="307.1pt,-12.2499pt" o:allowincell="f" strokecolor="#FFFFFF" strokeweight="0.5pt"/>
            </w:pict>
          </mc:Fallback>
        </mc:AlternateContent>
      </w:r>
    </w:p>
    <w:p>
      <w:pPr>
        <w:spacing w:after="0"/>
        <w:rPr>
          <w:sz w:val="20"/>
          <w:szCs w:val="20"/>
          <w:color w:val="auto"/>
        </w:rPr>
      </w:pPr>
      <w:r>
        <w:rPr>
          <w:rFonts w:ascii="Times New Roman" w:cs="Times New Roman" w:eastAsia="Times New Roman" w:hAnsi="Times New Roman"/>
          <w:sz w:val="16"/>
          <w:szCs w:val="16"/>
          <w:color w:val="231F20"/>
        </w:rPr>
        <w:t xml:space="preserve">Securities registered pursuant to Section 12(g) of the Act: </w:t>
      </w:r>
      <w:r>
        <w:rPr>
          <w:rFonts w:ascii="Times New Roman" w:cs="Times New Roman" w:eastAsia="Times New Roman" w:hAnsi="Times New Roman"/>
          <w:sz w:val="16"/>
          <w:szCs w:val="16"/>
          <w:b w:val="1"/>
          <w:bCs w:val="1"/>
          <w:color w:val="231F20"/>
        </w:rPr>
        <w:t>None</w:t>
      </w:r>
    </w:p>
    <w:p>
      <w:pPr>
        <w:spacing w:after="0" w:line="37" w:lineRule="exact"/>
        <w:rPr>
          <w:sz w:val="20"/>
          <w:szCs w:val="20"/>
          <w:color w:val="auto"/>
        </w:rPr>
      </w:pPr>
    </w:p>
    <w:p>
      <w:pPr>
        <w:ind w:right="1780"/>
        <w:spacing w:after="0" w:line="270" w:lineRule="auto"/>
        <w:rPr>
          <w:sz w:val="20"/>
          <w:szCs w:val="20"/>
          <w:color w:val="auto"/>
        </w:rPr>
      </w:pPr>
      <w:r>
        <w:rPr>
          <w:rFonts w:ascii="Times New Roman" w:cs="Times New Roman" w:eastAsia="Times New Roman" w:hAnsi="Times New Roman"/>
          <w:sz w:val="16"/>
          <w:szCs w:val="16"/>
          <w:color w:val="231F20"/>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Indicate by check mark if the Registrant is not required to file reports pursuant to Section 13 or 15(d) of the Act.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6"/>
          <w:szCs w:val="16"/>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rPr>
          <w:sz w:val="20"/>
          <w:szCs w:val="20"/>
          <w:color w:val="auto"/>
        </w:rPr>
      </w:pPr>
      <w:r>
        <w:rPr>
          <w:rFonts w:ascii="Times New Roman" w:cs="Times New Roman" w:eastAsia="Times New Roman" w:hAnsi="Times New Roman"/>
          <w:sz w:val="16"/>
          <w:szCs w:val="16"/>
          <w:color w:val="231F20"/>
        </w:rPr>
        <w:t xml:space="preserve">requirements for the past 90 days.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29"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6"/>
          <w:szCs w:val="16"/>
          <w:color w:val="231F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rPr>
          <w:sz w:val="20"/>
          <w:szCs w:val="20"/>
          <w:color w:val="auto"/>
        </w:rPr>
      </w:pPr>
      <w:r>
        <w:rPr>
          <w:rFonts w:ascii="Times New Roman" w:cs="Times New Roman" w:eastAsia="Times New Roman" w:hAnsi="Times New Roman"/>
          <w:sz w:val="16"/>
          <w:szCs w:val="16"/>
          <w:color w:val="231F20"/>
        </w:rPr>
        <w:t xml:space="preserve">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2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231F20"/>
              </w:rPr>
              <w:t>Large accelerated filer</w:t>
            </w:r>
          </w:p>
        </w:tc>
        <w:tc>
          <w:tcPr>
            <w:tcW w:w="2860" w:type="dxa"/>
            <w:vAlign w:val="bottom"/>
          </w:tcPr>
          <w:p>
            <w:pPr>
              <w:ind w:left="360"/>
              <w:spacing w:after="0"/>
              <w:rPr>
                <w:sz w:val="20"/>
                <w:szCs w:val="20"/>
                <w:color w:val="auto"/>
              </w:rPr>
            </w:pPr>
            <w:r>
              <w:rPr>
                <w:rFonts w:ascii="Segoe UI Symbol" w:cs="Segoe UI Symbol" w:eastAsia="Segoe UI Symbol" w:hAnsi="Segoe UI Symbol"/>
                <w:sz w:val="18"/>
                <w:szCs w:val="18"/>
                <w:color w:val="231F20"/>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8"/>
                <w:szCs w:val="18"/>
                <w:color w:val="231F20"/>
              </w:rPr>
              <w:t>Accelerated filer</w:t>
            </w:r>
          </w:p>
        </w:tc>
        <w:tc>
          <w:tcPr>
            <w:tcW w:w="460" w:type="dxa"/>
            <w:vAlign w:val="bottom"/>
          </w:tcPr>
          <w:p>
            <w:pPr>
              <w:ind w:left="300"/>
              <w:spacing w:after="0"/>
              <w:rPr>
                <w:sz w:val="20"/>
                <w:szCs w:val="20"/>
                <w:color w:val="auto"/>
              </w:rPr>
            </w:pPr>
            <w:r>
              <w:rPr>
                <w:rFonts w:ascii="Segoe UI Symbol" w:cs="Segoe UI Symbol" w:eastAsia="Segoe UI Symbol" w:hAnsi="Segoe UI Symbol"/>
                <w:sz w:val="18"/>
                <w:szCs w:val="18"/>
                <w:color w:val="231F20"/>
                <w:w w:val="90"/>
              </w:rPr>
              <w:t>☐</w:t>
            </w:r>
          </w:p>
        </w:tc>
      </w:tr>
      <w:tr>
        <w:trPr>
          <w:trHeight w:val="3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231F20"/>
              </w:rPr>
              <w:t>Non-accelerated filer</w:t>
            </w:r>
          </w:p>
        </w:tc>
        <w:tc>
          <w:tcPr>
            <w:tcW w:w="2860" w:type="dxa"/>
            <w:vAlign w:val="bottom"/>
          </w:tcPr>
          <w:p>
            <w:pPr>
              <w:ind w:left="360"/>
              <w:spacing w:after="0"/>
              <w:rPr>
                <w:sz w:val="20"/>
                <w:szCs w:val="20"/>
                <w:color w:val="auto"/>
              </w:rPr>
            </w:pPr>
            <w:r>
              <w:rPr>
                <w:rFonts w:ascii="Segoe UI Symbol" w:cs="Segoe UI Symbol" w:eastAsia="Segoe UI Symbol" w:hAnsi="Segoe UI Symbol"/>
                <w:sz w:val="18"/>
                <w:szCs w:val="18"/>
                <w:color w:val="231F20"/>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8"/>
                <w:szCs w:val="18"/>
                <w:color w:val="231F20"/>
              </w:rPr>
              <w:t>Smaller reporting company</w:t>
            </w:r>
          </w:p>
        </w:tc>
        <w:tc>
          <w:tcPr>
            <w:tcW w:w="460" w:type="dxa"/>
            <w:vAlign w:val="bottom"/>
          </w:tcPr>
          <w:p>
            <w:pPr>
              <w:ind w:left="300"/>
              <w:spacing w:after="0"/>
              <w:rPr>
                <w:sz w:val="20"/>
                <w:szCs w:val="20"/>
                <w:color w:val="auto"/>
              </w:rPr>
            </w:pPr>
            <w:r>
              <w:rPr>
                <w:rFonts w:ascii="Segoe UI Symbol" w:cs="Segoe UI Symbol" w:eastAsia="Segoe UI Symbol" w:hAnsi="Segoe UI Symbol"/>
                <w:sz w:val="18"/>
                <w:szCs w:val="18"/>
                <w:color w:val="231F20"/>
                <w:w w:val="90"/>
              </w:rPr>
              <w:t>☒</w:t>
            </w:r>
          </w:p>
        </w:tc>
      </w:tr>
      <w:tr>
        <w:trPr>
          <w:trHeight w:val="29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231F20"/>
              </w:rPr>
              <w:t>Emerging growth company</w:t>
            </w:r>
          </w:p>
        </w:tc>
        <w:tc>
          <w:tcPr>
            <w:tcW w:w="2860" w:type="dxa"/>
            <w:vAlign w:val="bottom"/>
          </w:tcPr>
          <w:p>
            <w:pPr>
              <w:ind w:left="360"/>
              <w:spacing w:after="0"/>
              <w:rPr>
                <w:sz w:val="20"/>
                <w:szCs w:val="20"/>
                <w:color w:val="auto"/>
              </w:rPr>
            </w:pPr>
            <w:r>
              <w:rPr>
                <w:rFonts w:ascii="Segoe UI Symbol" w:cs="Segoe UI Symbol" w:eastAsia="Segoe UI Symbol" w:hAnsi="Segoe UI Symbol"/>
                <w:sz w:val="18"/>
                <w:szCs w:val="18"/>
                <w:color w:val="231F20"/>
              </w:rPr>
              <w:t>☒</w:t>
            </w:r>
          </w:p>
        </w:tc>
        <w:tc>
          <w:tcPr>
            <w:tcW w:w="46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jc w:val="both"/>
        <w:spacing w:after="0" w:line="253" w:lineRule="auto"/>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231F20"/>
        </w:rPr>
        <w:t>☐</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6"/>
          <w:szCs w:val="16"/>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rPr>
          <w:sz w:val="20"/>
          <w:szCs w:val="20"/>
          <w:color w:val="auto"/>
        </w:rPr>
      </w:pPr>
      <w:r>
        <w:rPr>
          <w:rFonts w:ascii="Times New Roman" w:cs="Times New Roman" w:eastAsia="Times New Roman" w:hAnsi="Times New Roman"/>
          <w:sz w:val="16"/>
          <w:szCs w:val="16"/>
          <w:color w:val="231F20"/>
        </w:rPr>
        <w:t xml:space="preserve">its audit report. </w:t>
      </w:r>
      <w:r>
        <w:rPr>
          <w:rFonts w:ascii="Segoe UI Symbol" w:cs="Segoe UI Symbol" w:eastAsia="Segoe UI Symbol" w:hAnsi="Segoe UI Symbol"/>
          <w:sz w:val="16"/>
          <w:szCs w:val="16"/>
          <w:color w:val="231F20"/>
        </w:rPr>
        <w:t>☐</w:t>
      </w:r>
    </w:p>
    <w:p>
      <w:pPr>
        <w:spacing w:after="0" w:line="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231F20"/>
        </w:rPr>
        <w:t>☐</w:t>
      </w:r>
    </w:p>
    <w:p>
      <w:pPr>
        <w:jc w:val="both"/>
        <w:spacing w:after="0" w:line="260" w:lineRule="auto"/>
        <w:rPr>
          <w:sz w:val="20"/>
          <w:szCs w:val="20"/>
          <w:color w:val="auto"/>
        </w:rPr>
      </w:pPr>
      <w:r>
        <w:rPr>
          <w:rFonts w:ascii="Times New Roman" w:cs="Times New Roman" w:eastAsia="Times New Roman" w:hAnsi="Times New Roman"/>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231F20"/>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2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6"/>
          <w:szCs w:val="16"/>
          <w:color w:val="231F20"/>
        </w:rPr>
        <w:t>The aggregate market value of the voting and non-voting common equity held by non-affiliates of the Registrant, based on the closing price of $ 2.09 per share of the Registrant’s common stock as reported on the Nasdaq Stock Market LLC on June 30, 2025, the last business day of the Registrant’s most recently completed second quarter was $7.6 million. This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The number of shares of Registrant’s Common Stock outstanding as of March 9, 2026 was 9,847,089.</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DOCUMENTS INCORPORATED BY REFERENCE</w:t>
      </w:r>
    </w:p>
    <w:p>
      <w:pPr>
        <w:spacing w:after="0" w:line="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231F20"/>
        </w:rPr>
        <w:t>Portions of the definitive proxy statement for the 2026 Annual Meeting of Stockholders of the Registrant, or the Proxy Statement, are incorporated by reference into Part III of this Annual Report on Form 10-K. The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47625</wp:posOffset>
                </wp:positionV>
                <wp:extent cx="649224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75pt" to="511.6pt,3.7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66675</wp:posOffset>
                </wp:positionV>
                <wp:extent cx="649224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5.25pt" to="511.6pt,5.25pt" o:allowincell="f" strokecolor="#231F20" strokeweight="0.75pt"/>
            </w:pict>
          </mc:Fallback>
        </mc:AlternateContent>
      </w:r>
    </w:p>
    <w:p>
      <w:pPr>
        <w:sectPr>
          <w:pgSz w:w="11880" w:h="15480" w:orient="portrait"/>
          <w:cols w:equalWidth="0" w:num="1">
            <w:col w:w="10240"/>
          </w:cols>
          <w:pgMar w:left="820" w:top="768" w:right="820" w:bottom="0" w:gutter="0" w:footer="0" w:header="0"/>
          <w:type w:val="continuous"/>
        </w:sect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231F20"/>
        </w:rPr>
        <w:t>261071999 v3</w:t>
      </w:r>
    </w:p>
    <w:p>
      <w:pPr>
        <w:sectPr>
          <w:pgSz w:w="11880" w:h="15480" w:orient="portrait"/>
          <w:cols w:equalWidth="0" w:num="1">
            <w:col w:w="10240"/>
          </w:cols>
          <w:pgMar w:left="820" w:top="768" w:right="82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1000" w:type="dxa"/>
            <w:vAlign w:val="bottom"/>
          </w:tcPr>
          <w:p>
            <w:pPr>
              <w:spacing w:after="0"/>
              <w:rPr>
                <w:sz w:val="23"/>
                <w:szCs w:val="23"/>
                <w:color w:val="auto"/>
              </w:rPr>
            </w:pPr>
          </w:p>
        </w:tc>
        <w:tc>
          <w:tcPr>
            <w:tcW w:w="8480" w:type="dxa"/>
            <w:vAlign w:val="bottom"/>
          </w:tcPr>
          <w:p>
            <w:pPr>
              <w:ind w:left="336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1"/>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8480" w:type="dxa"/>
            <w:vAlign w:val="bottom"/>
          </w:tcPr>
          <w:p>
            <w:pPr>
              <w:spacing w:after="0"/>
              <w:rPr>
                <w:sz w:val="24"/>
                <w:szCs w:val="24"/>
                <w:color w:val="auto"/>
              </w:rPr>
            </w:pPr>
          </w:p>
        </w:tc>
        <w:tc>
          <w:tcPr>
            <w:tcW w:w="760" w:type="dxa"/>
            <w:vAlign w:val="bottom"/>
            <w:tcBorders>
              <w:bottom w:val="single" w:sz="8" w:color="231F20"/>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8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1A.</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1B.</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1C.</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2.</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3.</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266"/>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4.</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424"/>
        </w:trPr>
        <w:tc>
          <w:tcPr>
            <w:tcW w:w="10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8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5.</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 of Equity</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6.</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[Reserved]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7A.</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8.</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9A.</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9B.</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0" w:type="dxa"/>
            <w:vAlign w:val="bottom"/>
          </w:tcPr>
          <w:p>
            <w:pPr>
              <w:spacing w:after="0"/>
              <w:rPr>
                <w:sz w:val="1"/>
                <w:szCs w:val="1"/>
                <w:color w:val="auto"/>
              </w:rPr>
            </w:pPr>
          </w:p>
        </w:tc>
      </w:tr>
      <w:tr>
        <w:trPr>
          <w:trHeight w:val="266"/>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9C.</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0" w:type="dxa"/>
            <w:vAlign w:val="bottom"/>
          </w:tcPr>
          <w:p>
            <w:pPr>
              <w:spacing w:after="0"/>
              <w:rPr>
                <w:sz w:val="1"/>
                <w:szCs w:val="1"/>
                <w:color w:val="auto"/>
              </w:rPr>
            </w:pPr>
          </w:p>
        </w:tc>
      </w:tr>
      <w:tr>
        <w:trPr>
          <w:trHeight w:val="424"/>
        </w:trPr>
        <w:tc>
          <w:tcPr>
            <w:tcW w:w="10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8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10.</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11.</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Executive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12.</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13.</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0" w:type="dxa"/>
            <w:vAlign w:val="bottom"/>
          </w:tcPr>
          <w:p>
            <w:pPr>
              <w:spacing w:after="0"/>
              <w:rPr>
                <w:sz w:val="1"/>
                <w:szCs w:val="1"/>
                <w:color w:val="auto"/>
              </w:rPr>
            </w:pPr>
          </w:p>
        </w:tc>
      </w:tr>
      <w:tr>
        <w:trPr>
          <w:trHeight w:val="266"/>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14.</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Principal Accountant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0" w:type="dxa"/>
            <w:vAlign w:val="bottom"/>
          </w:tcPr>
          <w:p>
            <w:pPr>
              <w:spacing w:after="0"/>
              <w:rPr>
                <w:sz w:val="1"/>
                <w:szCs w:val="1"/>
                <w:color w:val="auto"/>
              </w:rPr>
            </w:pPr>
          </w:p>
        </w:tc>
      </w:tr>
      <w:tr>
        <w:trPr>
          <w:trHeight w:val="424"/>
        </w:trPr>
        <w:tc>
          <w:tcPr>
            <w:tcW w:w="10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8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15.</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Exhibits and Financial Statement Schedules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16.</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Form 10-K Summary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266"/>
        </w:trPr>
        <w:tc>
          <w:tcPr>
            <w:tcW w:w="1000" w:type="dxa"/>
            <w:vAlign w:val="bottom"/>
          </w:tcPr>
          <w:p>
            <w:pPr>
              <w:spacing w:after="0"/>
              <w:rPr>
                <w:sz w:val="23"/>
                <w:szCs w:val="23"/>
                <w:color w:val="auto"/>
              </w:rPr>
            </w:pP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Signatures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-4537710</wp:posOffset>
            </wp:positionV>
            <wp:extent cx="6492240" cy="4527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extLst>
                    </a:blip>
                    <a:srcRect/>
                    <a:stretch>
                      <a:fillRect/>
                    </a:stretch>
                  </pic:blipFill>
                  <pic:spPr bwMode="auto">
                    <a:xfrm>
                      <a:off x="0" y="0"/>
                      <a:ext cx="6492240" cy="4527550"/>
                    </a:xfrm>
                    <a:prstGeom prst="rect">
                      <a:avLst/>
                    </a:prstGeom>
                    <a:noFill/>
                  </pic:spPr>
                </pic:pic>
              </a:graphicData>
            </a:graphic>
          </wp:anchor>
        </w:drawing>
      </w:r>
    </w:p>
    <w:p>
      <w:pPr>
        <w:spacing w:after="0" w:line="21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this report, unless otherwise stated or the context otherwise indicates, the terms “IN8bio, Inc.,” “the Company,” “we,” “us,” “our” and similar references refer to IN8bio, Inc. “IN8BIO,” “INEIGHTBIO,” “Cancer Zero,” the IN8BIO logo, DeltEx and other trademarks, trade names or service marks of IN8bio, Inc. appearing in this Annual Report are the property of IN8bio, Inc. All other trademarks, trade names and service marks appearing in this Annual Report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 The images found on pages 9, 10, 15, 21, 27 and 29 of this Annual Report were created with biorender.com.</w:t>
      </w:r>
    </w:p>
    <w:p>
      <w:pPr>
        <w:spacing w:after="0" w:line="20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Unless otherwise indicated, all information in this Annual Report on Form 10-K gives effect to the 1-for-30 reverse stock split of our common stock that became effective on June 5, 2025, and all references to shares of common stock outstanding and per share amounts give effect to the reverse stock split.</w:t>
      </w:r>
    </w:p>
    <w:p>
      <w:pPr>
        <w:sectPr>
          <w:pgSz w:w="11880" w:h="15480" w:orient="portrait"/>
          <w:cols w:equalWidth="0" w:num="1">
            <w:col w:w="10240"/>
          </w:cols>
          <w:pgMar w:left="820" w:top="746" w:right="82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i</w:t>
      </w:r>
    </w:p>
    <w:p>
      <w:pPr>
        <w:sectPr>
          <w:pgSz w:w="11880" w:h="15480" w:orient="portrait"/>
          <w:cols w:equalWidth="0" w:num="1">
            <w:col w:w="10240"/>
          </w:cols>
          <w:pgMar w:left="820" w:top="746" w:right="820" w:bottom="64"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231F20"/>
        </w:rPr>
        <w:t>SPECIAL NOTE REGARDING FORWARD-LOOKING STATEMENTS</w:t>
      </w:r>
    </w:p>
    <w:p>
      <w:pPr>
        <w:spacing w:after="0" w:line="124"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This Annual Report on Form 10-K, or this Annual Report, contains statements that may constitute “forward-looking statements” within the meaning of Section 27A of the Securities Act of 1933, as amended, or the Securities Act, and Section 21E of the Securities Exchange Act of 1934, as amended, or the Exchange Act, that involve substantial risks and uncertainties. All statements contained in this Annual Report on Form 10-K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 These forward-looking statements include statements concerning the following:</w:t>
      </w:r>
    </w:p>
    <w:p>
      <w:pPr>
        <w:spacing w:after="0" w:line="96" w:lineRule="exact"/>
        <w:rPr>
          <w:sz w:val="20"/>
          <w:szCs w:val="20"/>
          <w:color w:val="auto"/>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mitigate the substantial doubt to continue as a going concern;</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estimates regarding expenses, future revenue, capital requirements and needs for additional financing;</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plans to develop and commercialize our product candidates;</w:t>
      </w:r>
    </w:p>
    <w:p>
      <w:pPr>
        <w:spacing w:after="0" w:line="133" w:lineRule="exact"/>
        <w:rPr>
          <w:rFonts w:ascii="Arial" w:cs="Arial" w:eastAsia="Arial" w:hAnsi="Arial"/>
          <w:sz w:val="20"/>
          <w:szCs w:val="20"/>
          <w:color w:val="231F20"/>
        </w:rPr>
      </w:pPr>
    </w:p>
    <w:p>
      <w:pPr>
        <w:ind w:left="900" w:hanging="489"/>
        <w:spacing w:after="0" w:line="276" w:lineRule="auto"/>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initiation, timing, progress and results of our current and future preclinical studies and clinical trials and our research and development programs;</w:t>
      </w:r>
    </w:p>
    <w:p>
      <w:pPr>
        <w:spacing w:after="0" w:line="64"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take advantage of abbreviated regulatory pathways for any of our product candidates;</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successfully acquire or in-license additional product candidates on reasonable terms;</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maintain and establish collaborations or obtain additional funding;</w:t>
      </w:r>
    </w:p>
    <w:p>
      <w:pPr>
        <w:spacing w:after="0" w:line="133" w:lineRule="exact"/>
        <w:rPr>
          <w:rFonts w:ascii="Arial" w:cs="Arial" w:eastAsia="Arial" w:hAnsi="Arial"/>
          <w:sz w:val="20"/>
          <w:szCs w:val="20"/>
          <w:color w:val="231F20"/>
        </w:rPr>
      </w:pPr>
    </w:p>
    <w:p>
      <w:pPr>
        <w:ind w:left="900" w:hanging="489"/>
        <w:spacing w:after="0" w:line="276" w:lineRule="auto"/>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regulatory approval of our current and future product candidates, including our ability to file investigational new drug applications to commence additional clinical trials;</w:t>
      </w:r>
    </w:p>
    <w:p>
      <w:pPr>
        <w:spacing w:after="0" w:line="64" w:lineRule="exact"/>
        <w:rPr>
          <w:rFonts w:ascii="Arial" w:cs="Arial" w:eastAsia="Arial" w:hAnsi="Arial"/>
          <w:sz w:val="20"/>
          <w:szCs w:val="20"/>
          <w:color w:val="231F20"/>
        </w:rPr>
      </w:pPr>
    </w:p>
    <w:p>
      <w:pPr>
        <w:ind w:left="900" w:hanging="489"/>
        <w:spacing w:after="0" w:line="276" w:lineRule="auto"/>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the potential market size and the rate and degree of market acceptance of such product candidates;</w:t>
      </w:r>
    </w:p>
    <w:p>
      <w:pPr>
        <w:spacing w:after="0" w:line="64" w:lineRule="exact"/>
        <w:rPr>
          <w:rFonts w:ascii="Arial" w:cs="Arial" w:eastAsia="Arial" w:hAnsi="Arial"/>
          <w:sz w:val="20"/>
          <w:szCs w:val="20"/>
          <w:color w:val="231F20"/>
        </w:rPr>
      </w:pPr>
    </w:p>
    <w:p>
      <w:pPr>
        <w:ind w:left="900" w:hanging="489"/>
        <w:spacing w:after="0" w:line="276" w:lineRule="auto"/>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continued reliance on third parties to conduct clinical trials of our product candidates, and for the manufacture of our product candidates for preclinical studies and clinical trials;</w:t>
      </w:r>
    </w:p>
    <w:p>
      <w:pPr>
        <w:spacing w:after="0" w:line="64"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implementation of our business model and strategic plans for our business and product candidates;</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intellectual property position and the duration of our patent rights;</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or disputes concerning our intellectual property or other proprietary rights;</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government and third-party payor coverage and reimbursement;</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compete in the markets we serve;</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government operations, laws and regulations and liabilities thereunder;</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need to hire additional personnel and our ability to attract and retain such personnel;</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relating to our competitors and our industry;</w:t>
      </w:r>
    </w:p>
    <w:p>
      <w:pPr>
        <w:spacing w:after="0" w:line="133" w:lineRule="exact"/>
        <w:rPr>
          <w:rFonts w:ascii="Arial" w:cs="Arial" w:eastAsia="Arial" w:hAnsi="Arial"/>
          <w:sz w:val="20"/>
          <w:szCs w:val="20"/>
          <w:color w:val="231F20"/>
        </w:rPr>
      </w:pPr>
    </w:p>
    <w:p>
      <w:pPr>
        <w:ind w:left="900" w:hanging="489"/>
        <w:spacing w:after="0" w:line="276" w:lineRule="auto"/>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the impact of international tariffs, public health crises and geopolitical tensions, such as wars and terrorism, on our business, our industry and the economy;</w:t>
      </w:r>
    </w:p>
    <w:p>
      <w:pPr>
        <w:spacing w:after="0" w:line="64"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contribute to eliminate cancer and achieve cancer-free status in any or all patients; and</w:t>
      </w:r>
    </w:p>
    <w:p>
      <w:pPr>
        <w:spacing w:after="0" w:line="133" w:lineRule="exact"/>
        <w:rPr>
          <w:rFonts w:ascii="Arial" w:cs="Arial" w:eastAsia="Arial" w:hAnsi="Arial"/>
          <w:sz w:val="20"/>
          <w:szCs w:val="20"/>
          <w:color w:val="231F20"/>
        </w:rPr>
      </w:pPr>
    </w:p>
    <w:p>
      <w:pPr>
        <w:ind w:left="900" w:hanging="489"/>
        <w:spacing w:after="0"/>
        <w:tabs>
          <w:tab w:leader="none" w:pos="9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factors that may impact our financial results.</w:t>
      </w:r>
    </w:p>
    <w:p>
      <w:pPr>
        <w:spacing w:after="0" w:line="119"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A summary of selected risks associated with our business are set forth below.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ii</w:t>
      </w:r>
    </w:p>
    <w:p>
      <w:pPr>
        <w:sectPr>
          <w:pgSz w:w="11880" w:h="15480" w:orient="portrait"/>
          <w:cols w:equalWidth="0" w:num="1">
            <w:col w:w="10240"/>
          </w:cols>
          <w:pgMar w:left="820" w:top="746" w:right="820" w:bottom="0" w:gutter="0" w:footer="0" w:header="0"/>
          <w:type w:val="continuous"/>
        </w:sectPr>
      </w:pPr>
    </w:p>
    <w:bookmarkStart w:id="5" w:name="page6"/>
    <w:bookmarkEnd w:id="5"/>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In addition, statements that “we believe” and similar statements reflect our beliefs and opinions on the relevant subject. These statements are based on information available to us as of the date of this Annual Report.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7"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1880" w:h="15480" w:orient="portrait"/>
          <w:cols w:equalWidth="0" w:num="1">
            <w:col w:w="10240"/>
          </w:cols>
          <w:pgMar w:left="820" w:top="750" w:right="8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iii</w:t>
      </w:r>
    </w:p>
    <w:p>
      <w:pPr>
        <w:sectPr>
          <w:pgSz w:w="11880" w:h="15480" w:orient="portrait"/>
          <w:cols w:equalWidth="0" w:num="1">
            <w:col w:w="10240"/>
          </w:cols>
          <w:pgMar w:left="820" w:top="750" w:right="820" w:bottom="6"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We are a leading clinical-stage biopharmaceutical company focused on the discovery, development and commercialization of gamma-delta T cellular therapy product candidates and gamma-delta T cell engagers ("TCEs") for cancer and autoimmune diseases. Gamma-delta T cells are a specialized population of T cells that possess unique properties. They are naturally occurring immune cells that can intrinsically regulate immune responses and have the ability to differentiate between healthy and diseased tissue. These cells serve as a functional bridge between innate and adaptive immunity, contributing to direct tumor-killing as well as immune cell recruitment and activation to drive deeper, more comprehensive immune responses. Multiple studies have demonstrated the robust tumor-killing ability of gamma-delta T cells and superior outcomes in cancer patients with elevated levels of gamma-delta T cells. Recent literature published in 2024 demonstrated that gamma-delta T cell levels are predictive of better survival outcomes even in melanoma patients being treated with checkpoint inhibitors and in leukemia patients being treated with chimeric antigen receptor T cell (“CAR-T”) therapies. The pivotal role of gamma-delta T cells in immune function and activation against diseases such as cancer underscores their therapeutic potential across a wide range of solid and hematologic cancers.</w:t>
      </w:r>
    </w:p>
    <w:p>
      <w:pPr>
        <w:spacing w:after="0" w:line="86" w:lineRule="exact"/>
        <w:rPr>
          <w:sz w:val="20"/>
          <w:szCs w:val="20"/>
          <w:color w:val="auto"/>
        </w:rPr>
      </w:pPr>
    </w:p>
    <w:p>
      <w:pPr>
        <w:jc w:val="both"/>
        <w:ind w:firstLine="403"/>
        <w:spacing w:after="0" w:line="222" w:lineRule="auto"/>
        <w:rPr>
          <w:sz w:val="20"/>
          <w:szCs w:val="20"/>
          <w:color w:val="auto"/>
        </w:rPr>
      </w:pPr>
      <w:r>
        <w:rPr>
          <w:rFonts w:ascii="Times New Roman" w:cs="Times New Roman" w:eastAsia="Times New Roman" w:hAnsi="Times New Roman"/>
          <w:sz w:val="20"/>
          <w:szCs w:val="20"/>
          <w:color w:val="231F20"/>
        </w:rPr>
        <w:t xml:space="preserve">We develop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expanded and activated gamma-delta T cell candidates and TCEs based upon our deep expertise in gamma-delta T cell biology, proprietary genetic engineering, and cell-type specific manufacturing capabilities, which we refer to collectively as our DeltEx</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xml:space="preserve"> platform. Our platform employs allogeneic, autologous, induced pluripotent stem cell ("iPSC") and genetically modified cell therapy approaches, as well as TCEs that are designed to effectively identify and eradicate tumor or target cells. We believe we are the most clinically advanced gamma-delta T cell-focused company and we are utilizing our suite of DeltEx platform technologies to potentially eliminate cancer cells to achieve our mission we refer to as Cancer Zero</w:t>
      </w:r>
      <w:r>
        <w:rPr>
          <w:rFonts w:ascii="Times New Roman" w:cs="Times New Roman" w:eastAsia="Times New Roman" w:hAnsi="Times New Roman"/>
          <w:sz w:val="26"/>
          <w:szCs w:val="26"/>
          <w:color w:val="231F20"/>
          <w:vertAlign w:val="superscript"/>
        </w:rPr>
        <w:t>TM</w:t>
      </w:r>
    </w:p>
    <w:p>
      <w:pPr>
        <w:spacing w:after="0" w:line="4" w:lineRule="exact"/>
        <w:rPr>
          <w:sz w:val="20"/>
          <w:szCs w:val="20"/>
          <w:color w:val="auto"/>
        </w:rPr>
      </w:pPr>
    </w:p>
    <w:p>
      <w:pPr>
        <w:jc w:val="both"/>
        <w:ind w:firstLine="8"/>
        <w:spacing w:after="0" w:line="244" w:lineRule="auto"/>
        <w:tabs>
          <w:tab w:leader="none" w:pos="202"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safe elimination of all cancer cells in every patient battling the disease. We believe this lofty aspiration will one day be achievable and that it is our responsibility to directly contribute to global health efforts by pursuing scientific research that will advance the treatment of cancer and other diseases with unmet medical needs.</w:t>
      </w:r>
    </w:p>
    <w:p>
      <w:pPr>
        <w:spacing w:after="0" w:line="81"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 xml:space="preserve">Our DeltEx platform is designed to overcome many of the challenges associated with the expansion, genetic engineering, and scalable manufacturing of gamma-delta T cells. This approach allows us to expand the cells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to administer a potentially therapeutic dose to patients, harnessing the unique properties of gamma-delta T cells, including their ability to broadly recognize cellular stress signals on tumor cells. We believe that our unique corporate and scientific insights into the advanced manufacturing and biology of gamma-delta T cells provide us with an innovative platform for treating cancer that capitalizes on the particular properties of gamma-delta T cells. We currently have two novel programs in the clinic that have demonstrated durable complete remission in difficult to treat cancers. We have used our DeltEx platform to create our pipeline of innovative allogeneic, autologous, iPSC and/or genetically modified product candidates designed to effectively target and potentially eradicate disease and improve patient outcomes.</w:t>
      </w:r>
    </w:p>
    <w:p>
      <w:pPr>
        <w:spacing w:after="0" w:line="86"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To date, we have conducted two primary investigator-sponsored Phase 1 clinical trials evaluating our gamma-delta T cell technologies in cancer patients, which have both completed primary enrollment. INB-100 is assessing our DeltEx Allogeneic (“Allo”) gamma-delta T cell therapy in adult patients with high-risk leukemias undergoing haploidentical stem cell transplantation (“HSCT”). INB-200, evaluated our DeltEx Drug Resistant Immunotherapy (“DRI”) in patients with newly diagnosed glioblastoma (“GBM”). Both trials have demonstrated encouraging clinical activity, including long-term durable remissions, with patients remaining alive and in remission or progression-free for more than four years.</w:t>
      </w:r>
    </w:p>
    <w:p>
      <w:pPr>
        <w:spacing w:after="0" w:line="80"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INB-100, our first allogeneic DeltEx product candidate, was developed to evaluate the safety and tolerability of donor-derived, expanded and activated gamma-delta T cells that do not undergo additional genetic modification. The Phase 1 trial (NCT03533816) of INB -100 has completed primary enrollment and a recommended Phase 2 dose (“RP2D”) was determined. An expansion cohort at the RP2D is currently underway at the Kansas University Cancer Center (“KUCC”) and The James Comprehensive Cancer Center at The Ohio State University. In February 2025, we presented updated data at the 2025 Transplantation &amp; Cellular Therapy ("TCT") Meeting, demonstrating that 100% of acute myeloid leukemia (“AML”) patients across both original and expansion cohorts remained in complete remission (“CR”), with a median follow-up of 20.1 months. These AML patients also demonstrated one-year progression-free survival (“PFS”) and overall survival (“OS”) rates that exceeded real-world control data from the Center for International Blood and Marrow Transplant Research (“CIBMTR”) and historical patient outcomes from the KUCC, where the study is being conducted. Patients treated with INB-100 are demonstrating prolonged and durable remissions, supported by gamma-delta T cell expansion and persistence beyond one year. In 2024, we held a meeting with the U.S. Food and Drug Administration (“FDA”) and received regulatory guidance regarding a Phase 2 trial of INB-100 for the treatment of AML, with relapse-free survival as the primary endpoint in a randomized controlled trial. To further support and de-risk this registrational pathway, we enrolled and treated patients in an expansion cohort of at least 15 additional patients, to confirm the improvements in relapse free and OS outcomes observed to date. We</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240"/>
          </w:cols>
          <w:pgMar w:left="820" w:top="746" w:right="820" w:bottom="0" w:gutter="0" w:footer="0" w:header="0"/>
          <w:type w:val="continuous"/>
        </w:sectPr>
      </w:pPr>
    </w:p>
    <w:bookmarkStart w:id="7" w:name="page8"/>
    <w:bookmarkEnd w:id="7"/>
    <w:p>
      <w:pPr>
        <w:jc w:val="both"/>
        <w:spacing w:after="0" w:line="277" w:lineRule="auto"/>
        <w:rPr>
          <w:sz w:val="20"/>
          <w:szCs w:val="20"/>
          <w:color w:val="auto"/>
        </w:rPr>
      </w:pPr>
      <w:r>
        <w:rPr>
          <w:rFonts w:ascii="Times New Roman" w:cs="Times New Roman" w:eastAsia="Times New Roman" w:hAnsi="Times New Roman"/>
          <w:sz w:val="20"/>
          <w:szCs w:val="20"/>
          <w:color w:val="231F20"/>
        </w:rPr>
        <w:t>expect to complete patient treatment in the expansion cohort in early 2026 and to report long-term follow-up results at a medical meeting in late 2026.</w:t>
      </w:r>
    </w:p>
    <w:p>
      <w:pPr>
        <w:spacing w:after="0" w:line="49"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Our DeltEx DRI technology is an innovative, proprietary platform that genetically engineers gamma-delta T cells to enable synergistic combinations with conventional standard- of-care (“SOC”) chemotherapies for the treatment of solid tumors. Our proprietary genetic engineering leverages the tumor’s own chemotherapy resistance mechanisms to protect our DeltEx DRI gamma-delta T cells from the cytotoxic effects of such chemotherapies, enabling combination therapies designed to enhance tumor killing and potentially improve patient outcomes. Our lead DeltEx DRI product candidate, INB-200, was developed for newly diagnosed GBM. Patient dosing in the investigator-sponsored Phase 1 trial of INB-200 (NCT04165941) has been completed and we continue to follow patients for PFS and OS. In May 2025, we delivered an oral plenary presentation at the American Society of Clinical Oncology ("ASCO") Annual Meeting presenting longer-term patient follow-up data. We continue to work towards the publication of the Phase 1 INB-200 data in a peer-reviewed journal.</w:t>
      </w:r>
    </w:p>
    <w:p>
      <w:pPr>
        <w:spacing w:after="0" w:line="86"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INB-400 is our corporate-sponsored investigational new drug application (“IND”) for the Phase 2, multi-center clinical trial evaluating the DeltEx DRI technology in newly diagnosed GBM (NCT05664243). Treatment of enrolled patients has been completed and the IND remains open. In September 2024, following a pipeline review, we suspended further enrollment in the Phase 2 trial of INB-400 to conserve capital. The trial was designed to further evaluate genetically modified DRI gamma-delta T cells in newly diagnosed GBM patients in multiple centers across the United States.</w:t>
      </w:r>
    </w:p>
    <w:p>
      <w:pPr>
        <w:spacing w:after="0" w:line="77"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 xml:space="preserve">At the 2025 Annual Meeting of the Society of Neuro-Oncology (“SNO”), we presented consolidated data from the INB-200 (Phase 1) and INB- 400 (Phase 2) trials in both poster and oral presentations. Patients across both trials who received multiple repeated doses of our DeltEx DRI gamma-delta T cells (N=14) demonstrated substantial improvements in median progression-free survival (“mPFS”) and median overall survival (“mOS”) across multiple participating clinical centers. These results were evaluated in the context of a contemporaneously enrolled control group of patients at the same clinical centers with the same treating physicians who received SOC therapy alone. The SOC control cohort reported an mPFS of 6.6 months and a mOS of 13.2 months despite a higher number of patients in the SOC control cohort receiving gross total resections. These control data are consistent with historical benchmarks in newly diagnosed GBM, including mPFS of 6.9 months and mOS of 14.6 months published in the </w:t>
      </w:r>
      <w:r>
        <w:rPr>
          <w:rFonts w:ascii="Times New Roman" w:cs="Times New Roman" w:eastAsia="Times New Roman" w:hAnsi="Times New Roman"/>
          <w:sz w:val="20"/>
          <w:szCs w:val="20"/>
          <w:i w:val="1"/>
          <w:iCs w:val="1"/>
          <w:color w:val="231F20"/>
        </w:rPr>
        <w:t>New England Journal of Medicine</w:t>
      </w:r>
      <w:r>
        <w:rPr>
          <w:rFonts w:ascii="Times New Roman" w:cs="Times New Roman" w:eastAsia="Times New Roman" w:hAnsi="Times New Roman"/>
          <w:sz w:val="20"/>
          <w:szCs w:val="20"/>
          <w:color w:val="231F20"/>
        </w:rPr>
        <w:t xml:space="preserve"> ("NEJM") in 2005. This demonstrates both the aggressive nature of GBM, even with SOC treatment, and the significant need for new treatment options. In the data, updated through December 31, 2025, patients who received repeated doses of DeltEx DRI gamma-delta T cells reported an mPFS of 13.0 months and a mOS not reached (17.2+ months), with overall survival continuing to climb. We expect to provide a further clinical update, including additional mOS data from the total data set, at medical meetings in mid- and late-2026.</w:t>
      </w:r>
    </w:p>
    <w:p>
      <w:pPr>
        <w:spacing w:after="0" w:line="83"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We believe our DeltEx DRI gamma-delta T cell therapeutic approach is demonstrating clinical activity and may have potential applicability across multiple solid tumor types. In April 2023, we received Orphan Drug Designation from the FDA for both the autologous and allogeneic DeltEx DRI INB-400 product candidates, covering a broad range of malignant glioma indications, including relapsed and newly diagnosed GBM. We believe there may be potential regulatory designation pathways available for the autologous DeltEx DRI program in newly diagnosed GBM and intend to seek further guidance from the FDA regarding potential development and regulatory pathways in 2026. Following such regulatory guidance, we expect to evaluate potential funding sources and strategic opportunities to support continued development of this program toward potential commercialization.</w:t>
      </w:r>
    </w:p>
    <w:p>
      <w:pPr>
        <w:spacing w:after="0" w:line="82"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Most recently we introduced INB-600, our proprietary, internally developed TCE platform. This platform represents a potentially revolutionary advancement in immunotherapy, harnessing the unique power of gamma-delta T cells through a differentiated mechanism intended to optimize effector function and targeted cytotoxicity. To date, we have observed novel properties suggesting that the TCE can significantly expand and activate gamma-delta T cells, with the potential to drive sustained and potent anti-tumor or anti-target immune responses. This unique capability may not only enhance the immediate cytotoxic effects through in vivo expansion of effector gamma-delta T cells, but also promote a more durable and long-lasting immune response, essential for combating both solid tumors and resistant leukemias/lymphomas as well as sustained target depletion for potential applications in autoimmune diseases. The dual activation and expansion of Vd1+ and Vd2+ gamma-delta T cell subsets further broadens our therapeutic potential, combining the power of the rapid antigen processing of Vd2+ cells with the increased cellular stability and tissue penetrating properties of Vd1+ cells as an innate immune force multiplier. Importantly, unlike traditional CD3-directed T cell engagers that broadly activate T cells, our gamma-delta TCE is designed to signal through the gamma-delta T cell receptor (“TCR”), selectively activating gamma-delta T cells. This differentiated mechanism may provide a potential safety advantage, as gamma-delta T cells are not typically associated with high levels of cytokines such as IL-6 or TNF-alpha that are linked to cytokine release syndrome (“CRS”) observed with certain alpha-beta T cell directed therapies. We believe INB-600 positions us with a promising platform with potential applicability from solid tumors to autoimmune diseases, supporting our goal to leverage gamma-delta T cell biology for targeted immune system modulation and disease treatment.</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240"/>
          </w:cols>
          <w:pgMar w:left="820" w:top="750" w:right="820" w:bottom="0" w:gutter="0" w:footer="0" w:header="0"/>
          <w:type w:val="continuous"/>
        </w:sectPr>
      </w:pPr>
    </w:p>
    <w:bookmarkStart w:id="8" w:name="page9"/>
    <w:bookmarkEnd w:id="8"/>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We have demonstrated that INB-619, a CD19 targeted gamma-delta TCE, can efficiently and completely eliminate targeted B cells in a dose-dependent manner. Data presented at The American College of Rheumatology Convergence 2025 meeting (“ACR Convergence 2025”) highlighted the potential of INB-619 in B cell-driven autoimmune diseases such as systemic lupus erythematosus (“SLE”) and demonstrated deep B cell depletion through selective activation and expansion of gamma -delta T cells. INB-619 was evaluated in comparison to commercial FDA-approved B cell depletors, blinatumomab (CD19 targeted) and mosunetuzumab (CD20 targeted), and demonstrated equivalent in vitro potency and complete B cell elimination. Notably, INB-619 exhibited a favorable cytokine profile with minimal to no detectable levels of CRS-associated cytokines including IL-6, a validated clinical CRS biomarker, while both approved therapies resulted in significantly higher levels of CRS cytokines. This data positions INB-619 as a promising candidate for autoimmune indications, potentially enabling deeper B cell depletion, immune reset and an enhanced safety profile, while the selective gamma-delta T cell approach addresses potential limitations like CD3-induced T cell exhaustion and the toxicities seen with other CD3-based TCE approaches.</w:t>
      </w:r>
    </w:p>
    <w:p>
      <w:pPr>
        <w:spacing w:after="0" w:line="86"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 xml:space="preserve">We also have a portfolio of preclinical programs within our DeltEx pipeline that currently remain paused in development due to financial market conditions and pipeline prioritization. These include INB-300, a targeted non-signaling gamma-delta T cell based chimeric antigen receptor (“nsCAR”) construct, which is applicable to both solid and liquid tumors, and INB-500, which encompasses our ability to produce gamma-delta T cells from iPSCs. iPSCs represent a significant step toward next generation approaches of cellular manufacturing for true allogeneic and potentially "off-the-shelf" innate cellular therapies. We presented additional preclinical data for INB-300, demonstrating our proof-of-concept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studies, against the leukemia antigen targets CD33 and CD123, at the American Association for Cancer Research ("AACR") Annual Meeting in 2024. These data demonstrated the ability of our nsCAR constructs to distinguish between tumor tissue and healthy tissue.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Going Concern</w:t>
      </w:r>
    </w:p>
    <w:p>
      <w:pPr>
        <w:spacing w:after="0" w:line="124"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Our financial statements have been prepared in conformity with generally accepted accounting principles which contemplate continuation of the Company on a going concern basis. The going concern basis assumes that assets are realized, and liabilities are extinguished in the ordinary course of business at amounts disclosed in the financial statements. We have not yet generated product sales and, as a result, have experienced operating losses since inception. 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The actual amount of cash that we will need to operate is subject to many factors.</w:t>
      </w:r>
    </w:p>
    <w:p>
      <w:pPr>
        <w:spacing w:after="0" w:line="82"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Based on our business strategy, we expect that our existing cash of $27.1 million as of December 31, 2025, is not anticipated to fund our projected operating expenses and capital expenditure requirements after April 2027, and accordingly, there is substantial doubt about the Company’s ability to continue to operate as a going concern. We continue to take cash preservation measures to defer or reduce costs in the near term in order to preserve capital and increase financial flexibility. These cash preservation measures may impact our ability and the timing to execute our strategy, including our ability to achieve the anticipated milestones and the timing of patient enrollment and/or regulatory filings for our preclinical and clinical programs. For more information, see “Going Concern” in Part II, “Item 7. Management’s Discussion and Analysis of Financial Condition and Results of Operations,” below, for a further discussion of our liquidity and the conditions that raise substantial doubt regarding our ability to continue as a going concern.</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240"/>
          </w:cols>
          <w:pgMar w:left="820" w:top="750" w:right="82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231F20"/>
        </w:rPr>
        <w:t>Our Pipeline</w:t>
      </w:r>
    </w:p>
    <w:p>
      <w:pPr>
        <w:spacing w:after="0" w:line="12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The following chart shows the developmental status and the next anticipated milestones of our clinical and preclinical product candidates, all of which are wholly owned. The timing of the next anticipated milestones below and the related discussion throughout this Business section are estimates based upon the receipt of additional capital to fund our programs. For more information, see “Going Concern” in Part II, “Item 7. Management’s Discussion and Analysis of Financial Condition and Results of Operations,”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283210</wp:posOffset>
            </wp:positionV>
            <wp:extent cx="6486525" cy="3648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extLst>
                    </a:blip>
                    <a:srcRect/>
                    <a:stretch>
                      <a:fillRect/>
                    </a:stretch>
                  </pic:blipFill>
                  <pic:spPr bwMode="auto">
                    <a:xfrm>
                      <a:off x="0" y="0"/>
                      <a:ext cx="6486525" cy="364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color w:val="231F20"/>
        </w:rPr>
        <w:t>Figure 1. Pipeline Chart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Strategy</w:t>
      </w:r>
    </w:p>
    <w:p>
      <w:pPr>
        <w:spacing w:after="0" w:line="124" w:lineRule="exact"/>
        <w:rPr>
          <w:sz w:val="20"/>
          <w:szCs w:val="20"/>
          <w:color w:val="auto"/>
        </w:rPr>
      </w:pPr>
    </w:p>
    <w:p>
      <w:pPr>
        <w:jc w:val="both"/>
        <w:ind w:firstLine="403"/>
        <w:spacing w:after="0" w:line="232" w:lineRule="auto"/>
        <w:rPr>
          <w:sz w:val="20"/>
          <w:szCs w:val="20"/>
          <w:color w:val="auto"/>
        </w:rPr>
      </w:pPr>
      <w:r>
        <w:rPr>
          <w:rFonts w:ascii="Times New Roman" w:cs="Times New Roman" w:eastAsia="Times New Roman" w:hAnsi="Times New Roman"/>
          <w:sz w:val="20"/>
          <w:szCs w:val="20"/>
          <w:color w:val="231F20"/>
        </w:rPr>
        <w:t>We are dedicated to leveraging our DeltEx platform to develop next generation gamma-delta T cell therapies that we believe can dramatically improve outcomes for cancer patients in our efforts to achieve our mission of Cancer Zero</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To achieve this goal, our strategy, which is dependent on our ability to raise additional capital or successfully deploy other strategic options, is as follows:</w:t>
      </w:r>
    </w:p>
    <w:p>
      <w:pPr>
        <w:spacing w:after="0" w:line="98" w:lineRule="exact"/>
        <w:rPr>
          <w:sz w:val="20"/>
          <w:szCs w:val="20"/>
          <w:color w:val="auto"/>
        </w:rPr>
      </w:pPr>
    </w:p>
    <w:p>
      <w:pPr>
        <w:jc w:val="both"/>
        <w:ind w:left="980" w:hanging="482"/>
        <w:spacing w:after="0" w:line="243"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Continue to complete the expansion cohort in the Phase 1 trial of our clinical product candidate INB-100, while exploring opportunities to advance our other candidates including INB-400. </w:t>
      </w:r>
      <w:r>
        <w:rPr>
          <w:rFonts w:ascii="Times New Roman" w:cs="Times New Roman" w:eastAsia="Times New Roman" w:hAnsi="Times New Roman"/>
          <w:sz w:val="20"/>
          <w:szCs w:val="20"/>
          <w:color w:val="231F20"/>
        </w:rPr>
        <w:t>We are conducting a Phase 1 dose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escalation clinical trial of INB-100, our DeltEx Allo product candidate in patients with hematologic malignancies undergoing allogeneic HSCT. We currently expect to report initial long-term follow up data from the Phase 1 clinical trial including patients in the expansion cohort at a medical meeting in late 2026. We have completed patient treatment in our INB-200 and INB-400 programs, which comprise our autologous DeltEx DRI programs developed for the treatment of newly diagnosed GBM. In September 2024, we suspended enrollment in our Phase 2, multi-center clinical trial of INB-400, a company-sponsored clinical program evaluating our autologous DeltEx DRI product candidate in newly diagnosed GBM. We continue to monitor patients who were enrolled and treated and we expect to provide a further clinical update, including additional mOS data from the total data set, at medical meetings in mid- and late-2026. We will seek guidance from the FDA on potential regulatory pathways toward registration and we will evaluate opportunities to fund and/or partner this program.</w:t>
      </w:r>
    </w:p>
    <w:p>
      <w:pPr>
        <w:spacing w:after="0" w:line="99"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Advance INB-619 into clinical development, subject to animal data and receiving authorization from FDA pursuant to company-sponsored INDs. </w:t>
      </w:r>
      <w:r>
        <w:rPr>
          <w:rFonts w:ascii="Times New Roman" w:cs="Times New Roman" w:eastAsia="Times New Roman" w:hAnsi="Times New Roman"/>
          <w:sz w:val="20"/>
          <w:szCs w:val="20"/>
          <w:color w:val="231F20"/>
        </w:rPr>
        <w:t>INB-619 is our proprietary, internally developed CD19 targeting TCE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program. Gamma-delta T cells have demonstrated advantageous properties in the clinic, including low rates of</w:t>
      </w:r>
    </w:p>
    <w:p>
      <w:pPr>
        <w:sectPr>
          <w:pgSz w:w="11880" w:h="15480" w:orient="portrait"/>
          <w:cols w:equalWidth="0" w:num="1">
            <w:col w:w="10240"/>
          </w:cols>
          <w:pgMar w:left="820" w:top="746" w:right="820" w:bottom="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240"/>
          </w:cols>
          <w:pgMar w:left="820" w:top="746" w:right="820" w:bottom="0" w:gutter="0" w:footer="0" w:header="0"/>
          <w:type w:val="continuous"/>
        </w:sectPr>
      </w:pPr>
    </w:p>
    <w:bookmarkStart w:id="10" w:name="page11"/>
    <w:bookmarkEnd w:id="10"/>
    <w:p>
      <w:pPr>
        <w:jc w:val="both"/>
        <w:ind w:left="980"/>
        <w:spacing w:after="0" w:line="247" w:lineRule="auto"/>
        <w:rPr>
          <w:sz w:val="20"/>
          <w:szCs w:val="20"/>
          <w:color w:val="auto"/>
        </w:rPr>
      </w:pPr>
      <w:r>
        <w:rPr>
          <w:rFonts w:ascii="Times New Roman" w:cs="Times New Roman" w:eastAsia="Times New Roman" w:hAnsi="Times New Roman"/>
          <w:sz w:val="20"/>
          <w:szCs w:val="20"/>
          <w:color w:val="231F20"/>
        </w:rPr>
        <w:t>CRS and immune effector cell–associated neurotoxicity syndrome (“ICANS”). Our TCE platform has unique features that we believe may widen the therapeutic window and address some of the challenges with the development of conventional T cell engagers. This program positions us with a promising candidate for a range of potential applications, from solid tumors to autoimmune diseases, offering a novel approach to immune system modulation and disease treatment. We expect to present preliminary animal model data in 2026, with a goal of submitting an IND in 2027.</w:t>
      </w:r>
    </w:p>
    <w:p>
      <w:pPr>
        <w:spacing w:after="0" w:line="94" w:lineRule="exact"/>
        <w:rPr>
          <w:sz w:val="20"/>
          <w:szCs w:val="20"/>
          <w:color w:val="auto"/>
        </w:rPr>
      </w:pPr>
    </w:p>
    <w:p>
      <w:pPr>
        <w:jc w:val="both"/>
        <w:ind w:left="980" w:hanging="482"/>
        <w:spacing w:after="0" w:line="245"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Advance and continue to scale our manufacturing. </w:t>
      </w:r>
      <w:r>
        <w:rPr>
          <w:rFonts w:ascii="Times New Roman" w:cs="Times New Roman" w:eastAsia="Times New Roman" w:hAnsi="Times New Roman"/>
          <w:sz w:val="20"/>
          <w:szCs w:val="20"/>
          <w:color w:val="231F20"/>
        </w:rPr>
        <w:t>We have established an automated, closed-system,</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reproducible, scalable manufacturing platform. We will continue to focus on expanding manufacturing capacity and capabilities along with advanced manufacturing methods to support our ongoing and anticipated clinical development. In addition to using collaborators such as the Cellular Therapy Laboratory at the University of Alabama at Birmingham ("UAB") and the Dunbar CAR-T Cell Program at the University of Louisville, we plan to expand our internal manufacturing capabilities as well as potential collaborations with contract development and manufacturing organizations (“CDMOs”) as we seek a path towards registration. We will leverage our company know-how and collaborators for product delivery, logistics and capacity expansion across our parallel processes.</w:t>
      </w:r>
    </w:p>
    <w:p>
      <w:pPr>
        <w:spacing w:after="0" w:line="95" w:lineRule="exact"/>
        <w:rPr>
          <w:rFonts w:ascii="Arial" w:cs="Arial" w:eastAsia="Arial" w:hAnsi="Arial"/>
          <w:sz w:val="20"/>
          <w:szCs w:val="20"/>
          <w:color w:val="231F20"/>
        </w:rPr>
      </w:pPr>
    </w:p>
    <w:p>
      <w:pPr>
        <w:jc w:val="both"/>
        <w:ind w:left="980" w:hanging="482"/>
        <w:spacing w:after="0" w:line="245"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Independently develop and commercialize our product candidates where we believe we can maximize their value and benefit to patients. </w:t>
      </w:r>
      <w:r>
        <w:rPr>
          <w:rFonts w:ascii="Times New Roman" w:cs="Times New Roman" w:eastAsia="Times New Roman" w:hAnsi="Times New Roman"/>
          <w:sz w:val="20"/>
          <w:szCs w:val="20"/>
          <w:color w:val="231F20"/>
        </w:rPr>
        <w:t>Given the broad applicability of our DeltEx gamma-delta T cell pipeline across multiple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cancer and autoimmune indications, we plan to maximize its value by retaining development and commercialization rights to the product candidates, indications, and geographies that we believe we can commercialize successfully on our own, pending regulatory approval. We plan to collaborate on candidates that show promising utility in disease indications, patient populations or geographies that we believe would be better served by the resources, specific expertise or commercial abilities of other biopharmaceutical companies or partners.</w:t>
      </w:r>
    </w:p>
    <w:p>
      <w:pPr>
        <w:spacing w:after="0" w:line="95" w:lineRule="exact"/>
        <w:rPr>
          <w:rFonts w:ascii="Arial" w:cs="Arial" w:eastAsia="Arial" w:hAnsi="Arial"/>
          <w:sz w:val="20"/>
          <w:szCs w:val="20"/>
          <w:color w:val="231F20"/>
        </w:rPr>
      </w:pPr>
    </w:p>
    <w:p>
      <w:pPr>
        <w:jc w:val="both"/>
        <w:ind w:left="980" w:hanging="482"/>
        <w:spacing w:after="0" w:line="243"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Continue to build value through expansion and continuation of our intellectual property portfolio in relevant geographies. </w:t>
      </w:r>
      <w:r>
        <w:rPr>
          <w:rFonts w:ascii="Times New Roman" w:cs="Times New Roman" w:eastAsia="Times New Roman" w:hAnsi="Times New Roman"/>
          <w:sz w:val="20"/>
          <w:szCs w:val="20"/>
          <w:color w:val="231F20"/>
        </w:rPr>
        <w:t>As of December 31, 2025, our intellectual property portfolio consisted of 11 patent families that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broadly protect our DeltEx platform and our product candidates, both through composition of matter and method of use. Our patents and pending applications broadly cover the use of allogeneic gamma-delta T cells in HSCT, including in the treatment of AML and other cancers. Our patents also broadly cover genetic modifications to gamma-delta T cells that convey chemotherapy resistance, including our DeltEx DRI cells, and their use in multiple solid and liquid tumors. Our future product candidates could incorporate additional proprietary genetic alterations designed to make them resistant to other chemotherapies utilized to treat multiple types of solid tumor cancers. Our patents also cover the method of generating these genetically engineered cells from patients or donors and their use in multiple solid and liquid tumors. Finally, we have patent families that cover the composition of our nsCAR constructs in gamma-delta T cells, as well as our iPSC platform and gamma-delta TCE platform.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Gamma-Delta T Cells: Leveraging the Nexus of the Immune System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Rise of Cell Therapy and Subsequent Fall – Rising Again from the Ashes</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There has been significant innovation in the treatment of cancer, including novel cellular therapies, radiotherapies and TCEs. Immuno-oncology utilizes the immune system to identify and kill cancer and/or target cells. Such therapies can either prevent the tumor’s ability to suppress immune attack or to directly utilize immune cells to kill specifically targeted cells. The immune system consists of complex and highly evolved groups of cells that have the ability to target dangerous pathogens and damaged or sick tissue to keep the body safe. The system is generally comprised of two functional branches, the innate or early immune response and the adaptive or memory immune response. Gamma-delta T cells bridge between these systems and are endowed with at least two independent recognition systems to sense tumor cells and to initiate anticancer killing by recruiting and activating multiple immune cell types.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240"/>
          </w:cols>
          <w:pgMar w:left="820" w:top="750" w:right="820" w:bottom="0" w:gutter="0" w:footer="0" w:header="0"/>
          <w:type w:val="continuous"/>
        </w:sectPr>
      </w:pPr>
    </w:p>
    <w:bookmarkStart w:id="11" w:name="page12"/>
    <w:bookmarkEnd w:id="11"/>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The innate and adaptive immune responses both play critical roles in the fight against cancer. While both systems possess critical functions, the most effective tumor-killing occurs when they work in concert. As shown in Figure 2 below, gamma-delta T cells sit at the nexus of the two systems and possess a powerful combination of both innate and adaptive cell properties. They can directly kill without prior antigen priming, similar to certain innate cells, such as natural killer (“NK”) cells, but can also function to present antigen directly to drive cytokine release and to target neoantigens through antigen mediated cell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94615</wp:posOffset>
            </wp:positionV>
            <wp:extent cx="5943600" cy="3305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extLst>
                    </a:blip>
                    <a:srcRect/>
                    <a:stretch>
                      <a:fillRect/>
                    </a:stretch>
                  </pic:blipFill>
                  <pic:spPr bwMode="auto">
                    <a:xfrm>
                      <a:off x="0" y="0"/>
                      <a:ext cx="5943600" cy="330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2. Gamma-Delta T Cells: Innate and Adaptive Immune System Characteristics</w:t>
      </w:r>
    </w:p>
    <w:p>
      <w:pPr>
        <w:spacing w:after="0" w:line="124"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 xml:space="preserve">Most cell therapy approaches utilize either the adaptive immune system, such as alpha-beta T cells, or the innate immune system, such as NK cells. These approaches have demonstrated certain inherent limitations, particularly with allogeneic approaches against solid tumors, which has contributed to a severe downturn in sector-wide enthusiasm. Recent clinical data has demonstrated that the depth and durability of responses have often fallen short of initial expectations. Consequently, pharmaceutical companies have shifted their focus towards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CAR-T approaches with multiple partnerships and acquisitions occurring in recent years. These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approaches, however, remain early stage, with unproven safety and only a small number of patients having been treated. We believe that, when used appropriately, the unique properties of gamma-delta T cells suggest that their therapeutic use could overcome many of the challenges observed with alpha-beta and NK cellular therapies. Simplistically, gamma-delta T cells are a combination of both immune worlds, with the memory and persistence features of the adaptive immune cells along with the recognition, killing and safety features of the innate immune cells. To date, our clinical data across multiple trials support the potential of this approach. Allogeneic gamma-delta T cells in patients with high-risk leukemia and autologous, genetically modified gamma-delta T cells in patients with glioblastoma have both demonstrated durable, long-term progression-free remissions, with some patients exceeding four years in two very different and difficult-to-treat indications.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Inherent Limitations of Current Cell Therapy Approaches</w:t>
      </w:r>
    </w:p>
    <w:p>
      <w:pPr>
        <w:spacing w:after="0" w:line="12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A common approach in cell therapy involves the use of genetically engineered CARs on a T or NK cell that enable it to recognize a specific protein or antigen that may be present on the surface of tumor cells. The CAR bypasses the normal biology of T and NK cells, by driving their activation through the binding of the CAR-directed antigen. While effective for direct antigen recognition, the inherent heterogeneity of many tumors means that it is unlikely that any single antigen will be expressed by all tumor cells.</w:t>
      </w:r>
    </w:p>
    <w:p>
      <w:pPr>
        <w:spacing w:after="0" w:line="77"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Since 2017, the FDA has approved multiple CAR-T and cellular therapies, which have been transformative in the treatment of certain hematological cancers and are now estimated to generate over $6 to 7 billion in annual sales in 2026. Of late, as we have moved into more complex and difficult-to-treat cancers, multiple cell therapy products in development have succumbed to significant toxicities and/or failed to demonstrate robust and durable tumor remissions. This general lack of efficacy in certain tumors underscores the limited therapeutic window and inherent challenges of CAR-T approaches. Many of</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240"/>
          </w:cols>
          <w:pgMar w:left="820" w:top="750" w:right="820" w:bottom="0" w:gutter="0" w:footer="0" w:header="0"/>
          <w:type w:val="continuous"/>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20"/>
          <w:szCs w:val="20"/>
          <w:color w:val="231F20"/>
        </w:rPr>
        <w:t>the limitations of CAR-T cell therapies are related to the fundamental dynamics of complex, heterogeneous tumors and T cell biology. This includes (i) the potential inability to effectively target the entire tumor using a single antigen CAR due to tumor heterogeneity, (ii) the potential inability to effectively penetrate the tumor microenvironment ("TME"), due to physical barriers such as tumor bulk, (iii) the lack of tumor antigens, which are ubiquitously and uniquely expressed on tumor cells resulting in off-tumor toxicities, (iv) potential limited T cell function due to the immunosuppressive TME, including regulatory T cells ("Tregs"), and other immune-suppressive cells, (v) limited ability to efficiently deliver cells directly to the tumor site to generate a high effector to target ("E:T") ratio, (vi) the rapid immune rejection of human leukocyte antigen (“HLA”) mismatched, allogeneic cells and (vii) the inability to combine with effective chemotherapeutic regimens due to the chemosensitivity of immune cells. Additional challenges that have potentially hampered widespread adoption of existing CAR-T technologies include scalability, safety and cost.</w:t>
      </w:r>
    </w:p>
    <w:p>
      <w:pPr>
        <w:spacing w:after="0" w:line="82"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recent years, multiple programs have also attempted to leverage natural killer CAR based therapies ("CAR-NK") to amplify the innate immune response to cancer with limited success. NK cells are innate immune cells that possess the ability to detect and kill cancer cells by recognizing common antigens without highly selective adapted receptors towards specific antigens. Their cytotoxicity is mainly dependent on the balance between activating and inhibitory signals, such as killer cell immunoglobulin-like receptors ("KIRs"), which can be overcome with the addition of CARs to allow for their use in cell therapy. CAR-NKs are attractive over alpha-beta CARs for two primary reasons: (i) CAR-NKs do not express the cytokine IL-6, one of the major drivers of CRS, which can lead to substantial morbidity and mortality with traditional immune CAR-T therapies; and (ii) CAR-NKs are not major histocompatibility complex ("MHC"), restricted and can be infused from a donor to a patient without complex and expensive genetic engineering to prevent graft versus host disease ("GvHD").</w:t>
      </w:r>
    </w:p>
    <w:p>
      <w:pPr>
        <w:spacing w:after="0" w:line="86"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 xml:space="preserve">Despite these advantages, the development of CAR-NKs has faced several key challenges — in particular, manufacturing difficulties and limited scalability, their sensitivity to cryopreservation leading to a loss of viability and cytotoxicity, a limited ability to efficiently introduce genetic modifications, and lower cell persistence. Importantly, against solid tumors, the addition of a CAR to overcome KIR inhibition in an NK cell overrides their endogenous ability to target multiple receptors and results in a single antigen targeting CAR with the same limitation towards relapse due to tumor heterogeneity and ultimately antigen escape as a traditional CAR-T. In recent years, CAR-NK and allogeneic CAR-T cell clinical data proved to be disappointing due to the lack of deep and durable tumor responses. This is often due to a lack of persistence of allogeneic cellular therapies where reconstitution of the hosts immune system, specifically the NK cells, following transient lymphodepletion results in rapid elimination of the allogeneic therapy in a process known as host-vs-graft. Further, data published in the </w:t>
      </w:r>
      <w:r>
        <w:rPr>
          <w:rFonts w:ascii="Times New Roman" w:cs="Times New Roman" w:eastAsia="Times New Roman" w:hAnsi="Times New Roman"/>
          <w:sz w:val="20"/>
          <w:szCs w:val="20"/>
          <w:i w:val="1"/>
          <w:iCs w:val="1"/>
          <w:color w:val="231F20"/>
        </w:rPr>
        <w:t>Journal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Translational Medicine </w:t>
      </w:r>
      <w:r>
        <w:rPr>
          <w:rFonts w:ascii="Times New Roman" w:cs="Times New Roman" w:eastAsia="Times New Roman" w:hAnsi="Times New Roman"/>
          <w:sz w:val="20"/>
          <w:szCs w:val="20"/>
          <w:color w:val="231F20"/>
        </w:rPr>
        <w:t>in early 2024 demonstrated that NK cells that enter the solid tumor microenvironment can be rapidly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reprogramed into dysfunctional tissue resident cells that lack effector function and anti-tumor activity. These observations have resulted in significant pipeline changes and the termination of most oncology programs by major biotechnology and pharmaceutical companies developing CAR-T, CAR-NK or even iNK cell therapies over the past few years.</w:t>
      </w:r>
    </w:p>
    <w:p>
      <w:pPr>
        <w:spacing w:after="0" w:line="83"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inherent and engineered limitations of these therapies, particularly in the solid tumor setting, creates substantial opportunity for improved and differentiated cell therapies for cancer and autoimmune disease .</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240"/>
          </w:cols>
          <w:pgMar w:left="820" w:top="750" w:right="82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231F20"/>
        </w:rPr>
        <w:t>Why Gamma-Delta T Cells?</w:t>
      </w:r>
    </w:p>
    <w:p>
      <w:pPr>
        <w:spacing w:after="0" w:line="12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 xml:space="preserve">Gamma-delta T cells are a unique subset of immune cells that sit at the nexus of the innate and adaptive immune systems and possess properties of both, performing diverse immune functions including protection against tumors. This combination of features conveys functional abilities that make them ideally suited for use in cell therapy against cancer. They typically account for up to 10% of T cells but can undergo rapid activation and expansion in response to diseased or damaged tissue. As gamma-delta T cells bridge between the innate and adaptive immune response, they are thought to have greater persistence than NK cells. Our own histopathological data from the INB-200 clinical trial has repeatedly demonstrated both an increase in the number of gamma-delta T cells and their continued presence in the TME, following infusion(s) of our DeltEx DRI modified gamma-delta T cells. The University of Pennsylvania published data in the journal Nature in February 2022 that demonstrated decade-long leukemia remissions in two patients with chronic lymphocytic leukemia. The data showed persistence of highly activated CD4+ CAR-T cells including a large population of gamma-delta CAR-T cells that prominently expanded in one patient along with CD8+ CAR T cells. Surprising data from our own INB-100 program in leukemia patients undergoing HSCT had demonstrated for the first time the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expansion and long-term persistence of allogeneic gamma-delta T cells for as long as 365 days.</w:t>
      </w:r>
    </w:p>
    <w:p>
      <w:pPr>
        <w:spacing w:after="0" w:line="83"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Gamma -delta T cells are multifunctional with a complex receptor repertoire including the semi-invariant TCR which allows them to distinguish between healthy and diseased or stressed tissue. This distinct mode of antigen recognition is a critical feature that distinguishes them from not only alpha-beta T cells but also B cells and NK cells. Gamma-delta T cells can kill effectively, both by direct cellular killing as well as the recruitment of additional immune cell types to induce killing. Importantly, gamma-delta T cells can kill in situations where other immune cells cannot, such as alpha-beta T cells through the downregulation of MHC expression or NK cells through inhibition by matched KIR.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6486525" cy="3324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6486525" cy="332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3. “Nature’s CAR-T Cell”</w:t>
      </w:r>
    </w:p>
    <w:p>
      <w:pPr>
        <w:spacing w:after="0" w:line="12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Gamma-delta T cells have been referred to as “Nature’s CAR-T cells” because their complex antigen recognition allows them to naturally and effectively target and eliminate diseased tissues, such as tumor tissue. As shown in Figure 3, their diverse receptor repertoire may enable them to recognize and target the array of heterogeneous antigens expressed by solid tumors, which has been a significant challenge to existing single-antigen targeting CAR technologies using NK and alpha-beta T cells.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240"/>
          </w:cols>
          <w:pgMar w:left="820" w:top="750" w:right="820" w:bottom="0" w:gutter="0" w:footer="0" w:header="0"/>
          <w:type w:val="continuous"/>
        </w:sectPr>
      </w:pPr>
    </w:p>
    <w:bookmarkStart w:id="14" w:name="page15"/>
    <w:bookmarkEnd w:id="14"/>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Gamma -delta T cells also have the inherent ability to recognize a broad array of cellular stress signals, leading to both direct tumor cell killing as well as activation of a multifaceted immune response. Gamma-delta T cells have been observed to directly recognize and respond to a variety of MHC -like stress- induced self-antigens expressed by malignant cells without previously having the antigen presented, similar to NK cells. This recognition of stress antigens is achieved through a combination of gamma-delta TCRs, natural killer receptors ("NKRs"), such as NKG2D, DNAM-1, and toll-like receptors ("TLRs"). This diversity of receptors is central to gamma-delta T cells’ ability to identify healthy versus diseased tissue and may also contribute to their ability to effectively target cells, such as tumor cells with high variability and/or heterogeneity, thereby reducing antigen escape as shown in Figure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96520</wp:posOffset>
            </wp:positionV>
            <wp:extent cx="6257925" cy="2714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6257925"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231F20"/>
        </w:rPr>
        <w:t>Figure 4. Innate Immune Cell Receptors of Gamma-Delta T Cells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The following highlights key potential advantages of gamma-delta T cells in comparison to other cell therapies for cancer:</w:t>
      </w:r>
    </w:p>
    <w:p>
      <w:pPr>
        <w:spacing w:after="0" w:line="134" w:lineRule="exact"/>
        <w:rPr>
          <w:sz w:val="20"/>
          <w:szCs w:val="20"/>
          <w:color w:val="auto"/>
        </w:rPr>
      </w:pPr>
    </w:p>
    <w:p>
      <w:pPr>
        <w:jc w:val="both"/>
        <w:ind w:left="980" w:hanging="482"/>
        <w:spacing w:after="0" w:line="258"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Differentiate between healthy and cancer cells</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By using a combination of signaling receptors, including gamma-delta TCR, NKG2D, DNAM-1, and TLR, among others, gamma-delta T cells can safely distinguish between safe and dangerous tissues, such as cancerous tissues, within the body.</w:t>
      </w:r>
    </w:p>
    <w:p>
      <w:pPr>
        <w:spacing w:after="0" w:line="81" w:lineRule="exact"/>
        <w:rPr>
          <w:rFonts w:ascii="Arial" w:cs="Arial" w:eastAsia="Arial" w:hAnsi="Arial"/>
          <w:sz w:val="20"/>
          <w:szCs w:val="20"/>
          <w:color w:val="231F20"/>
        </w:rPr>
      </w:pPr>
    </w:p>
    <w:p>
      <w:pPr>
        <w:jc w:val="both"/>
        <w:ind w:left="980" w:hanging="482"/>
        <w:spacing w:after="0" w:line="252"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Broad tumor recognition overcomes surface antigen heterogeneity</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tumor contains cells that express a</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variety of antigen targets at different levels of expression. The complex and polyclonal binding abilities of gamma-delta TCR and NKG2D receptor allow them to broadly target diseased tissue and cover the heterogeneity of the tumor.</w:t>
      </w:r>
    </w:p>
    <w:p>
      <w:pPr>
        <w:spacing w:after="0" w:line="87" w:lineRule="exact"/>
        <w:rPr>
          <w:rFonts w:ascii="Arial" w:cs="Arial" w:eastAsia="Arial" w:hAnsi="Arial"/>
          <w:sz w:val="20"/>
          <w:szCs w:val="20"/>
          <w:color w:val="231F20"/>
        </w:rPr>
      </w:pPr>
    </w:p>
    <w:p>
      <w:pPr>
        <w:jc w:val="both"/>
        <w:ind w:left="980" w:hanging="482"/>
        <w:spacing w:after="0" w:line="24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Recruit and activate additional immune effector cells</w:t>
      </w:r>
      <w:r>
        <w:rPr>
          <w:rFonts w:ascii="Times New Roman" w:cs="Times New Roman" w:eastAsia="Times New Roman" w:hAnsi="Times New Roman"/>
          <w:sz w:val="20"/>
          <w:szCs w:val="20"/>
          <w:color w:val="231F20"/>
        </w:rPr>
        <w:t>. Gamma-delta T cells broaden the immune response both</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through secretion of effector cytokines and chemokines that recruit and stimulate immune cells at the tumor. Gamma-delta T cells can elicit dendritic cell ("DC") maturation by conveying danger associated molecular patterns ("DAMPs"), and pathogen associated molecular patterns ("PAMPs") to such cells. Certain subtypes of gamma-delta T cells also function directly as professional antigen presenting cells ("APCs"), that activate and instruct alpha-beta T cells, similar to other innate immune cells like DCs, in order to elicit a potent and selective adaptive immune response.</w:t>
      </w:r>
    </w:p>
    <w:p>
      <w:pPr>
        <w:spacing w:after="0" w:line="93" w:lineRule="exact"/>
        <w:rPr>
          <w:rFonts w:ascii="Arial" w:cs="Arial" w:eastAsia="Arial" w:hAnsi="Arial"/>
          <w:sz w:val="20"/>
          <w:szCs w:val="20"/>
          <w:color w:val="231F20"/>
        </w:rPr>
      </w:pPr>
    </w:p>
    <w:p>
      <w:pPr>
        <w:jc w:val="both"/>
        <w:ind w:left="980" w:hanging="482"/>
        <w:spacing w:after="0" w:line="252"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Safety advantages over other cell therapies</w:t>
      </w:r>
      <w:r>
        <w:rPr>
          <w:rFonts w:ascii="Times New Roman" w:cs="Times New Roman" w:eastAsia="Times New Roman" w:hAnsi="Times New Roman"/>
          <w:sz w:val="20"/>
          <w:szCs w:val="20"/>
          <w:color w:val="231F20"/>
        </w:rPr>
        <w:t>. Gamma-delta T cells do not recognize allogeneic MHC restricted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antigens and thereby can be obtained from a partially matched or even unmatched donor, which may allow these cells to be used "off-the-shelf". Gamma-delta T cells also do not significantly secrete IL-6 or TNF-alpha (“TNF-a”) drivers of CRS, which has been a fatal complication in CAR-T and CD3 TCEs in acute leukemias.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240"/>
          </w:cols>
          <w:pgMar w:left="820" w:top="750" w:right="82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231F20"/>
        </w:rPr>
        <w:t>How Gamma-Delta T Cells Kill</w:t>
      </w:r>
    </w:p>
    <w:p>
      <w:pPr>
        <w:spacing w:after="0" w:line="12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biology of gamma-delta T cells is complex, with multiple mechanistic approaches to effectively recognize, target and directly kill tumor cells, as shown in Figure 5 below. This allows them to drive towards deeper immune responses through immune cell recruitment and activation, cytokine release and antigen presentation:</w:t>
      </w:r>
    </w:p>
    <w:p>
      <w:pPr>
        <w:spacing w:after="0" w:line="83" w:lineRule="exact"/>
        <w:rPr>
          <w:sz w:val="20"/>
          <w:szCs w:val="20"/>
          <w:color w:val="auto"/>
        </w:rPr>
      </w:pPr>
    </w:p>
    <w:p>
      <w:pPr>
        <w:jc w:val="both"/>
        <w:ind w:left="980" w:hanging="482"/>
        <w:spacing w:after="0" w:line="252"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Induction of cellular apoptosis</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Fas ligand ("CD95L") and tumor necrosis factor-related apoptosis-inducing ligand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("TRAIL") are both well-known triggers of cell death. These proteins are expressed on gamma-delta T cells, which allows them to engage the death receptors on target cells, leading to the direct destruction of cancer and/or targeted cells.</w:t>
      </w:r>
    </w:p>
    <w:p>
      <w:pPr>
        <w:spacing w:after="0" w:line="87"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Secretion of cell-killing enzymes and proteins</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Gamma-delta T cells secrete granzymes, cell killing enzymes, that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are typical of killer cells and cytotoxic T cells, and perforin, a protein that opens a hole in the target cell, allowing for the entry of granzymes. This can lead to apoptosis, or programmed cell death, in the same manner as NK cells.</w:t>
      </w:r>
    </w:p>
    <w:p>
      <w:pPr>
        <w:spacing w:after="0" w:line="81" w:lineRule="exact"/>
        <w:rPr>
          <w:rFonts w:ascii="Arial" w:cs="Arial" w:eastAsia="Arial" w:hAnsi="Arial"/>
          <w:sz w:val="20"/>
          <w:szCs w:val="20"/>
          <w:color w:val="231F20"/>
        </w:rPr>
      </w:pPr>
    </w:p>
    <w:p>
      <w:pPr>
        <w:jc w:val="both"/>
        <w:ind w:left="980" w:hanging="482"/>
        <w:spacing w:after="0" w:line="249"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Antibody-dependent cellular cytotoxicity</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Antibody-dependent cellular cytotoxicity ("ADCC"), is cell-mediated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cell killing, an efficient killing mechanism employed by the immune system. ADCC is triggered by the recognition of tumor-targeting antibodies through the CD16 expressed on gamma-delta T cells, similar to NK cells. This mechanism could allow the combination of gamma-delta T cell therapy with FDA-approved monoclonal antibody therapeutics, such as Rituxan, designed to enhance the effect of the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280035</wp:posOffset>
            </wp:positionV>
            <wp:extent cx="5400675" cy="3228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5400675" cy="322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5. Multiple Cell-Killing Mechanisms of Activated Gamma-Delta T Cells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240"/>
          </w:cols>
          <w:pgMar w:left="820" w:top="750" w:right="82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231F20"/>
        </w:rPr>
        <w:t>Opportunities for Gamma-Delta T Cells in Cancer</w:t>
      </w:r>
    </w:p>
    <w:p>
      <w:pPr>
        <w:spacing w:after="0" w:line="12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 xml:space="preserve">The therapeutic potential of gamma-delta T cells is supported by observations over 30 years demonstrating a significant clinical correlation between naturally occurring high levels of gamma-delta T cells and better survival outcomes in both hematologic and solid tumor cancers. Our scientific founder and Chief Scientific Officer, Dr. Lamb, was the first person to report an association between high levels of gamma-delta T cells and improved survival in leukemia patients undergoing allogeneic HSCT. His work, published in </w:t>
      </w:r>
      <w:r>
        <w:rPr>
          <w:rFonts w:ascii="Times New Roman" w:cs="Times New Roman" w:eastAsia="Times New Roman" w:hAnsi="Times New Roman"/>
          <w:sz w:val="20"/>
          <w:szCs w:val="20"/>
          <w:i w:val="1"/>
          <w:iCs w:val="1"/>
          <w:color w:val="231F20"/>
        </w:rPr>
        <w:t>J. Hematotherapy</w:t>
      </w:r>
      <w:r>
        <w:rPr>
          <w:rFonts w:ascii="Times New Roman" w:cs="Times New Roman" w:eastAsia="Times New Roman" w:hAnsi="Times New Roman"/>
          <w:sz w:val="20"/>
          <w:szCs w:val="20"/>
          <w:color w:val="231F20"/>
        </w:rPr>
        <w:t xml:space="preserve"> in 1996, and expanded on in a publication in </w:t>
      </w:r>
      <w:r>
        <w:rPr>
          <w:rFonts w:ascii="Times New Roman" w:cs="Times New Roman" w:eastAsia="Times New Roman" w:hAnsi="Times New Roman"/>
          <w:sz w:val="20"/>
          <w:szCs w:val="20"/>
          <w:i w:val="1"/>
          <w:iCs w:val="1"/>
          <w:color w:val="231F20"/>
        </w:rPr>
        <w:t>Cytotherapy</w:t>
      </w:r>
      <w:r>
        <w:rPr>
          <w:rFonts w:ascii="Times New Roman" w:cs="Times New Roman" w:eastAsia="Times New Roman" w:hAnsi="Times New Roman"/>
          <w:sz w:val="20"/>
          <w:szCs w:val="20"/>
          <w:color w:val="231F20"/>
        </w:rPr>
        <w:t xml:space="preserve"> in 1999, found that the disease-free survival rate of HSCT patients who received T cell depleted ("TCD"), grafts from a partially matched donor increased in those with high levels of gamma-delta T cells. These findings have been supported by reported studies from other scientists. In 2007, Dr. Lamb and his collaborators found that the association between post-transplant gamma-delta T cells and survival as depicted in Figure 6 below, extended to at least seven years, and that 71% of patients with high levels of gamma-delta T cells survived up to seven years compared to 20% of patients with low levels of gamma-delta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100965</wp:posOffset>
            </wp:positionV>
            <wp:extent cx="4895850" cy="3009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489585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231F20"/>
        </w:rPr>
        <w:t>Figure 6. Correlation of Naturally Occurring Gamma</w:t>
      </w:r>
      <w:r>
        <w:rPr>
          <w:rFonts w:ascii="MS Gothic" w:cs="MS Gothic" w:eastAsia="MS Gothic" w:hAnsi="MS Gothic"/>
          <w:sz w:val="20"/>
          <w:szCs w:val="20"/>
          <w:b w:val="1"/>
          <w:bCs w:val="1"/>
          <w:color w:val="231F20"/>
        </w:rPr>
        <w:t>‑</w:t>
      </w:r>
      <w:r>
        <w:rPr>
          <w:rFonts w:ascii="Times New Roman" w:cs="Times New Roman" w:eastAsia="Times New Roman" w:hAnsi="Times New Roman"/>
          <w:sz w:val="20"/>
          <w:szCs w:val="20"/>
          <w:b w:val="1"/>
          <w:bCs w:val="1"/>
          <w:color w:val="231F20"/>
        </w:rPr>
        <w:t>Delta T cells and Long</w:t>
      </w:r>
      <w:r>
        <w:rPr>
          <w:rFonts w:ascii="MS Gothic" w:cs="MS Gothic" w:eastAsia="MS Gothic" w:hAnsi="MS Gothic"/>
          <w:sz w:val="20"/>
          <w:szCs w:val="20"/>
          <w:b w:val="1"/>
          <w:bCs w:val="1"/>
          <w:color w:val="231F20"/>
        </w:rPr>
        <w:t>‑</w:t>
      </w:r>
      <w:r>
        <w:rPr>
          <w:rFonts w:ascii="Times New Roman" w:cs="Times New Roman" w:eastAsia="Times New Roman" w:hAnsi="Times New Roman"/>
          <w:sz w:val="20"/>
          <w:szCs w:val="20"/>
          <w:b w:val="1"/>
          <w:bCs w:val="1"/>
          <w:color w:val="231F20"/>
        </w:rPr>
        <w:t>Term Survival in Leukemia</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240"/>
          </w:cols>
          <w:pgMar w:left="820" w:top="750" w:right="820" w:bottom="0" w:gutter="0" w:footer="0" w:header="0"/>
          <w:type w:val="continuous"/>
        </w:sectPr>
      </w:pPr>
    </w:p>
    <w:bookmarkStart w:id="17" w:name="page18"/>
    <w:bookmarkEnd w:id="17"/>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A Stanford University analysis of tumor-infiltrating immune cells in approximately 18,000 human tumor samples found that among all the subtypes of immune cells analyzed, the presence of gamma-delta T cells as tumor infiltrating lymphocytes ("TILs"), was the most highly correlated with overall survival, as shown in Figure 7 below. Patients with solid tumors containing gamma-delta T cells were significantly more likely to improve and potentially survive than those without gamma-delta T cells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141605</wp:posOffset>
            </wp:positionV>
            <wp:extent cx="5362575" cy="4057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5362575" cy="405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7. Prognostic Association of Tumor Infiltrating Lymphocytes and Survival Outcomes</w:t>
      </w:r>
    </w:p>
    <w:p>
      <w:pPr>
        <w:spacing w:after="0" w:line="119"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 xml:space="preserve">More recent studies continue to support these historical observations correlating gamma-delta T cell levels with improved patient outcomes, even when the primary therapy is another modality such as checkpoint inhibitors or CAR-T therapy. In 2024, a paper published in </w:t>
      </w:r>
      <w:r>
        <w:rPr>
          <w:rFonts w:ascii="Times New Roman" w:cs="Times New Roman" w:eastAsia="Times New Roman" w:hAnsi="Times New Roman"/>
          <w:sz w:val="20"/>
          <w:szCs w:val="20"/>
          <w:i w:val="1"/>
          <w:iCs w:val="1"/>
          <w:color w:val="231F20"/>
        </w:rPr>
        <w:t>Nature Cancer</w:t>
      </w:r>
      <w:r>
        <w:rPr>
          <w:rFonts w:ascii="Times New Roman" w:cs="Times New Roman" w:eastAsia="Times New Roman" w:hAnsi="Times New Roman"/>
          <w:sz w:val="20"/>
          <w:szCs w:val="20"/>
          <w:color w:val="231F20"/>
        </w:rPr>
        <w:t xml:space="preserve"> demonstrated that gamma-delta T cells were associated with better responses in melanoma patients being treated with immune checkpoint inhibitors, especially in those patients that had low neoantigen levels. This is contrary to conventional dogma whereby checkpoint inhibitors are thought to have greater efficacy in those cancers with high neoantigen load and mutational burden. The authors postulate that gamma-delta T cells are probably an important constituent of tumor-infiltrating lymphocyte populations, allowing surveillance of tumors and are associated with a better prognosis. In a separate study published in </w:t>
      </w:r>
      <w:r>
        <w:rPr>
          <w:rFonts w:ascii="Times New Roman" w:cs="Times New Roman" w:eastAsia="Times New Roman" w:hAnsi="Times New Roman"/>
          <w:sz w:val="20"/>
          <w:szCs w:val="20"/>
          <w:i w:val="1"/>
          <w:iCs w:val="1"/>
          <w:color w:val="231F20"/>
        </w:rPr>
        <w:t>Cell Reports Medicine</w:t>
      </w:r>
      <w:r>
        <w:rPr>
          <w:rFonts w:ascii="Times New Roman" w:cs="Times New Roman" w:eastAsia="Times New Roman" w:hAnsi="Times New Roman"/>
          <w:sz w:val="20"/>
          <w:szCs w:val="20"/>
          <w:color w:val="231F20"/>
        </w:rPr>
        <w:t xml:space="preserve">, the authors utilized single-cell analysis to examine cellular dynamics in patients treated with CD19 CAR-T cells. It was validated that CAR+ gamma-delta T cell expansion is correlated with treatment efficacy in both B-ALL and DLBCL. The authors noted that two patients who experienced a “massive”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expansion of CAR+ gamma-delta T cells had a more sustained clinical response and that these trends were also observed for CAR- gamma-delta T cells.</w:t>
      </w:r>
    </w:p>
    <w:p>
      <w:pPr>
        <w:spacing w:after="0" w:line="88"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231F20"/>
        </w:rPr>
        <w:t xml:space="preserve">While gamma-delta T cells have demonstrated clinical association with specific tumor responses, there have been significant hurdles to developing them as cell therapies and TCEs, particularly for solid tumors. Gamma-delta T cells comprise less than 10% of all lymphocytes found in the body, and as such have been challenging to manufacture or target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or in the body, in quantities sufficient to meet the significant levels generally required for efficacious therapies. In addition, as cancer progresses, the levels of gamma-delta T cells are further reduced, making it challenging to engage them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Finally, gamma-delta T cells are critical in identifying stress antigens on diseased tissue, such as tumor cells. These signals can be dramatically upregulated by chemotherapy, which stresses both the chemotherapy-sensitive and chemotherapy-resistant tumor cells, making them readily identifiable by gamma-delta T cells. Chemotherapy can both kill the immuno-suppressive cells and induce tumor cell death to “de-bulk” the tumor. This opens the TME to effector cells, such as gamma-delta T cells. However, chemotherapy also depletes and damages immune cells, including gamma-delta T cells, limiting their ability to seek and kill tumor cells.</w:t>
      </w:r>
    </w:p>
    <w:p>
      <w:pPr>
        <w:sectPr>
          <w:pgSz w:w="11880" w:h="15480" w:orient="portrait"/>
          <w:cols w:equalWidth="0" w:num="1">
            <w:col w:w="10240"/>
          </w:cols>
          <w:pgMar w:left="820" w:top="746" w:right="820" w:bottom="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240"/>
          </w:cols>
          <w:pgMar w:left="820" w:top="746" w:right="82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231F20"/>
        </w:rPr>
        <w:t>Preclinical Studies Have Demonstrated a Role for Gamma-Delta T Cells in Cancer</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The clinical observations described above are supported by a broad base of preclinical research. Gamma-delta T cells have been shown to play a significant role in tumor immunosurveillance. Preclinical studies have demonstrated that genetically engineered mice deficient in gamma-delta T cells were highly susceptible to carcinogen-induced skin cancers. Similarly, prostate cancer growth was accelerated in mice deficient for gamma-delta T cells compared to fully immunocompetent mice. Gamma-delta T cells have been detected in a variety of human tumor types, including GBM, neuroblastoma and lung cancer, demonstrating that gamma-delta T cells infiltrated such solid tumors and thus may have an important correlation with anti-cancer activity. Prior data, including our own unpublished studies, have indicated that levels of gamma-delta T cells were diminished as cancer progresses and were depleted in end-stage disease.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Approach</w:t>
      </w:r>
    </w:p>
    <w:p>
      <w:pPr>
        <w:spacing w:after="0" w:line="124"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 xml:space="preserve">We develop gamma-delta T cell therapies based upon our deep expertise in gamma-delta T cell biology, proprietary genetic engineering, and cell-type specific manufacturing capabilities, which we refer to collectively as our DeltEx platform. Our platform is designed to overcome many of the challenges associated with expansion, genetic engineering, scalable manufacturing and targeting of gamma-delta T cells. This allows us to expand the cells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to administer a potentially therapeutic dose to patients, harnessing the unique properties of gamma-delta T cells, including their ability to broadly recognize cellular stress signals on tumor cells. DeltEx has enabled our deep pipeline of innovative allogeneic, autologous, iPSC, genetically modified product candidates, and/or TCEs that are designed to effectively target and potentially eradicate disease to improve patient outcomes. Key elements of our platform include:</w:t>
      </w:r>
    </w:p>
    <w:p>
      <w:pPr>
        <w:spacing w:after="0" w:line="96" w:lineRule="exact"/>
        <w:rPr>
          <w:sz w:val="20"/>
          <w:szCs w:val="20"/>
          <w:color w:val="auto"/>
        </w:rPr>
      </w:pPr>
    </w:p>
    <w:p>
      <w:pPr>
        <w:jc w:val="both"/>
        <w:ind w:left="980" w:hanging="482"/>
        <w:spacing w:after="0" w:line="244"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Expertise in ex vivo-expanded activated gamma-delta T cells. </w:t>
      </w:r>
      <w:r>
        <w:rPr>
          <w:rFonts w:ascii="Times New Roman" w:cs="Times New Roman" w:eastAsia="Times New Roman" w:hAnsi="Times New Roman"/>
          <w:sz w:val="20"/>
          <w:szCs w:val="20"/>
          <w:color w:val="231F20"/>
        </w:rPr>
        <w:t>Gamma-delta T cells, while critical to immune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function and disease response, account for only a small percentage of our immune cells. Our approach leverages our scientific expertise in gamma-delta T cell biology to perform precise cell-type specific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expansion. This enables us to take peripheral blood from the patient and selectively expand the low numbers of gamma-delta T cells to generate a sufficient dose for treatment of solid tumors. Our expertise allows us to expand the desired subtypes of the gamma-delta T cell population, perform specific genetic modifications, and complete a quality review of these cells before returning precisely controlled doses to patients. This precision, control and quality provides significant advantages and we believe it uniquely enables us to potentially develop therapeutic cellular therapy candidates at scale.</w:t>
      </w:r>
    </w:p>
    <w:p>
      <w:pPr>
        <w:spacing w:after="0" w:line="99" w:lineRule="exact"/>
        <w:rPr>
          <w:rFonts w:ascii="Arial" w:cs="Arial" w:eastAsia="Arial" w:hAnsi="Arial"/>
          <w:sz w:val="20"/>
          <w:szCs w:val="20"/>
          <w:color w:val="231F20"/>
        </w:rPr>
      </w:pPr>
    </w:p>
    <w:p>
      <w:pPr>
        <w:jc w:val="both"/>
        <w:ind w:left="980" w:hanging="482"/>
        <w:spacing w:after="0" w:line="244"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Intelligent gamma-delta T cell genetic engineering. </w:t>
      </w:r>
      <w:r>
        <w:rPr>
          <w:rFonts w:ascii="Times New Roman" w:cs="Times New Roman" w:eastAsia="Times New Roman" w:hAnsi="Times New Roman"/>
          <w:sz w:val="20"/>
          <w:szCs w:val="20"/>
          <w:color w:val="231F20"/>
        </w:rPr>
        <w:t>We have developed proprietary methods of engineering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gamma-delta T cells that are designed to take advantage of their inherent biology. Our engineering is designed to increase their ability to survive chemotherapy or to identify cancer cells while maintaining their natural ability to broadly recognize, engage and kill these cells while preserving healthy tissue. This enables the cells to be delivered concurrently with chemotherapies that activate the DNA damage response ("DDR"), pathway to generate an immune signal that should be expressed on all cells throughout the tumor and recognized by gamma-delta T cells. This intelligent engineering is broadly applicable across multiple solid tumor indications. Our approaches have overcome the historical problems in genetically modifying gamma-delta T cells, and we were the first company to advance a Phase 1 clinical trial using genetically modified gamma-delta T cells. To date, we believe our data in newly diagnosed GBM is among the most significant for a cellular therapy in the solid tumor setting.</w:t>
      </w:r>
    </w:p>
    <w:p>
      <w:pPr>
        <w:spacing w:after="0" w:line="95" w:lineRule="exact"/>
        <w:rPr>
          <w:rFonts w:ascii="Arial" w:cs="Arial" w:eastAsia="Arial" w:hAnsi="Arial"/>
          <w:sz w:val="20"/>
          <w:szCs w:val="20"/>
          <w:color w:val="231F20"/>
        </w:rPr>
      </w:pPr>
    </w:p>
    <w:p>
      <w:pPr>
        <w:jc w:val="both"/>
        <w:ind w:left="980" w:hanging="482"/>
        <w:spacing w:after="0" w:line="243"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Next generation gamma-delta T cell manufacturing</w:t>
      </w:r>
      <w:r>
        <w:rPr>
          <w:rFonts w:ascii="Times New Roman" w:cs="Times New Roman" w:eastAsia="Times New Roman" w:hAnsi="Times New Roman"/>
          <w:sz w:val="20"/>
          <w:szCs w:val="20"/>
          <w:color w:val="231F20"/>
        </w:rPr>
        <w:t>. We have devoted significant time and resources to process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development and manufacturing to improve the quality and reproducibility of our processes. Through our intellectual property and scientific know-how, we have designed and implemented a manufacturing process, including proprietary programs, which is designed to be reliable and scalable. We have automated our manufacturing processes, which are currently operating at clinical scale, in systems designed to minimize touchpoints and potential contamination and increase throughput. Our cell-type specific manufacturing platform is designed to support rapid development of our DeltEx product candidates through clinical trials and the regulatory approval process. Our manufacturing allows us to scale, while maintaining quality controls, which would be challenging with manual lab-scale processes. We have optimized transduction and cell expansion in processes we believe can be rapidly scaled for commercial supply in a controlled environment at a reasonable cost, if any of our product candidates are successfully developed and approved by the FDA. We have also demonstrated successful cryopreservation and delivery of our thawed product candidates to patients in our clinical trials, while maintaining cell viability and functionality.</w:t>
      </w:r>
    </w:p>
    <w:p>
      <w:pPr>
        <w:spacing w:after="0" w:line="96" w:lineRule="exact"/>
        <w:rPr>
          <w:rFonts w:ascii="Arial" w:cs="Arial" w:eastAsia="Arial" w:hAnsi="Arial"/>
          <w:sz w:val="20"/>
          <w:szCs w:val="20"/>
          <w:color w:val="231F20"/>
        </w:rPr>
      </w:pPr>
    </w:p>
    <w:p>
      <w:pPr>
        <w:jc w:val="both"/>
        <w:ind w:left="980" w:hanging="482"/>
        <w:spacing w:after="0" w:line="249"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Unique T cell engager properties. </w:t>
      </w:r>
      <w:r>
        <w:rPr>
          <w:rFonts w:ascii="Times New Roman" w:cs="Times New Roman" w:eastAsia="Times New Roman" w:hAnsi="Times New Roman"/>
          <w:sz w:val="20"/>
          <w:szCs w:val="20"/>
          <w:color w:val="231F20"/>
        </w:rPr>
        <w:t>We have developed a unique gamma-delta T cell-based TCE that possesses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properties that, to our knowledge, have not previously been demonstrated. Our TCE technology is a pan-gamma-delta TCE that engages and expands both the Vd1+ and Vd2+ TCR populations. The unique properties of these cells may enable deeper therapeutic responses with a potentially improved safety profile. Specifically, gamma-delta T cells secrete lower amounts of cytokines such as IL-6 and TNF-a, which may reduce the incidence of CRS,</w:t>
      </w:r>
    </w:p>
    <w:p>
      <w:pPr>
        <w:sectPr>
          <w:pgSz w:w="11880" w:h="15480" w:orient="portrait"/>
          <w:cols w:equalWidth="0" w:num="1">
            <w:col w:w="10240"/>
          </w:cols>
          <w:pgMar w:left="820" w:top="750" w:right="820" w:bottom="0"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240"/>
          </w:cols>
          <w:pgMar w:left="820" w:top="750" w:right="820" w:bottom="0" w:gutter="0" w:footer="0" w:header="0"/>
          <w:type w:val="continuous"/>
        </w:sectPr>
      </w:pPr>
    </w:p>
    <w:bookmarkStart w:id="19" w:name="page20"/>
    <w:bookmarkEnd w:id="19"/>
    <w:p>
      <w:pPr>
        <w:jc w:val="both"/>
        <w:ind w:left="980"/>
        <w:spacing w:after="0" w:line="249" w:lineRule="auto"/>
        <w:rPr>
          <w:sz w:val="20"/>
          <w:szCs w:val="20"/>
          <w:color w:val="auto"/>
        </w:rPr>
      </w:pPr>
      <w:r>
        <w:rPr>
          <w:rFonts w:ascii="Times New Roman" w:cs="Times New Roman" w:eastAsia="Times New Roman" w:hAnsi="Times New Roman"/>
          <w:sz w:val="20"/>
          <w:szCs w:val="20"/>
          <w:color w:val="231F20"/>
        </w:rPr>
        <w:t>currently a significant limitation of both alpha-beta CAR-T and CD3-based TCEs. Functionally, our TCEs are designed to operate similarly to in vivo CAR-Ts by expanding T cell populations and facilitating target engagement to trigger T cell killing. The manufacturing process, however, is much less complex and costly than conventional cellular therapies. As a biologic therapy, our TCEs allow for repeat dosing and avoid the need for lymphodepleting chemotherapy, which could be important in autoimmune indications.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Scientific Basis for Vd2+ Versus Vd1+ Gamma-Delta T Cells as Therapy for Solid Tumors</w:t>
      </w:r>
    </w:p>
    <w:p>
      <w:pPr>
        <w:spacing w:after="0" w:line="124"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 xml:space="preserve">There are several diverse subsets of gamma-delta T cells. The most predominant circulating subsets are the Vd2+, and the Vd1+. These cell types have specific features that impact their therapeutic potential across different indications. Vd2+ cells comprise approximately 2 to 10% of the circulating cell population. The Vd1+ cells are a minor (&lt;2%) circulating subset, but abundant in specific tissues, such as the intestines, the skin and other organ systems. While both subsets express NKG2D receptors that recognize stress ligands, only the Vd2+ subset can function as a professional APC, which can process and present antigens, recruit and activate additional immune cell types, a function that has not been documented for the Vd1+ T cell compartment and may make the Vg9Vd2 subset more attractive for use in solid tumor cancers. Our early clinical programs focused on developing therapeutic candidates using Vd2+ cells, due to certain advantages over the Vd1+ subset in certain indications, but there is a utility for the Vd1+ subset as well. Vd1+ cells have previously shown to be tissue resident, have a lower predisposition towards exhaustion and greater persistence in the autologous setting. This increased persistence in the allogeneic setting (other than allogeneic HSCT) may be irrelevant as host immune system recovery could result in their rejection by host NK cells which recover following lymphodepletion within approximately 15 to 30 days. Additionally, Th1 effector Vd1+ cells may potentially be reprogrammed to a tumor promoting Th17, or IL-17 secreting, subtype after entering the microenvironment of certain tumors. While current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expansion methods for Vd1+ cells, including with our INB-600 TCE platform, have not resulted in pro-tumorigenic Th17-type responses to date, the potential for reprogramming of therapeutic Vd1+ cells within the TME remains a theoretic possibility. In contrast, Vd2+ cells are not known to produce Th17 or pro-tumoral subtypes.</w:t>
      </w:r>
    </w:p>
    <w:p>
      <w:pPr>
        <w:spacing w:after="0" w:line="88"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We are a gamma-delta T cell company and are agnostic to Vd2+ versus Vd1+ subtypes. We believe each has a role and indications in which they may make sense based on the tumor biology and desired cellular mechanism of action. Our CSO, Dr. Lamb was in fact the first to publish a protocol for the expansion and manufacturing of Vd1+ gamma-delta T cells in 2001. We are currently advancing programs utilizing both Vd2+ and Vd1+ cells, using our cell-type specific expansion protocols and through our INB-600 platform of TCEs. For the first time that we are aware of, our INB-600 TCE program has the potential to target both the Vd1+ and Vd2+ subpopulations simultaneously. We have developed our DeltEx platform to enable us to expand, activate and genetically modify gamma-delta T cells at scale, producing cells which are viable, functional and can be cryopreserved while maintaining their cytotoxicity.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Product Candidates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INB-100 for the Treatment of Patients with Hematological Malignancies Undergoing HSCT</w:t>
      </w:r>
    </w:p>
    <w:p>
      <w:pPr>
        <w:spacing w:after="0" w:line="12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INB-100 is an allogeneic DeltEx product candidate created from healthy donors, consisting of expanded activated gamma-delta T cells, with the goal of testing the safety of allogeneic gamma-delta T cells to boost gamma-delta T cell levels and improve overall survival in patients with hematological malignancies who have undergone allogeneic HSCT. We believe that supplementing the patient’s immune system with allogeneic gamma-delta T cells will lead to reduced incidence of relapse and improved survival in these patients as we are now achieving persistent blood levels of gamma-delta T cells that have previously been demonstrated to be associated with higher rates of overall survival.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Hematological Malignancies Overview</w:t>
      </w:r>
    </w:p>
    <w:p>
      <w:pPr>
        <w:spacing w:after="0" w:line="118"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Hematological malignancies are characterized by an abnormal and excessive proliferation of malignant hematopoietic cells in the marrow. In some patients, these cancerous cells proliferate rapidly, requiring urgent treatment. These include AML, ALL, chronic myeloid leukemia ("CML") in blast phase and myelodysplastic syndromes ("MDS"). There are few curative treatment options for these patients once they have progressed on standard-of-care first line therapies. One of the most effective is allogeneic HSCT, where the patient’s blood forming cells, including cancerous cells, are first destroyed using chemotherapy, radiation or a combination of both. The patient then receives new bone marrow stem cells from a healthy donor to "reset" and repopulate their hematopoietic system. Unfortunately, residual leukemic cells often exist, resulting in a leukemic relapse rate of approximately 25% within the first 100 days and up to 50% at one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Our Solution — INB-100 for the Treatment of Patients with Hematological Malignancies Undergoing HSCT</w:t>
      </w:r>
    </w:p>
    <w:p>
      <w:pPr>
        <w:spacing w:after="0" w:line="118"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Multiple retrospective studies of leukemia patients treated with alpha-beta T cell depletion ("TCD") allogeneic HSCT showed that high levels of gamma-delta T cells were associated with a significantly higher rate of disease-free survival. In a foundational study led by Dr. Lamb, patients with high levels of gamma-delta T cells had a disease-free survival rate at seven</w:t>
      </w:r>
    </w:p>
    <w:p>
      <w:pPr>
        <w:sectPr>
          <w:pgSz w:w="11880" w:h="15480" w:orient="portrait"/>
          <w:cols w:equalWidth="0" w:num="1">
            <w:col w:w="10240"/>
          </w:cols>
          <w:pgMar w:left="820" w:top="750" w:right="820" w:bottom="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240"/>
          </w:cols>
          <w:pgMar w:left="820" w:top="750" w:right="820" w:bottom="0" w:gutter="0" w:footer="0" w:header="0"/>
          <w:type w:val="continuous"/>
        </w:sectPr>
      </w:pPr>
    </w:p>
    <w:bookmarkStart w:id="20" w:name="page21"/>
    <w:bookmarkEnd w:id="20"/>
    <w:p>
      <w:pPr>
        <w:jc w:val="both"/>
        <w:spacing w:after="0" w:line="247" w:lineRule="auto"/>
        <w:rPr>
          <w:sz w:val="20"/>
          <w:szCs w:val="20"/>
          <w:color w:val="auto"/>
        </w:rPr>
      </w:pPr>
      <w:r>
        <w:rPr>
          <w:rFonts w:ascii="Times New Roman" w:cs="Times New Roman" w:eastAsia="Times New Roman" w:hAnsi="Times New Roman"/>
          <w:sz w:val="20"/>
          <w:szCs w:val="20"/>
          <w:color w:val="231F20"/>
        </w:rPr>
        <w:t>years of over 70% compared to less than 20% for patients with low levels of gamma-delta T cells, which has been supported by subsequent studies. The majority of this effect was observed within six months of treatment. The primary cause of death for patients with low or normal levels of gamma-delta T cells was leukemic relapse. Often, leukemic relapse is due to a loss of MHC in any residual cancerous cells and gamma-delta T cells may offer a solution as their killing through stress signaling is independent of MHC. Approximately 60% of the patients with elevated gamma-delta T cells who relapsed were still surviving at the time of the publication compared to only 2%, or one patient, with low levels of gamma-delta T cells.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Phase 1 Clinical Trial of INB-100</w:t>
      </w:r>
    </w:p>
    <w:p>
      <w:pPr>
        <w:spacing w:after="0" w:line="118"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We are collaborating with Joseph McGuirk, D.O. at the KUCC and Sarah Wall, MD of The Ohio State University Comprehensive Cancer Center to conduct an investigator-sponsored Phase 1 dose escalation clinical trial of INB-100 to assess the safety and tolerability of INB-100 in patients with hematologic malignancies who are undergoing allogeneic haploidentical HSCT. The primary endpoints of this trial are safety and tolerability, and secondary endpoints include rates of acute and chronic GvHD, relapse rate and overall survival. Following completion of the dose escalation phase in 2023, a decision was made to declare dose level 2 our RP2D and add an expansion cohort of at least an additional 15 patients, for a total of at least 25 treated patients.</w:t>
      </w:r>
    </w:p>
    <w:p>
      <w:pPr>
        <w:spacing w:after="0" w:line="8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INB-100 is prepared from donor peripheral blood cells, while in parallel, patients undergo HSCT using donor bone marrow. INB-100 cells are administered post-engraftment with the goal of providing immunity during the period of immune cell reconstitution and long-term residual gamma-delta T cells that can scavenge any residual leukemic cells that may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125730</wp:posOffset>
            </wp:positionV>
            <wp:extent cx="6486525" cy="3714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6486525" cy="371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8. INB-100 Administration</w:t>
      </w:r>
    </w:p>
    <w:p>
      <w:pPr>
        <w:spacing w:after="0" w:line="124"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As depicted in Figure 8 above, patients are initially treated using a standard HSCT protocol, originally developed at Johns Hopkins University (the "Hopkins protocol"), under which these patients undergo non-myeloablative or reduced intensity conditioning ("RIC") regimen using chemotherapeutic agents that destroy their tumor cells as well as their healthy immune cells and post-transplant cyclophosphamide to reduce GvHD. They then undergo allogeneic bone marrow transplant. Prior to the bone marrow transplant, donors undergo leukapheresis to provide the starting material for INB-100 at least seven days prior to transplant. The INB-100 starting material will then be manufactured and cryopreserved. After approximately 15 to 20 days, hematopoietic stem cells from the donor engraft in the patient’s bone marrow and begin reconstituting the immune system. While the Hopkins protocol has decreased the risk of GvHD, there is also a reduced anti-leukemic effect. Accordingly, the rate of leukemic relapse is approximately 25% within the first 100 days and up to 50% at one year and even greater in those patients with high-risk and/or complex cytogenetics. Data presented at the American Society of Hematology (“ASH") 2023 annual meeting, in a 2,200 patient study by the EBMT, demonstrates that leukemic relapse in AML patients receiving</w:t>
      </w:r>
    </w:p>
    <w:p>
      <w:pPr>
        <w:sectPr>
          <w:pgSz w:w="11880" w:h="15480" w:orient="portrait"/>
          <w:cols w:equalWidth="0" w:num="1">
            <w:col w:w="10240"/>
          </w:cols>
          <w:pgMar w:left="820" w:top="750" w:right="820" w:bottom="0"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240"/>
          </w:cols>
          <w:pgMar w:left="820" w:top="750" w:right="820" w:bottom="0" w:gutter="0" w:footer="0" w:header="0"/>
          <w:type w:val="continuous"/>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20"/>
          <w:szCs w:val="20"/>
          <w:color w:val="231F20"/>
        </w:rPr>
        <w:t>haploidentical stem cell transplantation with post-transplant cyclophosphamide continues to fall between 40-50%. Within five days of neutrophil engraftment, our INB-100 product candidate is thawed and administered as a single weight-based dose, leading to an increase in the levels of gamma-delta T cells and potentially providing greater anti-leukemic effect and delaying relapse.</w:t>
      </w:r>
    </w:p>
    <w:p>
      <w:pPr>
        <w:spacing w:after="0" w:line="74"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 xml:space="preserve">The swimmers plot in Figure 9 below depicts the patient outcomes in the INB-100 Phase 1 trial as of our last clinical update. We believe the relapse free survival data as of January 17, 2025 (the "Cutoff Date"), which was presented at the 2025 TCT Meeting in February 2025, combined with the tolerability profile of INB-100, are encouraging for the treatment of older, high-risk leukemia patients with complex disease. As of the Cutoff Date, 100% of patients with AML remain relapse-free after receiving their dose of INB-100 after a median follow-up of 20.1 months. A total of 17 patients with leukemic diagnoses were enrolled as of the Cutoff Date and as previously reported, three patients had relapsed and, of those, two had died due to disease progression. The patients who relapsed to date, included other leukemic diagnoses (ALL, MDS, and MDS/MPN overlap with concurrent TP53 mutations). Across the initial 10 patient cohort, median morphologic CR was 18.8 months across all patients and 23.3 months for AML patients as of the Cutoff Date. Further, gamma-delta T cells demonstrated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expansion and long-term persistence through 365 days, a first for any donor-derived, allogeneic cellular therapy product. Along with our investigators, we believe patient outcomes in the trial to date are surpassing that of similar leukemia patients, including those with AML undergoing haploidentical transplantation without receiving INB-100. The enrollment and treatment of the 15 patient expansion cohort is expected to be completed in early 2026 and we continue to monitor patients for long-term follow up, relapse free survival and overall survival. We expect to report long-term follow up of all patients including those in the expansion cohort at a medical meeting in late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486525" cy="299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6486525"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9. Summary of Patients Treated in INB-100 Phase 1 Trial</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240"/>
          </w:cols>
          <w:pgMar w:left="820" w:top="750" w:right="820" w:bottom="0" w:gutter="0" w:footer="0" w:header="0"/>
          <w:type w:val="continuous"/>
        </w:sectPr>
      </w:pPr>
    </w:p>
    <w:bookmarkStart w:id="22" w:name="page23"/>
    <w:bookmarkEnd w:id="22"/>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As shown in Figure 10 below, this data compares favorably with real world data from AML patients retrieved from CIBMTR national database demonstrating a 32.2% relapse rate (n=679) and 25.3% mortality rate (n=684) at one-year and comparative data from the KUCC demonstrating a one-year 42.6% relapse rate (n=31) and 33.3% mortality (n=36, 2016-2024). We believe the high relapse and mortality rates at the KUCC compared to the CIBMTR data as it is a center of excellence for transplantation and is a major tertiary referral center for the Midwest region. Patients referred to and treated at the center are likely sicker and have more complex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139065</wp:posOffset>
            </wp:positionV>
            <wp:extent cx="6486525" cy="255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6486525" cy="255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10. Summary of Patients Treated in INB-100 vs. Real World Data</w:t>
      </w:r>
    </w:p>
    <w:p>
      <w:pPr>
        <w:spacing w:after="0" w:line="12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 xml:space="preserve">As of January 17, 2025, there were eight AML patients in this INB-100 trial who have remained in CR for periods greater than one year, four for greater than two years and one nearing their five-year anniversary in remission. Notably, at the 2024 ASH Annual Meeting held in December 2024, data was presented that demonstrated that patients in both Cohorts 1 and 2 had </w:t>
      </w:r>
      <w:r>
        <w:rPr>
          <w:rFonts w:ascii="Times New Roman" w:cs="Times New Roman" w:eastAsia="Times New Roman" w:hAnsi="Times New Roman"/>
          <w:sz w:val="20"/>
          <w:szCs w:val="20"/>
          <w:i w:val="1"/>
          <w:iCs w:val="1"/>
          <w:color w:val="231F20"/>
        </w:rPr>
        <w:t xml:space="preserve">in vivo </w:t>
      </w:r>
      <w:r>
        <w:rPr>
          <w:rFonts w:ascii="Times New Roman" w:cs="Times New Roman" w:eastAsia="Times New Roman" w:hAnsi="Times New Roman"/>
          <w:sz w:val="20"/>
          <w:szCs w:val="20"/>
          <w:color w:val="231F20"/>
        </w:rPr>
        <w:t>expansion and persistence of gamma-delta T cells that resulted in elevated gamma-delta T cell levels up to one-year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post-transplant as shown in Figure 11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142875</wp:posOffset>
            </wp:positionV>
            <wp:extent cx="5038725" cy="3657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5038725" cy="365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11. Summary of Patients Treated in INB-100 gamma-delta T cell persistence and expansion</w:t>
      </w:r>
    </w:p>
    <w:p>
      <w:pPr>
        <w:sectPr>
          <w:pgSz w:w="11880" w:h="15480" w:orient="portrait"/>
          <w:cols w:equalWidth="0" w:num="1">
            <w:col w:w="10240"/>
          </w:cols>
          <w:pgMar w:left="820" w:top="750" w:right="820" w:bottom="0"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240"/>
          </w:cols>
          <w:pgMar w:left="820" w:top="750" w:right="820" w:bottom="0" w:gutter="0" w:footer="0" w:header="0"/>
          <w:type w:val="continuous"/>
        </w:sectPr>
      </w:pPr>
    </w:p>
    <w:bookmarkStart w:id="23" w:name="page24"/>
    <w:bookmarkEnd w:id="23"/>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INB-100 continues to demonstrate a manageable safety profile to-date, with no dose-limiting toxicities, no treatment-related Grade 3 or greater adverse events, and no CRS, or ICANS. Approximately 56% of patients across all time points have sustained steroid responsive Grade 1/2 GvHD that has been mostly resolved with steroids therapy. No events of Grade 3 or greater GvHD, CRS or ICANS has been observed. Three patients have reported mild chronic GvHD.</w:t>
      </w:r>
    </w:p>
    <w:p>
      <w:pPr>
        <w:spacing w:after="0" w:line="7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2024, we held a meeting with the FDA and received regulatory guidance regarding a Phase 2 trial of INB-100 for the treatment of AML, with relapse-free survival as the primary endpoint in a randomized controlled trial. AML represents one of the most common leukemias, with approximately 21,000 newly diagnosed patients annually, which is also widely treated with allogeneic HSCT. While the AML treatment landscape is expanding and becoming increasing complex, patient outcomes remain extremely limited, particularly following relapse after transplantation. We, together with our investigators, believe that patient outcomes observed in the trial to-date are surpassing those of comparable leukemia patients, including patients undergoing haploidentical transplantation who did not receive INB-100.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INB-100 Preclinical Studies</w:t>
      </w:r>
    </w:p>
    <w:p>
      <w:pPr>
        <w:spacing w:after="0" w:line="120" w:lineRule="exact"/>
        <w:rPr>
          <w:sz w:val="20"/>
          <w:szCs w:val="20"/>
          <w:color w:val="auto"/>
        </w:rPr>
      </w:pPr>
    </w:p>
    <w:p>
      <w:pPr>
        <w:jc w:val="both"/>
        <w:ind w:firstLine="403"/>
        <w:spacing w:after="0" w:line="230" w:lineRule="auto"/>
        <w:rPr>
          <w:sz w:val="20"/>
          <w:szCs w:val="20"/>
          <w:color w:val="auto"/>
        </w:rPr>
      </w:pPr>
      <w:r>
        <w:rPr>
          <w:rFonts w:ascii="Times New Roman" w:cs="Times New Roman" w:eastAsia="Times New Roman" w:hAnsi="Times New Roman"/>
          <w:sz w:val="20"/>
          <w:szCs w:val="20"/>
          <w:color w:val="231F20"/>
        </w:rPr>
        <w:t>Animal studies and indirect evidence from human allogeneic transplant studies suggest that gamma-delta T cells can facilitate engraftment, which may translate into faster reconstitution of the immune system. In a murine allogeneic transplant model, donor gamma-delta T cells facilitated the engraftment of TCD donor bone marrow. When TCD donor marrow was supplemented with up to 3x10</w:t>
      </w:r>
      <w:r>
        <w:rPr>
          <w:rFonts w:ascii="Times New Roman" w:cs="Times New Roman" w:eastAsia="Times New Roman" w:hAnsi="Times New Roman"/>
          <w:sz w:val="26"/>
          <w:szCs w:val="26"/>
          <w:color w:val="231F20"/>
          <w:vertAlign w:val="superscript"/>
        </w:rPr>
        <w:t>6</w:t>
      </w:r>
      <w:r>
        <w:rPr>
          <w:rFonts w:ascii="Times New Roman" w:cs="Times New Roman" w:eastAsia="Times New Roman" w:hAnsi="Times New Roman"/>
          <w:sz w:val="20"/>
          <w:szCs w:val="20"/>
          <w:color w:val="231F20"/>
        </w:rPr>
        <w:t xml:space="preserve"> gamma-delta T cells prior to infusion into mismatched recipients, donor chimerism increased by approximately 40%. A separate study revealed similar findings in MHC -mismatched mice, and later demonstrated that the gamma-delta T cell dose necessary to facilitate engraftment did not result in lethal murine GvHD. Improved engraftment was also observed in lethally irradiated rats reconstituted with 1x10</w:t>
      </w:r>
      <w:r>
        <w:rPr>
          <w:rFonts w:ascii="Times New Roman" w:cs="Times New Roman" w:eastAsia="Times New Roman" w:hAnsi="Times New Roman"/>
          <w:sz w:val="26"/>
          <w:szCs w:val="26"/>
          <w:color w:val="231F20"/>
          <w:vertAlign w:val="superscript"/>
        </w:rPr>
        <w:t>8</w:t>
      </w:r>
      <w:r>
        <w:rPr>
          <w:rFonts w:ascii="Times New Roman" w:cs="Times New Roman" w:eastAsia="Times New Roman" w:hAnsi="Times New Roman"/>
          <w:sz w:val="20"/>
          <w:szCs w:val="20"/>
          <w:color w:val="231F20"/>
        </w:rPr>
        <w:t xml:space="preserve"> alpha-beta T cell depleted bone marrow, suggesting that gamma-delta T cells are able to facilitate improved engraftment even in the absence of alpha-beta T cells. In this study, all rats engrafted with a mean of 92% (± 4%) donor cells and showed no clinical evidence of GvHD. Studies comparing patients who received alpha-beta TCD grafts with those receiving pan-TCD grafts also show a positive association between the number of gamma-delta T cells in the graft and less time to engraftment.</w:t>
      </w:r>
    </w:p>
    <w:p>
      <w:pPr>
        <w:spacing w:after="0" w:line="93"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 xml:space="preserve">Both murine and human studies suggest that gamma-delta T cells are not primary initiators of GvHD and may in fact modulate the GvHD activity of alpha-beta T cells. Indeed, large doses of expanded gamma-delta T cells have been infused into lethally irradiated MHC-disparate mice without causing GvHD. Although it has been observed that gamma-delta T cells have activated GvHD response, the investigators reporting this study found no direct evidence that GvHD was initiated by gamma-delta T cells. In two separate human trials, it was observed that gamma-delta T cells were not substantially activated in the </w:t>
      </w:r>
      <w:r>
        <w:rPr>
          <w:rFonts w:ascii="Times New Roman" w:cs="Times New Roman" w:eastAsia="Times New Roman" w:hAnsi="Times New Roman"/>
          <w:sz w:val="20"/>
          <w:szCs w:val="20"/>
          <w:i w:val="1"/>
          <w:iCs w:val="1"/>
          <w:color w:val="231F20"/>
        </w:rPr>
        <w:t>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vitro </w:t>
      </w:r>
      <w:r>
        <w:rPr>
          <w:rFonts w:ascii="Times New Roman" w:cs="Times New Roman" w:eastAsia="Times New Roman" w:hAnsi="Times New Roman"/>
          <w:sz w:val="20"/>
          <w:szCs w:val="20"/>
          <w:color w:val="231F20"/>
        </w:rPr>
        <w:t>allogeneic mixed lymphocyte culture. Several studies post-HSCT have shown transient increases in gamma-delta T cells,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but have not associated this finding with GvHD. Studies comparing outcomes of patients that received alpha-beta T cell depleted grafts with pan-T cell depleted grafts all showed a lower incidence of GvHD in the alpha-beta T cell depleted group, suggesting that infusion of gamma-delta T cells in the graft does not subject the recipient to increased risk of GvHD. Whether gamma -delta T cells are truly less likely to contribute to the development of GvHD or the contribution of any residual alpha-beta T cells in the graft remains untested. However, from the above reasoning, it is logical to propose that in future studies, gamma-delta T cells might indeed be introduced in the setting of allogeneic HSCT, specifically to provide innate anti-tumor effect with only minimal risk of GvHD.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INB-200 and 400 for the Treatment of Solid Tumors</w:t>
      </w:r>
    </w:p>
    <w:p>
      <w:pPr>
        <w:spacing w:after="0" w:line="12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 xml:space="preserve">INB-200 is a genetically modified, autologous gamma-delta T cell product to be administered in combination with the current standard-of- care ("Stupp regimen") with temozolomide (“TMZ”) chemotherapy, in newly diagnosed GBM, where mPFS has remained at 6 to 7 months since 2005. We engineered INB-200 to be resistant from being killed by certain types of alkylating chemotherapies, including TMZ. Alkylating chemotherapies function by creating DNA damage and strand breaks that lead to cell suicide or apoptosis. The protein O-6-Methylguanine-DNA Methyltransferase ("MGMT"), is a primary DNA repair protein capable of repairing damage to DNA caused by certain chemotherapies that prevents cell death. Through the introduction of a gene encoding MGMT into gamma-delta T cells, these genetically modified DeltEx DRI cells are designed to survive concurrent dosing with chemotherapy and remain functional. In preclinical studies in patient-derived xenografts, published in the Nature portfolio journal </w:t>
      </w:r>
      <w:r>
        <w:rPr>
          <w:rFonts w:ascii="Times New Roman" w:cs="Times New Roman" w:eastAsia="Times New Roman" w:hAnsi="Times New Roman"/>
          <w:sz w:val="20"/>
          <w:szCs w:val="20"/>
          <w:i w:val="1"/>
          <w:iCs w:val="1"/>
          <w:color w:val="231F20"/>
        </w:rPr>
        <w:t>Scientific Reports</w:t>
      </w:r>
      <w:r>
        <w:rPr>
          <w:rFonts w:ascii="Times New Roman" w:cs="Times New Roman" w:eastAsia="Times New Roman" w:hAnsi="Times New Roman"/>
          <w:sz w:val="20"/>
          <w:szCs w:val="20"/>
          <w:color w:val="231F20"/>
        </w:rPr>
        <w:t xml:space="preserve"> in October 2021, INB-200 demonstrated antitumor activity, including long-term survival and eradication of the tumor as evidenced by histopathology.</w:t>
      </w:r>
    </w:p>
    <w:p>
      <w:pPr>
        <w:spacing w:after="0" w:line="82"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initially developed INB-200 to treat patients with newly diagnosed GBM. The protocol for the investigator-sponsored Phase 1 trial of INB-200 (NCT04165941) at the Heersink School of Medicine and O’Neal Comprehensive Cancer Center at UAB was designed to evaluate single and multi-dose schedules of a fixed number cell dose of the DeltEx DRI gamma-delta T cell therapy. Patient dosing in the trial has been completed, and we continue to follow patients for PFS and OS. In May 2025, we delivered an oral plenary presentation at the ASCO Annual Meeting presenting longer-term patient follow-up data. We continue to work towards the publication of the INB-200 data in a peer-reviewed journal.</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240"/>
          </w:cols>
          <w:pgMar w:left="820" w:top="750" w:right="820" w:bottom="0" w:gutter="0" w:footer="0" w:header="0"/>
          <w:type w:val="continuous"/>
        </w:sectPr>
      </w:pPr>
    </w:p>
    <w:bookmarkStart w:id="24" w:name="page25"/>
    <w:bookmarkEnd w:id="24"/>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INB-400 is our corporate-sponsored investigational new drug application (“IND”) for the Phase 2, multi-center clinical trial evaluating our DeltEx DRI technology in newly diagnosed GBM. Treatment of all enrolled patients has been completed and the IND remains open. In September 2024, following a pipeline prioritization review, we suspended further enrollment in the Phase 2 trial of INB-400 to conserve capital. The trial was designed to further evaluate genetically modified, DRI gamma-delta T cells in newly diagnosed GBM patients across multiple centers in the United States. At the 2025 SNO Annual Meeting, we presented consolidated data from the INB-200 (Phase 1) and INB-400 (Phase 2) trials in both poster and oral presentations. Patients across both trials who received multiple repeated doses of our DeltEx DRI gamma-delta T cells (N=14) demonstrated substantial improvements in mPFS and mOS across multiple participating clinical centers. These results were evaluated in the context of a contemporaneously enrolled control group of patients at the same clinical centers with the same treating physicians who received SOC therapy alone. The SOC control cohort reported an mPFS of 6.6 months and a mOS of 13.2 months, consistent with historical benchmarks in newly diagnosed GBM, including mPFS of 6.9 months and mOS of 14.6 months published in the NEJM in 2005. This demonstrates both the aggressive nature of GBM, even with SOC treatment, and the significant need for new treatment options. This data was updated through December 31, 2025, and patients who received repeated doses of DeltEx DRI gamma-delta T cells reported an mPFS of 13.0 months and a mOS of 17.2+ months, with overall survival continuing to grow, despite fewer treated patients receiving gross total resections. We believe that our DeltEx DRI approach has the potential to address this significant unmet need in newly diagnosed GBM and expect to provide further clinical updates, including additional mOS data from the total data set, at medical meetings in mid- and late- 2026.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GBM Overview</w:t>
      </w:r>
    </w:p>
    <w:p>
      <w:pPr>
        <w:spacing w:after="0" w:line="11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GBM is a particularly aggressive form of brain cancer, in which tumor cells invade the surrounding neural tissue, rendering a cure with surgical resection and chemotherapy unlikely. The incidence of GBM in the United States is estimated to be approximately 3.5 in 100,000 individuals, with almost 14,500 new cases having been estimated in 2023 by the National Brain Tumor Society ("NBTS"). Surgical resection followed by radiation and TMZ has been the current standard-of-care since 2005, but it is only able to control tumor growth in approximately 30% of patients. Based on current standard-of-care, tumor recurrence typically occurs within six or seven months after initial diagnosis and treatment. A third-party trial published in 2017 indicated that older newly diagnosed GBM patients with unmethylated MGMT treated with radiation therapy and TMZ had median progression free survival of only 4.8 months (95% CI (4.3-5.6)) while mOS for GBM patients remains about 16 months irrespective of tumor methylation status. Ultimately, virtually all patients will relapse, creating a significant unmet medical need with a potential global market opportunity greater than $4 billion.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Our Solution — INB-200 and INB-400 for the Treatment of Newly Diagnosed GBM</w:t>
      </w:r>
    </w:p>
    <w:p>
      <w:pPr>
        <w:spacing w:after="0" w:line="118"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Chemotherapy, a mainstay of solid tumor treatment, can deplete and damage immune cells, limiting their ability to seek and kill tumors. Despite these limitations, chemotherapy continues to be used in standard-of-care regimens because of its ability to rapidly and directly kill tumors. Chemotherapy, however, can also result in the selection of residual tumor cells that are chemotherapy resistant and lead to disease recurrence. Studies show that the injury response to DNA damage from chemotherapy in tumor cells can promote anti-tumor immune activity and impact subsequent tumor rejection. These positive immune effects are obstructed by the lymphodepleting properties of chemotherapy, which can severely reduce the number of immune cells, such as gamma-delta T cells, that can seek out and kill the residual tumor cells. We have leveraged our proprietary genetic modifications of gamma-delta T cells to protect the cells from chemotherapy-induced damage, allowing for their concurrent delivery with chemotherapy. This could potentially enable our candidates to recognize and kill residual tumor cells, including chemotherapy-resistant cells and cancer stem-cells, by attacking at the time when the tumor is experiencing maximum chemotherapy-induced stress and vulnerability.</w:t>
      </w:r>
    </w:p>
    <w:p>
      <w:pPr>
        <w:spacing w:after="0" w:line="89"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We engineered INB-200 and INB-400 using a lentiviral vector to introduce the gene for MGMT, which is the primary protein capable of repairing DNA damage caused by alkylating chemotherapeutic drugs, such as TMZ. Tumor cells that over-express MGMT are resistant to TMZ and the current standard-of-care in GBM. By introducing MGMT into our DeltEx gamma-delta T cells, these genetically modified cells are designed to avoid TMZ-induced cell death. There is also considerable preclinical support for the use of gamma-delta T cells for the treatment of GBM.</w:t>
      </w:r>
    </w:p>
    <w:p>
      <w:pPr>
        <w:spacing w:after="0" w:line="77"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There is a significant unmet need as most patients with GBM die within 15 to 16 months of diagnosis and the five-year survival rate is approximately 5%. Over 80% of treated GBM patients recur within 2cm of the original resection site, suggesting that recurrence is not due to metastases, but due to local microscopic residual tumor cells that were not surgically resectable and that may be resistant to radiotherapy and chemotherapy. We believe that to have a clinically meaningful impact to patient outcomes, we must be able to target three categories of cells within the tumor: (i) cells sensitive to radiotherapy and chemotherapy; (ii) cells resistant to chemotherapy and (iii) cancer stem-like cells that are able to avoid immune detection and continue seeding tumor persistence.</w:t>
      </w:r>
    </w:p>
    <w:p>
      <w:pPr>
        <w:spacing w:after="0" w:line="80"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Our gamma-delta T cell technology has the potential to be a more durable therapy due to limited resistance mechanisms developed in response to it. By combining our DeltEx DRI therapeutic candidate concurrently with alkylating chemotherapies,</w:t>
      </w:r>
    </w:p>
    <w:p>
      <w:pPr>
        <w:sectPr>
          <w:pgSz w:w="11880" w:h="15480" w:orient="portrait"/>
          <w:cols w:equalWidth="0" w:num="1">
            <w:col w:w="10240"/>
          </w:cols>
          <w:pgMar w:left="820" w:top="750" w:right="820" w:bottom="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240"/>
          </w:cols>
          <w:pgMar w:left="820" w:top="750" w:right="820" w:bottom="0" w:gutter="0" w:footer="0" w:header="0"/>
          <w:type w:val="continuous"/>
        </w:sectPr>
      </w:pPr>
    </w:p>
    <w:bookmarkStart w:id="25" w:name="page26"/>
    <w:bookmarkEnd w:id="25"/>
    <w:p>
      <w:pPr>
        <w:jc w:val="both"/>
        <w:spacing w:after="0" w:line="243" w:lineRule="auto"/>
        <w:rPr>
          <w:sz w:val="20"/>
          <w:szCs w:val="20"/>
          <w:color w:val="auto"/>
        </w:rPr>
      </w:pPr>
      <w:r>
        <w:rPr>
          <w:rFonts w:ascii="Times New Roman" w:cs="Times New Roman" w:eastAsia="Times New Roman" w:hAnsi="Times New Roman"/>
          <w:sz w:val="20"/>
          <w:szCs w:val="20"/>
          <w:color w:val="231F20"/>
        </w:rPr>
        <w:t>our approach can promote the upregulation of stress ligands across all three of these categories, making the GBM cells identifiable by our gamma-delta T cells. CAR-T therapies or any targeted therapy that targets a single antigen is prone to loss of efficacy over time as tumor cells lose, downregulate, or shed the tumor target in response to persistent stimulation. Unlike other CAR-T therapies that are reliant on a single tumor target to ensure tumor cell engagement, our technology generates a stressor that upregulates ligands, i.e., NKG2D ligands, that then activate the gamma-delta T cells. These ligands comprise an intrinsic stress mechanism that is upregulated with hypoxia, DNA instability or any condition that generates circumstances that may limit cell viability. Therefore, there is less likelihood of loss of NKG2D ligands as it is impossible to eliminate all stressors that lead to upregulation of NKG2D ligands that activate gamma-delta T cells. Our unique approach seeks to increase tumor antigen density on the surface of tumor cells to drive activation of immune responses and via an antigen that is tumor agnostic. By pairing our therapy with TMZ we are harnessing the ability of TMZ to upregulate multiple NKG2D ligands to ensure the gamma-delta T cells have the appropriate activation signals already in place to maximize their activity.</w:t>
      </w:r>
    </w:p>
    <w:p>
      <w:pPr>
        <w:spacing w:after="0" w:line="89"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We believe newly diagnosed GBM may be the ideal indication to assess the potential of INB-200 and INB-400 to drive clinical antitumor activity due to the intrinsic role that TMZ plays in its therapy and with the ability to ensure targeted therapeutic delivery to the tumor site. A third -party paper analyzing the impact of pre-conditioning on the TME to enhance solid tumor CAR-T cell therapy indicated that single-antigen targeting CAR-Ts have been hampered by tumor antigen escape, immune suppression, and lack of T cell trafficking. The inability to infiltrate the tumor site by intravenously delivered CAR-T was due largely to the trapping of adoptively transferred cells in first-pass tissues, such as the lung and liver rather than trafficking to the targeted tumor sites. We believe our approach minimizes the risk of tumor antigen escape because TMZ causes the upregulation of cellular stress signals, consisting of multiple polyclonal ligands that can be recognized by the gamma-delta T cell. Furthermore, our DeltEx DRI approach in newly diagnosed GBM was specifically designed to overcome challenges of systemic T cell localization. The administration of DeltEx DRI cells in INB-200 and INB-400, through an intracranial catheter, directly to the tumor resection site ensures access of the cells to the tumor site and may increase the E:T ratio, and permits localizing the therapy to the specific target area, improving the antitumor activity of cell therapies over intravenous delivery. In the past, other novel modalities, such as treatment with adeno-associated virus (“AAVs”) or small interfering RNA ("siRNAs"), demonstrated early clinical response by also targeting locally deliverable organ systems such as the eye or liver. Newly diagnosed GBM patients have a more intact immune system that does not have the immune suppression resulting from multiple rounds of earlier chemotherapy and/or radiation as do relapsed populations in whom the CAR-T therapies have been assessed. All immune therapies require an adequate baseline immune activity to maximize their effect. Hence, introducing this therapy earlier, in a newly diagnosed population, may ensure that the patients have more robust immune systems available to fully mobilize upon tumor cell destruction caused by gamma-delta cell therapy.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INB-200 — Phase 1 Clinical Trial</w:t>
      </w:r>
    </w:p>
    <w:p>
      <w:pPr>
        <w:spacing w:after="0" w:line="118"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conducted an investigator-sponsored Phase 1 repeat dose escalation trial of INB-200 at UAB. We have completed enrollment and patient dosing of the Phase 1 trial with 13 patients evaluable for dose-limiting toxicity with newly diagnosed GBM who have completed standard induction therapy with TMZ chemotherapy and radiotherapy and are eligible to initiate maintenance therapy with TMZ. We believe that the survival data along with histopathology and radiographic data are indicative of positive treatment effects, which highlight the potential of our genetically modified, chemotherapy-resistant gamma-delta T cells as a potential first-in-class therapy for patients with solid tumor cancers such as GBM.</w:t>
      </w:r>
    </w:p>
    <w:p>
      <w:pPr>
        <w:spacing w:after="0" w:line="80" w:lineRule="exact"/>
        <w:rPr>
          <w:sz w:val="20"/>
          <w:szCs w:val="20"/>
          <w:color w:val="auto"/>
        </w:rPr>
      </w:pPr>
    </w:p>
    <w:p>
      <w:pPr>
        <w:jc w:val="both"/>
        <w:ind w:firstLine="403"/>
        <w:spacing w:after="0" w:line="236" w:lineRule="auto"/>
        <w:rPr>
          <w:sz w:val="20"/>
          <w:szCs w:val="20"/>
          <w:color w:val="auto"/>
        </w:rPr>
      </w:pPr>
      <w:r>
        <w:rPr>
          <w:rFonts w:ascii="Times New Roman" w:cs="Times New Roman" w:eastAsia="Times New Roman" w:hAnsi="Times New Roman"/>
          <w:sz w:val="20"/>
          <w:szCs w:val="20"/>
          <w:color w:val="231F20"/>
        </w:rPr>
        <w:t>The primary endpoint of this trial was to assess the safety and tolerability of expanded and activated autologous MGMT genetically modified gamma-delta T cell infusion. Safety was assessed with single and multiple infusions of 1x10</w:t>
      </w:r>
      <w:r>
        <w:rPr>
          <w:rFonts w:ascii="Times New Roman" w:cs="Times New Roman" w:eastAsia="Times New Roman" w:hAnsi="Times New Roman"/>
          <w:sz w:val="26"/>
          <w:szCs w:val="26"/>
          <w:color w:val="231F20"/>
          <w:vertAlign w:val="superscript"/>
        </w:rPr>
        <w:t>7</w:t>
      </w:r>
      <w:r>
        <w:rPr>
          <w:rFonts w:ascii="Times New Roman" w:cs="Times New Roman" w:eastAsia="Times New Roman" w:hAnsi="Times New Roman"/>
          <w:sz w:val="20"/>
          <w:szCs w:val="20"/>
          <w:color w:val="231F20"/>
        </w:rPr>
        <w:t xml:space="preserve"> DeltEx DRI gamma -delta T cells administered through an intracranial catheter (Rickham catheter) placed in the resection cavity of the tumor. Secondary endpoints include overall survival, time to progression and response. We also assess biologic activity, including serum and cellular cytokines, immune cell composition, biomarkers, and cell-free DNA both peripherally and from the cerebral spinal fluid, if available. This clinical strategy takes advantage of maximizing gamma-delta T cell cytotoxicity by administering it along with TMZ chemotherapy. The tumor is experiencing maximum stress, increased immunogenicity and expressing high levels of NKG2D ligands required to stimulate the gamma-delta T cells as a result of treatment with TMZ. Further, the natural lymphodepletion achieved by standard-of-care TMZ ensures that the chemo-resistant gamma-delta cells remain enriched in the vicinity of tumor to eliminate or slow growth of residual tumor.</w:t>
      </w:r>
    </w:p>
    <w:p>
      <w:pPr>
        <w:spacing w:after="0" w:line="91"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Eligible patients received standard-of-care therapy, which includes surgical resection of the GBM tumor, post-surgical induction TMZ and radiation therapy, followed by maintenance TMZ in combination with INB-200, as shown in Figure 12 below. During resection, an intracranial catheter is placed for injection of the INB-200 product which allows us to bypass the restrictions of the blood brain barrier. Blood cells for genetic modification are taken from the patient by leukapheresis several weeks following resection, after the patient’s immune system has been allowed to recover from the immunosuppressive environment created by resident tumor. Gamma-delta T cells are then isolated, genetically modified and expanded into the INB-200 product candidate, and then cryopreserved. No more than six weeks post-surgery, patients are treated with induction therapy consisting of daily radiation and TMZ for six weeks followed by a four-week break. Following the four-week period,</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240"/>
          </w:cols>
          <w:pgMar w:left="820" w:top="750" w:right="820" w:bottom="0" w:gutter="0" w:footer="0" w:header="0"/>
          <w:type w:val="continuous"/>
        </w:sectPr>
      </w:pPr>
    </w:p>
    <w:bookmarkStart w:id="26" w:name="page27"/>
    <w:bookmarkEnd w:id="26"/>
    <w:p>
      <w:pPr>
        <w:jc w:val="both"/>
        <w:spacing w:after="0" w:line="277" w:lineRule="auto"/>
        <w:rPr>
          <w:sz w:val="20"/>
          <w:szCs w:val="20"/>
          <w:color w:val="auto"/>
        </w:rPr>
      </w:pPr>
      <w:r>
        <w:rPr>
          <w:rFonts w:ascii="Times New Roman" w:cs="Times New Roman" w:eastAsia="Times New Roman" w:hAnsi="Times New Roman"/>
          <w:sz w:val="20"/>
          <w:szCs w:val="20"/>
          <w:color w:val="231F20"/>
        </w:rPr>
        <w:t>corticosteroid use is usually tapered, and the patient begins a maintenance phase of TMZ for the first five days of each 28-day cycle for up to six cycles.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INB-400 (Autologous and Allogeneic): Phase 2 Clinical Trials</w:t>
      </w:r>
    </w:p>
    <w:p>
      <w:pPr>
        <w:spacing w:after="0" w:line="12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INB-400 is our corporate-sponsored Phase 2, multi-center clinical trial evaluating our DeltEx DRI technology in newly diagnosed GBM. Treatment of all enrolled patients has been completed and the IND remains open. In September 2024, following a pipeline prioritization review, we suspended further enrollment in the Phase 2 trial of INB-400. The trial was designed to further evaluate genetically modified, DRI gamma-delta T cells in newly diagnosed GBM patients across multiple centers in the United States. Based on the data generated to date, we believe we have identified a strong signal of activity with the autologous therapy in the newly diagnosed GBM setting. Clinical sites remain open, as several patients were enrolled and completed treatment across multiple centers. We will continue to follow these patients for safety and survival outcomes and expect to report additional mOS results in mid- and late-2026. Subject to feedback from the FDA regarding a potential pathway for regulatory approval, we may seek to amend the protocol under the existing IND and could potentially re-initiate patient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244475</wp:posOffset>
            </wp:positionV>
            <wp:extent cx="5372100" cy="3038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5372100" cy="303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12. INB-200 and INB-400 Administration Protocol</w:t>
      </w:r>
    </w:p>
    <w:p>
      <w:pPr>
        <w:spacing w:after="0" w:line="124"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The decision to combine DeltEx DRI gamma-delta T cells in the newly diagnosed GBM setting as an adjunct to standard-of-care therapy was driven by biology, data, and the desire to overcome challenges as outlined above. One of our initial goals was to eventually treat cancer patients with an allogeneic therapy against a solid tumor. The brain proved to be a potentially attractive site as it was historically considered one of the few immune-privileged organs that would not have significant NK cells that could reject a graft. Further, greater than 90% of newly diagnosed GBM patients receive a surgical resection, allowing the insertion of the catheter to bypass the blood brain barrier and to avoid questions about cell distribution and localization into the tumor microenvironment. Cells trafficked to the tumor bed because we put them there, eliminating one variable that could significantly impact the efficacy of a cellular therapy.</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240"/>
          </w:cols>
          <w:pgMar w:left="820" w:top="750" w:right="820" w:bottom="0" w:gutter="0" w:footer="0" w:header="0"/>
          <w:type w:val="continuous"/>
        </w:sectPr>
      </w:pPr>
    </w:p>
    <w:bookmarkStart w:id="27" w:name="page28"/>
    <w:bookmarkEnd w:id="27"/>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this trial, we sought to attack any residual tumor cells when they are most vulnerable with immune cells that are as healthy as possible. By combining DeltEx DRI gamma-delta T cells with maintenance TMZ, we sought to deepen responses achieved by induction chemoradiation by further eliminating residual tumor and driving prolonged immune responses. In addition, introducing gamma-delta T cells in a newly diagnosed population of patients ensures that these patients’ immune systems are as robust and active as feasible to take advantage of tumor elimination created by the gamma- delta T cells. Under INB-200, patients are dosed with our DeltEx DRI gamma-delta T cells via intracranial catheter injection, as shown in Figure 12 above, within four hours of receiving intravenous dosing with TMZ on day one of the maintenance cycle. Standard-of-care oral dosing of TMZ continues for the four subsequent days during each 28-day treatment cycle, as shown in Figure 13 below. Depending on which dose cohort they are enrolled in, patients were administered either one, three or six injections of our DeltEx DRI gamma-delta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89535</wp:posOffset>
            </wp:positionV>
            <wp:extent cx="6486525" cy="1981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648652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13. Treatment and Manufacturing Timeline of the INB-200 and INB-400 Clinical Trials</w:t>
      </w:r>
    </w:p>
    <w:p>
      <w:pPr>
        <w:spacing w:after="0" w:line="124" w:lineRule="exact"/>
        <w:rPr>
          <w:sz w:val="20"/>
          <w:szCs w:val="20"/>
          <w:color w:val="auto"/>
        </w:rPr>
      </w:pPr>
    </w:p>
    <w:p>
      <w:pPr>
        <w:jc w:val="both"/>
        <w:ind w:firstLine="403"/>
        <w:spacing w:after="0" w:line="229" w:lineRule="auto"/>
        <w:rPr>
          <w:sz w:val="20"/>
          <w:szCs w:val="20"/>
          <w:color w:val="auto"/>
        </w:rPr>
      </w:pPr>
      <w:r>
        <w:rPr>
          <w:rFonts w:ascii="Times New Roman" w:cs="Times New Roman" w:eastAsia="Times New Roman" w:hAnsi="Times New Roman"/>
          <w:sz w:val="20"/>
          <w:szCs w:val="20"/>
          <w:color w:val="231F20"/>
        </w:rPr>
        <w:t>In 2025, we provided multiple clinical updates for INB-200 and INB-400, including a plenary oral presentation at the 2025 ASCO Annual Meeting and both a poster and oral presentation at the 2025 SNO Annual Meeting. At SNO, we reported that as of October 31, 2025, 17 patients with newly diagnosed GBM have been enrolled and treated with our DeltEx DRI gamma-delta T cells across the INB-200 and INB-400 programs. This included, in INB-200, three patients in Cohort 1, four patients in Cohort 2, six patients in Cohort 3 and in INB-400 4 patients. All Cohorts had completed dosing as of October 31, 2025 and continue to be monitored for safety and efficacy outcomes. INB-200 assessed the administration of 1x10</w:t>
      </w:r>
      <w:r>
        <w:rPr>
          <w:rFonts w:ascii="Times New Roman" w:cs="Times New Roman" w:eastAsia="Times New Roman" w:hAnsi="Times New Roman"/>
          <w:sz w:val="26"/>
          <w:szCs w:val="26"/>
          <w:color w:val="231F20"/>
          <w:vertAlign w:val="superscript"/>
        </w:rPr>
        <w:t>7</w:t>
      </w:r>
      <w:r>
        <w:rPr>
          <w:rFonts w:ascii="Times New Roman" w:cs="Times New Roman" w:eastAsia="Times New Roman" w:hAnsi="Times New Roman"/>
          <w:sz w:val="20"/>
          <w:szCs w:val="20"/>
          <w:color w:val="231F20"/>
        </w:rPr>
        <w:t xml:space="preserve"> cells per dose across three different dosing regimens increasing from a single dose in Cohort 1, three doses in Cohort 2, and six doses in Cohort 3, where INB-400 treated patients with up to six doses of the same 1x10</w:t>
      </w:r>
      <w:r>
        <w:rPr>
          <w:rFonts w:ascii="Times New Roman" w:cs="Times New Roman" w:eastAsia="Times New Roman" w:hAnsi="Times New Roman"/>
          <w:sz w:val="26"/>
          <w:szCs w:val="26"/>
          <w:color w:val="231F20"/>
          <w:vertAlign w:val="superscript"/>
        </w:rPr>
        <w:t>7</w:t>
      </w:r>
      <w:r>
        <w:rPr>
          <w:rFonts w:ascii="Times New Roman" w:cs="Times New Roman" w:eastAsia="Times New Roman" w:hAnsi="Times New Roman"/>
          <w:sz w:val="20"/>
          <w:szCs w:val="20"/>
          <w:color w:val="231F20"/>
        </w:rPr>
        <w:t xml:space="preserve"> cells per dose. To date, no infusion reactions, CRS, ICANs, tumor inflammation-associated neurotoxicity (“TIAN”) or other dose limiting toxicities ("DLTs") have been observed across all cohorts. Only one treatment-related series adverse event ("SAE”) has been reported.</w:t>
      </w:r>
    </w:p>
    <w:p>
      <w:pPr>
        <w:spacing w:after="0" w:line="9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Following treatment, all patients are monitored for biologic correlates, time to disease progression and overall survival. The most common AEs were Grade 1/2 events including fatigue, asthenia, urinary tract infection, nausea, headache, platelet and white blood cell count decreased, balance disorders, decreased appetite, hydrocephalus, attributable to TMZ, radiotherapy or disease. One subject had Grade 3 treatment of unrelated AEs of urinary tract infection, dehydration, and thrombocytopenia. There were no treatment related deaths, and repeat dosing has not changed the toxicity profile of this agent to date.</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240"/>
          </w:cols>
          <w:pgMar w:left="820" w:top="750" w:right="820" w:bottom="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528955</wp:posOffset>
            </wp:positionH>
            <wp:positionV relativeFrom="page">
              <wp:posOffset>488950</wp:posOffset>
            </wp:positionV>
            <wp:extent cx="6486525" cy="3648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486525" cy="364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14. Swimmers Plot of Control and Treated Patients Enrolled in INB-200 and INB-400 Clinical Trials</w:t>
      </w:r>
    </w:p>
    <w:p>
      <w:pPr>
        <w:spacing w:after="0" w:line="124"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Figure 14 above depicts data for patients treated as of December 31, 2025 and these data are also summarized in Figure 15 below. These data demonstrate that patients have exceeded expected PFS based on their age and tumor MGMT status and the historical median PFS predicted of this patient population (6-7 months). Of the three patients who received a single dose of INB-200, mPFS was 8.0 months and across all patients (n=14) who received multiple doses in the INB-200 and INB-400 programs, mPFS was 13.0 months, representing an approximate 97% increase compared to mPFS of 6.6 months for the control SOC patients enrolled in our trials. This also surpassed the 6.9 months reported by Stupp et al. in the NEJM in 2005 and surpassed the mPFS of 10.5 months (adjusted for 3.8 months from diagnoses to randomization) reported by Novocure in its EF-14 Phase 3 trial for Optune Gio, which gained FDA approval. For context, in 2023, Novocure announced the final results from the Phase 2 TOP study evaluating TTFields (Optune) in combination with Merck’s pembrolizumab and maintenance TMZ in patients with newly diagnosed GBM. Among 26 GBM patients (median age 60.5 years, 73% with MGMT-unmethylated GBM tumors, and 11.5% with IDH-mutation), mPFS was reported as 12 months, compared to 5.8 months in a case-matched control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6496050" cy="268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6496050"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15. Summary of Patient Outcomes in INB-200 and INB-400 Trials</w:t>
      </w:r>
    </w:p>
    <w:p>
      <w:pPr>
        <w:sectPr>
          <w:pgSz w:w="11880" w:h="15480" w:orient="portrait"/>
          <w:cols w:equalWidth="0" w:num="1">
            <w:col w:w="10240"/>
          </w:cols>
          <w:pgMar w:left="820" w:top="1440" w:right="820" w:bottom="0" w:gutter="0" w:footer="0" w:header="0"/>
        </w:sect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240"/>
          </w:cols>
          <w:pgMar w:left="820" w:top="1440" w:right="820" w:bottom="0" w:gutter="0" w:footer="0" w:header="0"/>
          <w:type w:val="continuous"/>
        </w:sectPr>
      </w:pPr>
    </w:p>
    <w:bookmarkStart w:id="29" w:name="page30"/>
    <w:bookmarkEnd w:id="29"/>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As illustrated in the Kaplan-Meier curve in Figure 16 below, the treatment and control groups are demonstrating separation over time. While the data remains limited in size and follow-up, the analysis suggests a p-value &lt;0.05 in mPFS in repeat dose DeltEx DRI patients and a trend toward improved mOS relative to SOC. mOS in the treatment arm has not yet been reached and updated data will be presented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281940</wp:posOffset>
            </wp:positionV>
            <wp:extent cx="6486525" cy="2562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6486525" cy="256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16. Kaplan-Meier Analysis Demonstrates a Treatment Benefit</w:t>
      </w:r>
    </w:p>
    <w:p>
      <w:pPr>
        <w:spacing w:after="0" w:line="12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Biopsy results further confirm the observed treatment benefits by demonstrating the infiltration and persistence of gamma-delta T cells along with CD3+ and CD8+ T cells within the brain tumor microenvironment following treatment with DeltEx DRI gamma-delta T cells. In one MGMT-methylated GBM patient who had a sub-total resection, paired biopsy samples obtained at initial diagnosis and at relapse following six doses of DeltEx DRI demonstrated the presence of gamma-delta T cells, CD3+ and CD8+ cells (brown stain), as shown in Figure 17 below. This was markedly different from a similar patient in our control SOC cohort who received no infusion of gamma-delta T cells. Despite receiving a total gross resection, the control SOC patient relapsed earlier than the treated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6486525" cy="3648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6486525" cy="364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17. Gamma-Delta T cells, CD3+ and CD8+ T Cells Infiltrating and Persisting in Brain Tissue</w:t>
      </w:r>
    </w:p>
    <w:p>
      <w:pPr>
        <w:sectPr>
          <w:pgSz w:w="11880" w:h="15480" w:orient="portrait"/>
          <w:cols w:equalWidth="0" w:num="1">
            <w:col w:w="10240"/>
          </w:cols>
          <w:pgMar w:left="820" w:top="750" w:right="820" w:bottom="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240"/>
          </w:cols>
          <w:pgMar w:left="820" w:top="750" w:right="820" w:bottom="0" w:gutter="0" w:footer="0" w:header="0"/>
          <w:type w:val="continuous"/>
        </w:sectPr>
      </w:pPr>
    </w:p>
    <w:bookmarkStart w:id="30" w:name="page31"/>
    <w:bookmarkEnd w:id="30"/>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We have completed enrollment in the Phase 1 INB-200 trial, and we expect to provide a further clinical update, including additional mOS data from the total INB-200 and INB-400 data set, at medical meetings anticipated in mid- and late-2026.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INB-200 — Preclinical Studies in GBM</w:t>
      </w:r>
    </w:p>
    <w:p>
      <w:pPr>
        <w:spacing w:after="0" w:line="12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Malignant high-grade GBM in both humans and mice express stress ligands that are known to activate NKG2D and are targets for gamma-delta T cell attack. In preclinical testing, gamma -delta T cells exhibited strong cytotoxic activity against several GBM cell lines and primary explant cultures. Normal human brain cells do not express these stress ligands and are not affected.</w:t>
      </w:r>
    </w:p>
    <w:p>
      <w:pPr>
        <w:spacing w:after="0" w:line="7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 xml:space="preserve">To assess the antitumor activity of exogenous gamma-delta T cells in GBM as an initial proof-of-concept, it was observed that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expanded and activated human gamma-delta T cells prevented emergence of tumors in a U251 GBM model in immunocompromised mice, leading to increased overall survival.</w:t>
      </w:r>
    </w:p>
    <w:p>
      <w:pPr>
        <w:spacing w:after="0" w:line="68"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immunocompetent mice, we found that implantation of GL261 GBM cell line tumors led to a significant increase in levels of endogenous gamma-delta T cells, however these levels decreased over time coincident with tumor progression. Previous clinical studies in GBM and in extracranial malignancies have shown that this decrease is likely a result of T cell exhaustion due to their continuous stimulation by a large and highly aggressive tumor. Indeed, in this study we showed that the increased peripheral blood gamma-delta T cells seen in response to the tumor were already expressing the pre-apoptotic marker Annexin V. Exogenous administration of gamma-delta T cells into the brain immediately after tumor implantation increased overall survival in this model, however these results were not statistically significant.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Improved Antitumor Activity in Combination with Chemotherapy</w:t>
      </w:r>
    </w:p>
    <w:p>
      <w:pPr>
        <w:spacing w:after="0" w:line="118"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Based on several years of peer-reviewed and published preclinical work, as well as early human cancer trials, we believe that INB-200 can work in synergy with chemotherapy by causing changes in cancer cells that result in increased expression of activating ligands of gamma-delta T cell and NK cell function, such as NKG2D. In preclinical studies, treatment of TMZ-resistant GBM cells derived from the U87 human GBM cell line with TMZ led to transient increases in a broad panel of stress ligands recognized by the NKG2D receptor, as shown in Figure 18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69850</wp:posOffset>
            </wp:positionV>
            <wp:extent cx="5762625" cy="2867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5762625" cy="286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18. Increased NKG2D Ligand Expression Observed on TMZ-Resistant Tumor Cells Treated with TMZ</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240"/>
          </w:cols>
          <w:pgMar w:left="820" w:top="750" w:right="820" w:bottom="0" w:gutter="0" w:footer="0" w:header="0"/>
          <w:type w:val="continuous"/>
        </w:sectPr>
      </w:pPr>
    </w:p>
    <w:bookmarkStart w:id="31" w:name="page32"/>
    <w:bookmarkEnd w:id="31"/>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As shown in Figure 19 below, additional studies in glioma cells have demonstrated that NKG2D ligands are also expressed on cancer stem cells, considered as cells that express factors, such as Klf-4, Oct-4, Sox-2, Nanog and Musashi-1.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128270</wp:posOffset>
            </wp:positionV>
            <wp:extent cx="5372100" cy="132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5372100" cy="132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19. Cancer Stem-Like Cells Co-Express Stem-Cell Markers and NKG2D Ligands</w:t>
      </w:r>
    </w:p>
    <w:p>
      <w:pPr>
        <w:spacing w:after="0" w:line="12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Treatment with TMZ demonstrated that NKG2D ligand expression can also be upregulated several fold on GBM stem-like cells, as depicted in Figure 20 below. This increase in stress ligand expression, even in TMZ-resistant and stem-like cancer cells, has the potential to increase the vulnerability of tumor cells to gamma-delta T cell targeting during the period of pharmacokinetic activity of TMZ.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335915</wp:posOffset>
            </wp:positionV>
            <wp:extent cx="3781425" cy="289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3781425" cy="289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20. Increased NKG2D Ligand Expression in Glioma Stem Cells Treated with TMZ</w:t>
      </w:r>
    </w:p>
    <w:p>
      <w:pPr>
        <w:spacing w:after="0" w:line="1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There are two principal challenges to clinical application of TMZ treatment in conjunction with gamma-delta T cells:</w:t>
      </w:r>
    </w:p>
    <w:p>
      <w:pPr>
        <w:spacing w:after="0" w:line="134" w:lineRule="exact"/>
        <w:rPr>
          <w:sz w:val="20"/>
          <w:szCs w:val="20"/>
          <w:color w:val="auto"/>
        </w:rPr>
      </w:pPr>
    </w:p>
    <w:p>
      <w:pPr>
        <w:ind w:left="980" w:hanging="482"/>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TMZ is cytotoxic to immune cells, including gamma-delta T cells; and</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increased expression of stress ligands is transient due to resistance mechanisms of the tumor.</w:t>
      </w:r>
    </w:p>
    <w:p>
      <w:pPr>
        <w:spacing w:after="0" w:line="119"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Therefore, we believe the ideal gamma-delta T cell exposure would occur when TMZ is still pharmacokinetically active. We developed INB-200 in a way that could enable it to overcome both of these challenges by engineering the cells that make up INB-200 to be resistant to TMZ, an approach we refer to as DeltEx DRI. Treatment of GBM using TMZ increases the levels of NKG2D stress ligands expressed on the tumor cells leading to activation of INB-200.</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240"/>
          </w:cols>
          <w:pgMar w:left="820" w:top="750" w:right="820" w:bottom="0" w:gutter="0" w:footer="0" w:header="0"/>
          <w:type w:val="continuous"/>
        </w:sectPr>
      </w:pPr>
    </w:p>
    <w:bookmarkStart w:id="32" w:name="page33"/>
    <w:bookmarkEnd w:id="32"/>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 introduction of the drug-resistant genes is designed to allow INB-200 to survive even when it is administered while TMZ is present even in concentrations above the clinical range. As depicted in in Figure 21 below, concurrent treatment with TMZ causes the direct killing of some tumor cells and immunosuppressive cells while activating gamma-delta T cells, which could lead to stimulating the antitumor activity of INB-200.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59690</wp:posOffset>
            </wp:positionV>
            <wp:extent cx="5876925" cy="3962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5876925" cy="396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21. DeltEx DRI Mechanism of Action Targeting the DNA Damage Response (DDR)</w:t>
      </w:r>
    </w:p>
    <w:p>
      <w:pPr>
        <w:spacing w:after="0" w:line="124"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have developed a process to genetically modify gamma-delta T cells in order to add a gene that codes for MGMT production. MGMT, a primary DNA repair protein, prevents cell death by repairing the DNA double-stranded breaks caused by alkylating chemotherapy, such as TMZ. Introduction of the gene encoding MGMT into gamma-delta T cells using a lentiviral vector decreased the sensitivity of these modified gamma-delta T cells to TMZ by approximately six-fold. We observed that this gene modification did not alter other properties of these gamma-delta T cells, including their cytotoxicity against target cells.</w:t>
      </w:r>
    </w:p>
    <w:p>
      <w:pPr>
        <w:spacing w:after="0" w:line="8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 xml:space="preserve">Our preclinical studies supporting the clinical development of DRI and the submission of an IND to the FDA was peer-reviewed and published online in the Nature portfolio journal </w:t>
      </w:r>
      <w:r>
        <w:rPr>
          <w:rFonts w:ascii="Times New Roman" w:cs="Times New Roman" w:eastAsia="Times New Roman" w:hAnsi="Times New Roman"/>
          <w:sz w:val="20"/>
          <w:szCs w:val="20"/>
          <w:i w:val="1"/>
          <w:iCs w:val="1"/>
          <w:color w:val="231F20"/>
        </w:rPr>
        <w:t>Scientific Reports</w:t>
      </w:r>
      <w:r>
        <w:rPr>
          <w:rFonts w:ascii="Times New Roman" w:cs="Times New Roman" w:eastAsia="Times New Roman" w:hAnsi="Times New Roman"/>
          <w:sz w:val="20"/>
          <w:szCs w:val="20"/>
          <w:color w:val="231F20"/>
        </w:rPr>
        <w:t xml:space="preserve"> in October 2021. In preclinical studies of INB-200 in GBM patient-derived xenograft models, we observed that the combined dosing of TMZ and treatment with our DeltEx DRI gamma-delta T cells led to a statistically significant (p-value ≤ 0.05) increase in overall survival in primary GBM xenograft tumors, as compared to mice treated separately with either chemotherapy or gamma-delta T cells.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240"/>
          </w:cols>
          <w:pgMar w:left="820" w:top="750" w:right="820" w:bottom="0" w:gutter="0" w:footer="0" w:header="0"/>
          <w:type w:val="continuous"/>
        </w:sectPr>
      </w:pPr>
    </w:p>
    <w:bookmarkStart w:id="33" w:name="page34"/>
    <w:bookmarkEnd w:id="33"/>
    <w:p>
      <w:pPr>
        <w:jc w:val="both"/>
        <w:ind w:firstLine="403"/>
        <w:spacing w:after="0" w:line="254" w:lineRule="auto"/>
        <w:rPr>
          <w:sz w:val="20"/>
          <w:szCs w:val="20"/>
          <w:color w:val="auto"/>
        </w:rPr>
      </w:pPr>
      <w:r>
        <w:rPr>
          <w:rFonts w:ascii="Times New Roman" w:cs="Times New Roman" w:eastAsia="Times New Roman" w:hAnsi="Times New Roman"/>
          <w:sz w:val="20"/>
          <w:szCs w:val="20"/>
          <w:color w:val="231F20"/>
        </w:rPr>
        <w:t>Unmodified gamma-delta cells showed no survival benefit. Subsequent histopathological analysis demonstrated no visible residual tumors in INB-200-treated animals at 150 days, as shown in Figure 22 below. This is important since xenograft models convey the heterogeneity of a human-derived tumor and not the monotonous population of a cell line used in syngeneic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490855</wp:posOffset>
            </wp:positionV>
            <wp:extent cx="5153025" cy="2743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515302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22. Improved Survival Observed in Both TMZ-Sensitive and TMZ-Resistant GBM Models</w:t>
      </w:r>
    </w:p>
    <w:p>
      <w:pPr>
        <w:spacing w:after="0" w:line="124"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Separately, we also examined the potential for sequencing chemotherapy and cell therapy, separating gamma-delta T cells from TMZ therapy by 24 hours (condition 1) and outside the effective concentration of TMZ. As shown in Figure 23 below, we observed that in TMZ-sensitive tumors treated with the sequenced regimen, delivery of the DeltEx DRI gamma-delta T cells led to modest improvement in median overall survival of 75 days compared to 60 days with TMZ alone but with no overall survival benefit over TMZ. Conversely, as discussed above, the combined and concomitant delivery of TMZ and DeltEx DRI gamma-delta T cell regimen (condition 2) resulted in 80% of mice surviving beyond 150 days. These results are consistent with our observations in cell lines, in which we observed that treatment with TMZ led to transient increase in the levels of NKG2D stress ligands. We believe the increased expression of these stress ligands, in turn, led to increased cytotoxic activity of the DeltEx DRI gamma-delta T cells. In preclinical studies, we observed that, even in TMZ-resistant tumors, administration of MGMT-modified gamma-delta T cells led to an increase in median and overall survival while sequencing TMZ and gamma-delta T cells showed no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148590</wp:posOffset>
            </wp:positionV>
            <wp:extent cx="5657850" cy="2447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5657850" cy="244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Figure 23. Histopathology Demonstrates No Residual GBM in Mice</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240"/>
          </w:cols>
          <w:pgMar w:left="820" w:top="750" w:right="82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231F20"/>
        </w:rPr>
        <w:t>Our Additional Product Candidates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INB-600: Gamma-Delta T Cell Engager</w:t>
      </w:r>
    </w:p>
    <w:p>
      <w:pPr>
        <w:spacing w:after="0" w:line="12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 xml:space="preserve">Our proprietary, internally developed gamma-delta TCE platform is designed to expand and activate pan gamma-delta T cells, including both the Vd1+ and Vd2+ subsets. This approach is intended to combine the antigen presentation and immunosurveillance capabilities associated with Vd2+ T cells with the long-term durability and potential tissue resident characteristics of Vd1+ T cells. This potentially maximizes both immediate and sustained immune responses, similarly to an </w:t>
      </w:r>
      <w:r>
        <w:rPr>
          <w:rFonts w:ascii="Times New Roman" w:cs="Times New Roman" w:eastAsia="Times New Roman" w:hAnsi="Times New Roman"/>
          <w:sz w:val="20"/>
          <w:szCs w:val="20"/>
          <w:i w:val="1"/>
          <w:iCs w:val="1"/>
          <w:color w:val="231F20"/>
        </w:rPr>
        <w:t>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vivo </w:t>
      </w:r>
      <w:r>
        <w:rPr>
          <w:rFonts w:ascii="Times New Roman" w:cs="Times New Roman" w:eastAsia="Times New Roman" w:hAnsi="Times New Roman"/>
          <w:sz w:val="20"/>
          <w:szCs w:val="20"/>
          <w:color w:val="231F20"/>
        </w:rPr>
        <w:t>CAR-T, leveraging the intrinsic cytotoxic properties of gamma-delta T cells as represented in Figure 24 below. In March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2025 we announced preliminary preclinical development of INB-619, a gamma-delta TCE targeting CD19 for potential applications in both oncology and autoimmune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6486525" cy="2343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6486525" cy="234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color w:val="231F20"/>
        </w:rPr>
        <w:t>Figure 24. INB-619 – A Novel CD19 Gamma-delta T Cell Engager</w:t>
      </w:r>
    </w:p>
    <w:p>
      <w:pPr>
        <w:spacing w:after="0" w:line="124"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 xml:space="preserve">In preclinical in vitro models, we have demonstrated that a CD19 targeted gamma-delta TCE can eradicate B cells, with depletion maintained as gamma-delta T cells expand in response to TCE stimulation. In October 2025 we presented data demonstrating the potential for INB-619 in treating B cell-driven autoimmune diseases, such as SLE. INB-619 achieved complete depletion of B cells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using peripheral blood mononuclear cells (“PBMCs”) from both healthy donors and patients with active SLE. This included significant reductions in harmful autoantibodies (IgG1 and IgM levels) in SLE samples, correlating with the degree of B cell depletion and gamma-delta T cell expansion. The data further highlighted the potential of INB-619 through head-to-head analysis of B cell depletion in SLE donors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compared to commercial B cell depletors. In SLE donor models, INB-619 showed equivalent or better B cell elimination when compared to blinatumomab (CD19-targeted) and mosunetuzumab (CD20-targeted) as shown in Figure 25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6486525" cy="2047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486525" cy="204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color w:val="231F20"/>
        </w:rPr>
        <w:t>Figure 25. INB-619 B cell Depletion Relative to Approved CD19 and CD20 Drugs at Day 4</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240"/>
          </w:cols>
          <w:pgMar w:left="820" w:top="746" w:right="820" w:bottom="0" w:gutter="0" w:footer="0" w:header="0"/>
          <w:type w:val="continuous"/>
        </w:sectPr>
      </w:pPr>
    </w:p>
    <w:bookmarkStart w:id="35" w:name="page36"/>
    <w:bookmarkEnd w:id="35"/>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Notably, INB-619 demonstrated a favorable cytokine profile, with minimal to no detectable CRS-associated cytokines (e.g., IL-4, IL-6, IL-10, TNF-a, IL-17α). This contrasts with both blinatumomab and mosunetuzumab, which had significantly higher levels of CRS-inducing cytokines as shown in Figure 26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55880</wp:posOffset>
            </wp:positionV>
            <wp:extent cx="6486525" cy="2066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648652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color w:val="231F20"/>
        </w:rPr>
        <w:t>Figure 26. INB-619 CRS Related Cytokine Secretion Relative to Approved CD19 and CD20 Drugs</w:t>
      </w:r>
    </w:p>
    <w:p>
      <w:pPr>
        <w:spacing w:after="0" w:line="12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Taken together, these preclinical findings suggest the potential for INB-619 to achieve deep B cell depletion with a potentially differentiated safety profile. As a biologic, our TCE INB-619 may offer advantages including repeat dosing and the potential to avoid lymphodepleting chemotherapy, which could be particularly relevant in autoimmune indications. We expect to present additional preclinical data at a scientific or medical meeting in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License Agreements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Exclusive License Agreement with Emory University, Children’s Healthcare of Atlanta, Inc. and The UAB Research Foundation</w:t>
      </w:r>
    </w:p>
    <w:p>
      <w:pPr>
        <w:spacing w:after="0" w:line="49"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In June 2016, we entered into an Exclusive License Agreement with the Emory University, Children’s Healthcare of Atlanta, Inc. and The UAB Research Foundation ("UABRF"), as amended from time to time, which we refer to as the Emory license agreement. We amended the Emory license agreement in October 2017 and July 2020. Under the Emory license agreement, we obtained an exclusive worldwide license under certain immunotherapy-related patents and know-how related to gamma-delta T cells developed by the Emory University, Children’s Healthcare of Atlanta, Inc. and UABRF’s affiliate, UAB,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spacing w:after="0" w:line="82" w:lineRule="exact"/>
        <w:rPr>
          <w:sz w:val="20"/>
          <w:szCs w:val="20"/>
          <w:color w:val="auto"/>
        </w:rPr>
      </w:pPr>
    </w:p>
    <w:p>
      <w:pPr>
        <w:jc w:val="both"/>
        <w:ind w:firstLine="403"/>
        <w:spacing w:after="0" w:line="229" w:lineRule="auto"/>
        <w:rPr>
          <w:sz w:val="20"/>
          <w:szCs w:val="20"/>
          <w:color w:val="auto"/>
        </w:rPr>
      </w:pPr>
      <w:r>
        <w:rPr>
          <w:rFonts w:ascii="Times New Roman" w:cs="Times New Roman" w:eastAsia="Times New Roman" w:hAnsi="Times New Roman"/>
          <w:sz w:val="20"/>
          <w:szCs w:val="20"/>
          <w:color w:val="231F20"/>
        </w:rPr>
        <w:t>In consideration of the license granted to us under the Emory license agreement, we paid Emory a nominal upfront payment. We are required to pay Emory development milestones totaling up to an aggregate of $1.4 million, low-single-digit to mid-single-digit tiered running royalties on the net sales of the licensed products, including an annual minimum royalty of $0.5 million beginning in the third year following the first sale of a licensed product, increasing to $ 1.0 million in the fourth year and $1.5 million in the fifth year and thereafter. In addition, we are also required to pay Emory between 1% and 15% of any fees or payments we may receive from our sublicensees, depending on when the sublicense executed. In the event no milestone payments have been paid in certain years, we will be required to pay an annual license maintenance fee: prior to the 78</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20"/>
          <w:szCs w:val="20"/>
          <w:color w:val="231F20"/>
        </w:rPr>
        <w:t xml:space="preserve"> month anniversary of the agreement, $250,000; prior to the 90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20"/>
          <w:szCs w:val="20"/>
          <w:color w:val="231F20"/>
        </w:rPr>
        <w:t xml:space="preserve"> month anniversary of the agreement, $0.5 million; and on or after the eight-year anniversary of the agreement, $1.0 million. The Emory license agreement also requires us to reimburse Emory for the cost of the prosecution and maintenance of the licensed patents.</w:t>
      </w:r>
    </w:p>
    <w:p>
      <w:pPr>
        <w:spacing w:after="0" w:line="9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Pursuant to the Emory license agreement, we are required to use our best efforts to develop, manufacture and commercialize the licensed product, and are obligated to meet certain specified deadlines in the development of the licensed products.</w:t>
      </w:r>
    </w:p>
    <w:p>
      <w:pPr>
        <w:spacing w:after="0" w:line="68"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The term of the Emory license agreement will continue until 15 years after the first commercial sale of the licensed product, or the expiration of the relevant licensed patents, whichever is later. We may terminate the Emory license agreement at will at any time upon prior written notice to Emory. Emory has the right to terminate the Emory license agreement if we materially breach the agreement (including failure to meet our diligence obligations) and fail to cure such breach within specified cure period, if we become bankrupt or insolvent or decide to cease development and commercialization of the licensed product, or if we challenge the validity or enforceability of any licensed patents. For more information related to the intellectual property acquired pursuant to the Emory license agreement, see the section titled “Business—Intellectual Property.”</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240"/>
          </w:cols>
          <w:pgMar w:left="820" w:top="750" w:right="82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i w:val="1"/>
          <w:iCs w:val="1"/>
          <w:color w:val="231F20"/>
        </w:rPr>
        <w:t>Exclusive License Agreement with UABRF</w:t>
      </w:r>
    </w:p>
    <w:p>
      <w:pPr>
        <w:spacing w:after="0" w:line="12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March 2016, we entered into an Exclusive License Agreement with UABRF, as amended from time to time, which we refer to as the UABRF license agreement. We amended the UABRF license agreement in December 2016, January 2017, June 2017 and November 2018. Under the UABRF license agreement, we obtained an exclusive worldwide license under certain immunotherapy-related patents related to the use of gamma-delta T cells, certain CAR-T cells and combination treatments for cell therapies developed by UAB and owned by UABRF to develop, make, have made, use, sell, import and otherwise commercialize products that are covered by such patents. Such exclusive license is subject to certain rights retained by UABRF and also the U.S. government.</w:t>
      </w:r>
    </w:p>
    <w:p>
      <w:pPr>
        <w:spacing w:after="0" w:line="8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In consideration of the license granted to us under the UABRF license agreement, we paid UABRF a nominal upfront payment and issued 3,041 shares of our common stock to UABRF, which were subject to certain antidilution rights. The antidilution provision required us to issue additional shares of common stock such that UABRF maintained a 2.5% ownership interest in the Company until we raised at least $20.0 million through one or more rounds of investment. As of August 2020, we raised an aggregate of $ 36.6 million through the sale of our securities. Between March 2017 and August 2020, we issued UABRF an additional 5,046 shares of our common stock in satisfaction of this antidilution provision.</w:t>
      </w:r>
    </w:p>
    <w:p>
      <w:pPr>
        <w:spacing w:after="0" w:line="8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In addition, we are required to pay UABRF development milestones totaling up to an aggregate of $1.4 million, lump sum royalties on cumulative net sales totaling up to an aggregate of $ 22.5 million, mid-single-digit running royalties on our net sales of the licensed products, low single-digit running royalties on net sales of the licensed products by our sublicensees, and a share of certain non-royalty income ranging between 2.5% to 25%, depending on the status of certain clinical trials, that we may receive, including from any sublicensees. The UABRF license agreement also requires us to reimburse UABRF for the cost of the prosecution and maintenance of the licensed patents.</w:t>
      </w:r>
    </w:p>
    <w:p>
      <w:pPr>
        <w:spacing w:after="0" w:line="80"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Pursuant to the UABRF license agreement, we are required to use good faith reasonable commercial efforts to develop, manufacture and commercialize the licensed product.</w:t>
      </w:r>
    </w:p>
    <w:p>
      <w:pPr>
        <w:spacing w:after="0" w:line="49"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The term of the UABRF license agreement will continue until the expiration of the licensed patents. We may terminate the UABRF license agreement at will at any time upon prior written notice to UABRF. UABRF has the right to terminate the UABRF license agreement if we materially breach the agreement and fail to cure such breach within a specified cure period, if we fail to diligently undertake development and commercialization activities as set forth in the development and commercialization plan, if we underreport our payment obligations or underpay by more than a specified threshold, if we challenge the validity or enforceability of any licensed patents, or if we become bankrupt or insolvent. For more information related to the intellectual property acquired pursuant to the UABRF license agreement, see the section titled “Business—Intellectual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Sales and Marketing</w:t>
      </w:r>
    </w:p>
    <w:p>
      <w:pPr>
        <w:spacing w:after="0" w:line="12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Given our stage of development, we have not yet established a commercial organization or distribution capabilities. We plan to build focused capabilities in the United States to commercialize our development programs focused on allogeneic or autologous, genetically modified gamma-delta T cell therapies for the treatment of cancer, where the patient populations and medical specialists for the indications we are targeting are sufficiently concentrated to allow us to effectively promote our products, if approved for commercial sale, with a targeted sales team. In other markets for which commercialization may be less capital efficient for us, we may selectively pursue strategic collaborations with third parties in order to maximize the commercial potential of our product candidates.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124"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We do not own or operate manufacturing facilities for the production of our current product candidates. We currently rely on third-party contract manufacturers for all of our required raw materials, manufacturing devices, active pharmaceutical ingredients, lentiviral vectors and finished product for our preclinical research and clinical trials. We have agreements with multiple GMP cell therapy laboratory facilities to manufacture product candidates for our Phase 1 and Phase 2/3 clinical trials. The multi-year agreements allow our medical technologists direct access to the facilities to assist and operate alongside the GMP facility staff. The agreements provide for manufacturing on a per-patient basis. We intend to enter into agreements with third-party manufacturers and/or facilities for future production. We are analyzing the feasibility and costs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240"/>
          </w:cols>
          <w:pgMar w:left="820" w:top="750" w:right="82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19"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231F20"/>
        </w:rPr>
        <w:t>The biotechnology industry is characterized by intense and dynamic competition to develop new technologies and proprietary therapies. Any product candidates that we successfully develop and commercialize will have to compete with existing therapies and new therapies that may become available in the future. We believe that our proprietary gamma-delta T cell platform and our product candidates, strategic collaborations and scientific and clinical expertise may provide us with competitive advantages. However, we face potential competition from various sources, including larger and better-funded pharmaceutical, specialty pharmaceutical and biotechnology companies, as well as from academic institutions, governmental agencies and public and private research institutions. The key competitive factors affecting the success of any product that may be approved by regulators will include the efficacy, safety profile, pricing, method of administration and level of promotional activity.</w:t>
      </w:r>
    </w:p>
    <w:p>
      <w:pPr>
        <w:spacing w:after="0" w:line="87"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The field of gamma-delta T cells and T cell engagers is growing rapidly. Our known competitors in the field of allogeneic and gamma-delta T cell therapy include Acepodia USA, Adicet Bio, Inc., American Gene Technologies International Inc., Century Therapeutics, Inc., CytoMed Therapeutics Pte Ltd, Editas Medicine, Inc., Enochian BioSciences, Inc., Eureka Therapeutics, Inc., Expression Therapeutics, Inc., Immatics Biotechnologies GmbH, Johnson &amp; Johnson Innovative Medicine, a division of Johnson &amp; Johnson, Kiromic Biopharma, Inc., OverT Bio, Inc., PersonGen BioTherapeutics (Suzhou) Co., Ltd., PhosphoGam Inc., Regeneron Pharmaceuticals, Inc., Sandhill Therapeutics, Inc., Senti Biosciences, Inc., Shattuck Labs, Inc., and Xoma Royalty Corp., several of which have initiated clinical trials. Our gamma-delta T cell product candidates may also compete with other cell and molecule-based immunotherapy approaches using and/or targeting natural killer cells, T cells and dendritic cells. Our known competitors in the field of TCEs include AbCellera Biologics Inc., AbbVie Inc., Adaptin Bio, Inc., Akeso, Inc., Amgen Inc., Antengene Corporation Limited, AP Biosciences Inc., BioAtla, Inc., BioNTech SE, Bristol Myers Squibb Co, Candid Therapeutics, Inc., Cartography Biosciences, Inc., CDR-Life Inc., Cullinan Therapeutics, Inc., CytoSpire Therapeutics Limited, EvolveImmune Therapeutics, Inc., Genmab A/S, Chongqing Genrix Biopharmaceutical Co., Ltd., HCW Biologics Inc., Janux Therapeutics, Inc., Oblenio Bio, Inc., Pfizer Inc, Regeneron Pharmaceuticals, Inc., Roche Holding AG /Genentech, Inc., and Sanofi, several of which have initiated clinical trials.</w:t>
      </w:r>
    </w:p>
    <w:p>
      <w:pPr>
        <w:spacing w:after="0" w:line="83"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231F20"/>
        </w:rPr>
        <w:t>Many of our current or potential competitors have greater financial resources and infrastructure, including larger research and development staffs, infrastructure to support testing, developing, marketing and commercialization of products.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Accordingly, our competitors may be more successful than us in obtaining approval for treatments and achieving widespread market acceptance. Our competitors’ treatments may be more effective, or more effectively marketed and sold, than any treatment we may commercialize and they may render our treatments obsolete or non-competitive before we can recover the expenses of developing and commercializing any of our treatments.</w:t>
      </w:r>
    </w:p>
    <w:p>
      <w:pPr>
        <w:spacing w:after="0" w:line="87"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subject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78"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anticipate that we will face intense and increasing competition as new therapies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spacing w:after="0" w:line="75"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Our commercial opportunity could be reduced or eliminated if our competitors develop and commercialize products that are safer, more effective, have a better safety profile,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Overview</w:t>
      </w:r>
    </w:p>
    <w:p>
      <w:pPr>
        <w:spacing w:after="0" w:line="115"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We actively seek to protect our proprietary technology, inventions, improvements to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future in-licensing opportunities to develop, strengthen and maintain the strength of our position in the field of cellular therapy that may be</w:t>
      </w:r>
    </w:p>
    <w:p>
      <w:pPr>
        <w:sectPr>
          <w:pgSz w:w="11880" w:h="15480" w:orient="portrait"/>
          <w:cols w:equalWidth="0" w:num="1">
            <w:col w:w="10240"/>
          </w:cols>
          <w:pgMar w:left="820" w:top="742" w:right="82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240"/>
          </w:cols>
          <w:pgMar w:left="820" w:top="742" w:right="820" w:bottom="0" w:gutter="0" w:footer="0" w:header="0"/>
          <w:type w:val="continuous"/>
        </w:sectPr>
      </w:pPr>
    </w:p>
    <w:bookmarkStart w:id="38" w:name="page39"/>
    <w:bookmarkEnd w:id="38"/>
    <w:p>
      <w:pPr>
        <w:jc w:val="both"/>
        <w:spacing w:after="0" w:line="273" w:lineRule="auto"/>
        <w:rPr>
          <w:sz w:val="20"/>
          <w:szCs w:val="20"/>
          <w:color w:val="auto"/>
        </w:rPr>
      </w:pPr>
      <w:r>
        <w:rPr>
          <w:rFonts w:ascii="Times New Roman" w:cs="Times New Roman" w:eastAsia="Times New Roman" w:hAnsi="Times New Roman"/>
          <w:sz w:val="20"/>
          <w:szCs w:val="20"/>
          <w:color w:val="231F20"/>
        </w:rPr>
        <w:t>important for the development of our business. Additional regulatory protection may also be afforded through data exclusivity, market exclusivity and patent-term extensions where available.</w:t>
      </w:r>
    </w:p>
    <w:p>
      <w:pPr>
        <w:spacing w:after="0" w:line="51"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As of December 31, 2025, we owned, co-owned or exclusively licensed five issued U.S. patents, seven issued European patents, 21 other issued foreign patents, nine pending U.S. applications, two pending PCT applications and 16 other foreign national-stage applications, including five European regional-phase applications that are important to the development of our business.</w:t>
      </w:r>
    </w:p>
    <w:p>
      <w:pPr>
        <w:spacing w:after="0" w:line="74"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Our policy is to file patent applications to protect proprietary technology, inventions and improvements to inventions and other intellectual property that may be commercially important to the development of our business. We also intend to seek additional patent protection or rely upon trade secret rights to protect other technologies that may be used to manufacture and develop our gamma-delta T cell products. We are a party to exclusive license agreements that grant us rights to use specific technologies in our gamma-delta T cell products and in the manufacturing and development of our products. For more information, see the section titled “Business—License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Patent Portfolio</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Patent applications directed to our most advanced programs are summarized below.</w:t>
      </w: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INB-100</w:t>
      </w:r>
    </w:p>
    <w:p>
      <w:pPr>
        <w:spacing w:after="0" w:line="118"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Pursuant to the UABRF license agreement, we have licensed one U.S patent application, one issued European patent (which has been widely validated in Europe), one issued Japanese patent, one issued Singaporean patent, one issued Australian patent, one issued Israeli patent, one issued New Zealand patent, and four foreign national-stage applications. These patents and applications contain claims or supporting disclosures directed to methods of HSCT and treating diseases of interest using INB-100. Issued patents and patents issuing from these patent applications, if any, are expected to expire in 2036, without accounting for potential patent term extensions and adjustments.</w:t>
      </w:r>
    </w:p>
    <w:p>
      <w:pPr>
        <w:spacing w:after="0" w:line="8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We also own one pending PCT application that contains claims or supporting disclosures directed to additional methods of HSCT and treating diseases of interest using INB-100. Patents issuing from this patent application, if any, are expected to expire in 2044, without accounting for potential patent term extensions and adjustments.</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INB-200 and INB-400</w:t>
      </w:r>
    </w:p>
    <w:p>
      <w:pPr>
        <w:spacing w:after="0" w:line="118"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Pursuant to the Emory license agreement, we have licensed three issued U.S. patents, three issued European patents (each which have been widely validated in Europe) and two U.S pending patent applications. These patents and applications contain claims or supporting disclosures directed to the INB-200 and INB-400 composition of matter and to methods of treating diseases of interest using INB-200 and INB-400. Issued patents and patents issuing from the pending applications, if any, are expected to expire in 2030, without accounting for potential patent term extensions and adjustments.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INB-200/INB-400 and Immune Checkpoint Inhibitor Combination Therapy</w:t>
      </w:r>
    </w:p>
    <w:p>
      <w:pPr>
        <w:spacing w:after="0" w:line="118"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co-own one pending U.S. patent application, one issued European patent, one issued Japanese patent, one issued Korean patent, one issued Australian patent, one issued New Zealand patent, and one issued Singaporean patent, and one Canadian national stage patent applications with The UAB Research Foundation. These patents and applications contain claims or supporting disclosures directed to methods of treating diseases of interest using INB-200 and INB-400 in combination with immune checkpoint inhibitor therapies. Issued patents and patents issuing from the patent applications, if any, are expected to expire in 2037, without accounting for potential patent term extensions and adjustments.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INB-200/400 and PARP Inhibitor Combination Therapy</w:t>
      </w:r>
    </w:p>
    <w:p>
      <w:pPr>
        <w:spacing w:after="0" w:line="11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We co -own one pending U.S. patent application and two other foreign national stage applications with The UAB Research Foundation that contain claims or supporting disclosures directed to methods of treating diseases of interest using INB-200 and INB-400 in combination with PARP inhibitor therapies. Patents issuing from these patent applications, if any, are expected to expire in 2039, without accounting for potential patent term extensions and adjustments.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INB-300</w:t>
      </w:r>
    </w:p>
    <w:p>
      <w:pPr>
        <w:spacing w:after="0" w:line="11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Pursuant to the UABRF license agreement, we have also licensed one issued U.S. patent, one issued Israeli patent, one issued Korean patent, one issued Singaporean patent, one pending U.S. patent application and three foreign national-stage applications, including a European regional phase application. These patents and patent applications contain claims or supporting disclosures directed to the INB-300 composition of matter and to methods of treating diseases of interest using INB-</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240"/>
          </w:cols>
          <w:pgMar w:left="820" w:top="746" w:right="820" w:bottom="0" w:gutter="0" w:footer="0" w:header="0"/>
          <w:type w:val="continuous"/>
        </w:sectPr>
      </w:pPr>
    </w:p>
    <w:bookmarkStart w:id="39" w:name="page40"/>
    <w:bookmarkEnd w:id="39"/>
    <w:p>
      <w:pPr>
        <w:ind w:firstLine="8"/>
        <w:spacing w:after="0" w:line="277" w:lineRule="auto"/>
        <w:tabs>
          <w:tab w:leader="none" w:pos="449"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Issued patents and patents issuing from these patent applications, if any, are expected to expire in 2037, without accounting for potential patent term extensions and adjustments.</w:t>
      </w:r>
    </w:p>
    <w:p>
      <w:pPr>
        <w:spacing w:after="0" w:line="49"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We also own one pending U.S. application and four foreign national patent applications that contains claims or supporting disclosures directed to additional INB-300 compositions and to methods of treating diseases of interest. Patents issuing from these patent applications, if any, are expected to expire in 2042, without accounting for potential patent term extensions and adjustments.</w:t>
      </w:r>
    </w:p>
    <w:p>
      <w:pPr>
        <w:spacing w:after="0" w:line="7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In addition, we own one pending U.S. application, a pending European regional phase application and a pending Canadian application that contains claims or supporting disclosures directed to further INB-300 compositions and to methods of treating diseases of interest. Patents issuing from this patent application, if any, are expected to expire in 2044, without accounting for potential patent term extensions and adjustments.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INB-500</w:t>
      </w:r>
    </w:p>
    <w:p>
      <w:pPr>
        <w:spacing w:after="0" w:line="11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We own one pending U.S. application, a pending European regional phase application and a pending Canadian application that contains claims and supporting disclosures for methods of generating, producing and genetically modifying iPSC gamma-delta T cells and to methods of use including treating diseases of interest. Patents issuing from these patent applications, if any, are expected to expire in 2043, without accounting for potential patent term extensions and adjustments.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INB-600</w:t>
      </w:r>
    </w:p>
    <w:p>
      <w:pPr>
        <w:spacing w:after="0" w:line="118"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We own one pending PCT application on the proprietary T cell engager technology, structure, mechanism, potential applications and uses.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Patent Term and Term Extensions</w:t>
      </w:r>
    </w:p>
    <w:p>
      <w:pPr>
        <w:spacing w:after="0" w:line="12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In addition, in certain instances, the term of a U.S. patent can be extended to recapture a portion of the United States Patent and Trademark Office (the "USPTO"), delay in issuing the patent as well as a portion of the term effectively lost as a result of the FDA regulatory review period. However, as to the FDA component, the restoration period cannot be longer than five years and the restoration period cannot extend the patent term beyond 14 years from FDA approval. In addition, only one patent applicable to an approved drug is eligible for the extension, and only those claims covering the approved drug, a method for using it, or a method of manufacturing may be extended. The duration of foreign patents varies in accordance with provisions of applicable local law, but typically is also 20 years from the earliest effective filing date. All taxes, annuities or maintenance fees for a patent, as required by the USPTO and various foreign jurisdictions, must be timely paid in order for the patent to remain in force during this period of time.</w:t>
      </w:r>
    </w:p>
    <w:p>
      <w:pPr>
        <w:spacing w:after="0" w:line="86"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actual protection afforded by a patent may vary on a product-by-product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w:t>
      </w:r>
    </w:p>
    <w:p>
      <w:pPr>
        <w:spacing w:after="0" w:line="6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the section titled “Risk Factors—Risks Related to Our Intellectual Property.”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Trade Secrets and Know-How</w:t>
      </w:r>
    </w:p>
    <w:p>
      <w:pPr>
        <w:spacing w:after="0" w:line="12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including our proprietary processes for expanding and activating therapeutic quantities of gamma-delta T cells and modified gamma-delta T cells. We seek to protect our proprietary technology and processes,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These agreements may be breached, and we may not have adequate remedies for any breach. In addition, our trade secrets may otherwise become known or be independently discovered by competitors. To the extent that our contractors, commercial partners, collaborators, employees, and consultants use intellectual property owned by others in their work for us, disputes may arise as to the rights in related or resulting know-how and inventions. For more information, see the section titled “Risk Factors—Risks Related to Our Intellectual Property.”</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240"/>
          </w:cols>
          <w:pgMar w:left="820" w:top="750" w:right="820" w:bottom="0" w:gutter="0" w:footer="0" w:header="0"/>
          <w:type w:val="continuous"/>
        </w:sectPr>
      </w:pPr>
    </w:p>
    <w:bookmarkStart w:id="40" w:name="page41"/>
    <w:bookmarkEnd w:id="40"/>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We also seek to preserve the integrity and confidentiality of our data and trade secrets by maintaining physical security of our premises and physical and electronic security of our information technology systems.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19" w:lineRule="exact"/>
        <w:rPr>
          <w:sz w:val="20"/>
          <w:szCs w:val="20"/>
          <w:color w:val="auto"/>
        </w:rPr>
      </w:pPr>
    </w:p>
    <w:p>
      <w:pPr>
        <w:jc w:val="both"/>
        <w:ind w:firstLine="403"/>
        <w:spacing w:after="0" w:line="241" w:lineRule="auto"/>
        <w:rPr>
          <w:sz w:val="20"/>
          <w:szCs w:val="20"/>
          <w:color w:val="auto"/>
        </w:rPr>
      </w:pPr>
      <w:r>
        <w:rPr>
          <w:rFonts w:ascii="Times New Roman" w:cs="Times New Roman" w:eastAsia="Times New Roman" w:hAnsi="Times New Roman"/>
          <w:sz w:val="20"/>
          <w:szCs w:val="20"/>
          <w:color w:val="231F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81" w:lineRule="exact"/>
        <w:rPr>
          <w:sz w:val="20"/>
          <w:szCs w:val="20"/>
          <w:color w:val="auto"/>
        </w:rPr>
      </w:pPr>
    </w:p>
    <w:p>
      <w:pPr>
        <w:jc w:val="both"/>
        <w:ind w:firstLine="403"/>
        <w:spacing w:after="0" w:line="273" w:lineRule="auto"/>
        <w:rPr>
          <w:sz w:val="20"/>
          <w:szCs w:val="20"/>
          <w:color w:val="auto"/>
        </w:rPr>
      </w:pPr>
      <w:r>
        <w:rPr>
          <w:rFonts w:ascii="Times New Roman" w:cs="Times New Roman" w:eastAsia="Times New Roman" w:hAnsi="Times New Roman"/>
          <w:sz w:val="20"/>
          <w:szCs w:val="20"/>
          <w:color w:val="231F20"/>
        </w:rPr>
        <w:t>The process required by the FDA before biologic product candidates may be marketed in the United States generally involves the following:</w:t>
      </w:r>
    </w:p>
    <w:p>
      <w:pPr>
        <w:spacing w:after="0" w:line="62" w:lineRule="exact"/>
        <w:rPr>
          <w:sz w:val="20"/>
          <w:szCs w:val="20"/>
          <w:color w:val="auto"/>
        </w:rPr>
      </w:pPr>
    </w:p>
    <w:p>
      <w:pPr>
        <w:ind w:left="980" w:hanging="482"/>
        <w:spacing w:after="0" w:line="272"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completion of preclinical laboratory tests and animal studies performed in accordance with the FDA’s current Good Laboratory Practices regulation;</w:t>
      </w:r>
    </w:p>
    <w:p>
      <w:pPr>
        <w:spacing w:after="0" w:line="62"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submission to the FDA of an IND, which must become effective before clinical trials may begin and must be updated annually or when significant changes are made;</w:t>
      </w:r>
    </w:p>
    <w:p>
      <w:pPr>
        <w:spacing w:after="0" w:line="62"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approval by an independent Institutional Review Board ("IRB"), or ethics committee at each treatment site before the trial is commenced;</w:t>
      </w:r>
    </w:p>
    <w:p>
      <w:pPr>
        <w:spacing w:after="0" w:line="62"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performance of adequate and well controlled human clinical trials to establish the safety, purity and potency of the proposed biologic product candidate for its intended purpose;</w:t>
      </w:r>
    </w:p>
    <w:p>
      <w:pPr>
        <w:spacing w:after="0" w:line="62"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preparation of and submission to the FDA of a biologics license application ("BLA"), after completion of all pivotal clinical trials;</w:t>
      </w:r>
    </w:p>
    <w:p>
      <w:pPr>
        <w:spacing w:after="0" w:line="62" w:lineRule="exact"/>
        <w:rPr>
          <w:rFonts w:ascii="Arial" w:cs="Arial" w:eastAsia="Arial" w:hAnsi="Arial"/>
          <w:sz w:val="20"/>
          <w:szCs w:val="20"/>
          <w:color w:val="231F20"/>
        </w:rPr>
      </w:pPr>
    </w:p>
    <w:p>
      <w:pPr>
        <w:ind w:left="980" w:hanging="482"/>
        <w:spacing w:after="0"/>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an FDA Advisory Committee review, if applicable;</w:t>
      </w:r>
    </w:p>
    <w:p>
      <w:pPr>
        <w:spacing w:after="0" w:line="128" w:lineRule="exact"/>
        <w:rPr>
          <w:rFonts w:ascii="Arial" w:cs="Arial" w:eastAsia="Arial" w:hAnsi="Arial"/>
          <w:sz w:val="20"/>
          <w:szCs w:val="20"/>
          <w:color w:val="231F20"/>
        </w:rPr>
      </w:pPr>
    </w:p>
    <w:p>
      <w:pPr>
        <w:ind w:left="980" w:hanging="482"/>
        <w:spacing w:after="0"/>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a determination by the FDA within 60 days of its receipt of a BLA to file the application for review;</w:t>
      </w:r>
    </w:p>
    <w:p>
      <w:pPr>
        <w:spacing w:after="0" w:line="128" w:lineRule="exact"/>
        <w:rPr>
          <w:rFonts w:ascii="Arial" w:cs="Arial" w:eastAsia="Arial" w:hAnsi="Arial"/>
          <w:sz w:val="20"/>
          <w:szCs w:val="20"/>
          <w:color w:val="231F20"/>
        </w:rPr>
      </w:pPr>
    </w:p>
    <w:p>
      <w:pPr>
        <w:jc w:val="both"/>
        <w:ind w:left="980" w:hanging="482"/>
        <w:spacing w:after="0" w:line="247"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("GCP"); and</w:t>
      </w:r>
    </w:p>
    <w:p>
      <w:pPr>
        <w:spacing w:after="0" w:line="88"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FDA review and approval of the BLA to permit commercial marketing of the product for particular indications for use in the United States.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Preclinical and Clinical Development</w:t>
      </w:r>
    </w:p>
    <w:p>
      <w:pPr>
        <w:spacing w:after="0" w:line="115"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231F20"/>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84" w:lineRule="exact"/>
        <w:rPr>
          <w:sz w:val="20"/>
          <w:szCs w:val="20"/>
          <w:color w:val="auto"/>
        </w:rPr>
      </w:pPr>
    </w:p>
    <w:p>
      <w:pPr>
        <w:jc w:val="both"/>
        <w:ind w:firstLine="403"/>
        <w:spacing w:after="0"/>
        <w:rPr>
          <w:sz w:val="20"/>
          <w:szCs w:val="20"/>
          <w:color w:val="auto"/>
        </w:rPr>
      </w:pPr>
      <w:r>
        <w:rPr>
          <w:rFonts w:ascii="Times New Roman" w:cs="Times New Roman" w:eastAsia="Times New Roman" w:hAnsi="Times New Roman"/>
          <w:sz w:val="20"/>
          <w:szCs w:val="20"/>
          <w:color w:val="231F20"/>
        </w:rPr>
        <w:t>Supervision of human gene transfer trials includes evaluation and assessment by an Institutional Biosafety Committee ("IBC"), a local institutional committee that reviews and oversees research utilizing recombinant or synthetic nucleic acid molecules at that institution, as set forth in the NIH Guidelines for Research Involving Recombinant or Synthetic Nucleic Acid Molecules, or NIH Guidelines.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240"/>
          </w:cols>
          <w:pgMar w:left="820" w:top="750" w:right="820" w:bottom="0" w:gutter="0" w:footer="0" w:header="0"/>
          <w:type w:val="continuous"/>
        </w:sectPr>
      </w:pPr>
    </w:p>
    <w:bookmarkStart w:id="41" w:name="page42"/>
    <w:bookmarkEnd w:id="41"/>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For purposes of BLA approval, human clinical trials are typically conducted in three sequential phases that may overlap.</w:t>
      </w:r>
    </w:p>
    <w:p>
      <w:pPr>
        <w:spacing w:after="0" w:line="130" w:lineRule="exact"/>
        <w:rPr>
          <w:sz w:val="20"/>
          <w:szCs w:val="20"/>
          <w:color w:val="auto"/>
        </w:rPr>
      </w:pPr>
    </w:p>
    <w:p>
      <w:pPr>
        <w:jc w:val="both"/>
        <w:ind w:left="980" w:hanging="482"/>
        <w:spacing w:after="0" w:line="247"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88" w:lineRule="exact"/>
        <w:rPr>
          <w:rFonts w:ascii="Arial" w:cs="Arial" w:eastAsia="Arial" w:hAnsi="Arial"/>
          <w:sz w:val="20"/>
          <w:szCs w:val="20"/>
          <w:color w:val="231F20"/>
        </w:rPr>
      </w:pPr>
    </w:p>
    <w:p>
      <w:pPr>
        <w:jc w:val="both"/>
        <w:ind w:left="980" w:hanging="482"/>
        <w:spacing w:after="0" w:line="247"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88" w:lineRule="exact"/>
        <w:rPr>
          <w:rFonts w:ascii="Arial" w:cs="Arial" w:eastAsia="Arial" w:hAnsi="Arial"/>
          <w:sz w:val="20"/>
          <w:szCs w:val="20"/>
          <w:color w:val="231F20"/>
        </w:rPr>
      </w:pPr>
    </w:p>
    <w:p>
      <w:pPr>
        <w:jc w:val="both"/>
        <w:ind w:left="980" w:hanging="482"/>
        <w:spacing w:after="0" w:line="247"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74"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231F20"/>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BLA Submission and Review</w:t>
      </w:r>
    </w:p>
    <w:p>
      <w:pPr>
        <w:spacing w:after="0" w:line="115" w:lineRule="exact"/>
        <w:rPr>
          <w:sz w:val="20"/>
          <w:szCs w:val="20"/>
          <w:color w:val="auto"/>
        </w:rPr>
      </w:pPr>
    </w:p>
    <w:p>
      <w:pPr>
        <w:jc w:val="both"/>
        <w:ind w:firstLine="403"/>
        <w:spacing w:after="0" w:line="241" w:lineRule="auto"/>
        <w:rPr>
          <w:sz w:val="20"/>
          <w:szCs w:val="20"/>
          <w:color w:val="auto"/>
        </w:rPr>
      </w:pPr>
      <w:r>
        <w:rPr>
          <w:rFonts w:ascii="Times New Roman" w:cs="Times New Roman" w:eastAsia="Times New Roman" w:hAnsi="Times New Roman"/>
          <w:sz w:val="20"/>
          <w:szCs w:val="20"/>
          <w:color w:val="231F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 and the sponsor of an approved BLA is also subject to an annual program fee.</w:t>
      </w:r>
    </w:p>
    <w:p>
      <w:pPr>
        <w:spacing w:after="0" w:line="81"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231F20"/>
        </w:rPr>
        <w:t>Once a BLA has been submitted, the FDA’s goal is to review standard applications within 10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including, as applicable, for compliance with Good Tissue Practices.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w:t>
      </w:r>
    </w:p>
    <w:p>
      <w:pPr>
        <w:sectPr>
          <w:pgSz w:w="11880" w:h="15480" w:orient="portrait"/>
          <w:cols w:equalWidth="0" w:num="1">
            <w:col w:w="10240"/>
          </w:cols>
          <w:pgMar w:left="820" w:top="746" w:right="820" w:bottom="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240"/>
          </w:cols>
          <w:pgMar w:left="820" w:top="746" w:right="820" w:bottom="0" w:gutter="0" w:footer="0" w:header="0"/>
          <w:type w:val="continuous"/>
        </w:sectPr>
      </w:pPr>
    </w:p>
    <w:bookmarkStart w:id="42" w:name="page43"/>
    <w:bookmarkEnd w:id="42"/>
    <w:p>
      <w:pPr>
        <w:jc w:val="both"/>
        <w:spacing w:after="0" w:line="247" w:lineRule="auto"/>
        <w:rPr>
          <w:sz w:val="20"/>
          <w:szCs w:val="20"/>
          <w:color w:val="auto"/>
        </w:rPr>
      </w:pPr>
      <w:r>
        <w:rPr>
          <w:rFonts w:ascii="Times New Roman" w:cs="Times New Roman" w:eastAsia="Times New Roman" w:hAnsi="Times New Roman"/>
          <w:sz w:val="20"/>
          <w:szCs w:val="20"/>
          <w:color w:val="231F20"/>
        </w:rPr>
        <w:t>typically inspect one or more treatment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79"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82"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 market studies and surveillance to further assess and monitor the product’s safety and effectiveness after commercialization and may limit further marketing of the product based on the results of these post-marketing studies.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Expedited Development and Review Programs</w:t>
      </w:r>
    </w:p>
    <w:p>
      <w:pPr>
        <w:spacing w:after="0" w:line="12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FDA offers a number of expedited development and review programs for qualifying product candidates, including Regenerative Medicine Advanced Therapy ("RMAT") designation, Breakthrough Therapy designation, Fast Track designation, accelerated approval and priority review.</w:t>
      </w:r>
    </w:p>
    <w:p>
      <w:pPr>
        <w:spacing w:after="0" w:line="6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The Fast Track program is intended to expedite or facilitate the process for reviewing new product candidates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and the payment of applicable user fees, the FDA agrees to accept sections of the BLA and determines that the schedule is acceptable, and the sponsor pays any required user fees upon submission of the first section of the BLA.</w:t>
      </w:r>
    </w:p>
    <w:p>
      <w:pPr>
        <w:spacing w:after="0" w:line="82"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A product candidate intended to treat a serious or life-threatening disease or condition may also be eligible for Breakthrough Therapy designation to expedite its development and review. Such a product candidate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which means that the sponsor may file sections of the BLA for review on a rolling basis if certain conditions are satisfied, including an agreement with the FDA on the proposed schedule for submission of portions of the application and the payment of applicable user fees before the FDA may initiate a review.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spacing w:after="0" w:line="82"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treats a serious or life-threatening disease or condition and, if approved, would provide a significant improvement in the safety or effectiveness of the treatment, diagnosis or prevention of a serious disease or condition. For</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240"/>
          </w:cols>
          <w:pgMar w:left="820" w:top="746" w:right="820" w:bottom="0" w:gutter="0" w:footer="0" w:header="0"/>
          <w:type w:val="continuous"/>
        </w:sectPr>
      </w:pPr>
    </w:p>
    <w:bookmarkStart w:id="43" w:name="page44"/>
    <w:bookmarkEnd w:id="43"/>
    <w:p>
      <w:pPr>
        <w:jc w:val="both"/>
        <w:spacing w:after="0" w:line="277" w:lineRule="auto"/>
        <w:rPr>
          <w:sz w:val="20"/>
          <w:szCs w:val="20"/>
          <w:color w:val="auto"/>
        </w:rPr>
      </w:pPr>
      <w:r>
        <w:rPr>
          <w:rFonts w:ascii="Times New Roman" w:cs="Times New Roman" w:eastAsia="Times New Roman" w:hAnsi="Times New Roman"/>
          <w:sz w:val="20"/>
          <w:szCs w:val="20"/>
          <w:color w:val="231F20"/>
        </w:rPr>
        <w:t>products containing new molecular entities, priority review designation means the FDA’s goal is to take action on the marketing application within six months of the 60-day filing date (compared with 10 months under standard review).</w:t>
      </w:r>
    </w:p>
    <w:p>
      <w:pPr>
        <w:spacing w:after="0" w:line="4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Additionally, product candidates studied for their safety and effectiveness in treating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 controlled post-marketing clinical studies to verify the clinical benefit in relationship to the surrogate endpoint or ultimate outcome in relationship to the clinical benefit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86"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w:t>
      </w:r>
    </w:p>
    <w:p>
      <w:pPr>
        <w:spacing w:after="0" w:line="2" w:lineRule="exact"/>
        <w:rPr>
          <w:sz w:val="20"/>
          <w:szCs w:val="20"/>
          <w:color w:val="auto"/>
        </w:rPr>
      </w:pPr>
    </w:p>
    <w:p>
      <w:pPr>
        <w:jc w:val="both"/>
        <w:ind w:firstLine="8"/>
        <w:spacing w:after="0"/>
        <w:tabs>
          <w:tab w:leader="none" w:pos="287"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92"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Fast Track designation, Breakthrough Therapy designation, priority review, and RMAT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and approval will not be shortened.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Orphan Drug Designation</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8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8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if the second applicant demonstrates its product is clinically superior to the approved product with orphan exclusivity, or if the manufacturer is unable to assure sufficient quantities of the product to meet the needs of patients with the rare disease or condition. Orphan drug designation may also entitle a party to financial incentives such as opportunities for grant funding towards clinical trial costs, tax advantages and user-fee waivers.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240"/>
          </w:cols>
          <w:pgMar w:left="820" w:top="750" w:right="82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i w:val="1"/>
          <w:iCs w:val="1"/>
          <w:color w:val="231F20"/>
        </w:rPr>
        <w:t>Post-Approval Requirements</w:t>
      </w:r>
    </w:p>
    <w:p>
      <w:pPr>
        <w:spacing w:after="0" w:line="115"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85"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5" w:lineRule="exact"/>
        <w:rPr>
          <w:sz w:val="20"/>
          <w:szCs w:val="20"/>
          <w:color w:val="auto"/>
        </w:rPr>
      </w:pPr>
    </w:p>
    <w:p>
      <w:pPr>
        <w:ind w:left="980" w:hanging="482"/>
        <w:spacing w:after="0" w:line="272"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marketing or manufacturing of a product, complete withdrawal of the product from the market or product recalls;</w:t>
      </w:r>
    </w:p>
    <w:p>
      <w:pPr>
        <w:spacing w:after="0" w:line="62" w:lineRule="exact"/>
        <w:rPr>
          <w:rFonts w:ascii="Arial" w:cs="Arial" w:eastAsia="Arial" w:hAnsi="Arial"/>
          <w:sz w:val="20"/>
          <w:szCs w:val="20"/>
          <w:color w:val="231F20"/>
        </w:rPr>
      </w:pPr>
    </w:p>
    <w:p>
      <w:pPr>
        <w:ind w:left="980" w:hanging="482"/>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fines, warning letters or holds on post-approval clinical studies;</w:t>
      </w:r>
    </w:p>
    <w:p>
      <w:pPr>
        <w:spacing w:after="0" w:line="128"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of the FDA to approve pending applications or supplements to approved applications, or suspension or revocation of existing product approvals;</w:t>
      </w:r>
    </w:p>
    <w:p>
      <w:pPr>
        <w:spacing w:after="0" w:line="62" w:lineRule="exact"/>
        <w:rPr>
          <w:rFonts w:ascii="Arial" w:cs="Arial" w:eastAsia="Arial" w:hAnsi="Arial"/>
          <w:sz w:val="20"/>
          <w:szCs w:val="20"/>
          <w:color w:val="231F20"/>
        </w:rPr>
      </w:pPr>
    </w:p>
    <w:p>
      <w:pPr>
        <w:ind w:left="980" w:hanging="482"/>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seizure or detention, or refusal of the FDA to permit the import or export of products;</w:t>
      </w:r>
    </w:p>
    <w:p>
      <w:pPr>
        <w:spacing w:after="0" w:line="128" w:lineRule="exact"/>
        <w:rPr>
          <w:rFonts w:ascii="Arial" w:cs="Arial" w:eastAsia="Arial" w:hAnsi="Arial"/>
          <w:sz w:val="20"/>
          <w:szCs w:val="20"/>
          <w:color w:val="231F20"/>
        </w:rPr>
      </w:pPr>
    </w:p>
    <w:p>
      <w:pPr>
        <w:ind w:left="980" w:hanging="482"/>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consent decrees, corporate integrity agreements, debarment or exclusion from federal healthcare programs;</w:t>
      </w:r>
    </w:p>
    <w:p>
      <w:pPr>
        <w:spacing w:after="0" w:line="128" w:lineRule="exact"/>
        <w:rPr>
          <w:rFonts w:ascii="Arial" w:cs="Arial" w:eastAsia="Arial" w:hAnsi="Arial"/>
          <w:sz w:val="20"/>
          <w:szCs w:val="20"/>
          <w:color w:val="231F20"/>
        </w:rPr>
      </w:pPr>
    </w:p>
    <w:p>
      <w:pPr>
        <w:ind w:left="980" w:hanging="482"/>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mandated modification of promotional materials and labeling and the issuance of corrective information;</w:t>
      </w:r>
    </w:p>
    <w:p>
      <w:pPr>
        <w:spacing w:after="0" w:line="128"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the issuance of safety alerts, Dear Healthcare Provider letters, press releases and other communications containing warnings or other safety information about the product; or</w:t>
      </w:r>
    </w:p>
    <w:p>
      <w:pPr>
        <w:spacing w:after="0" w:line="62" w:lineRule="exact"/>
        <w:rPr>
          <w:rFonts w:ascii="Arial" w:cs="Arial" w:eastAsia="Arial" w:hAnsi="Arial"/>
          <w:sz w:val="20"/>
          <w:szCs w:val="20"/>
          <w:color w:val="231F20"/>
        </w:rPr>
      </w:pPr>
    </w:p>
    <w:p>
      <w:pPr>
        <w:ind w:left="980" w:hanging="482"/>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injunctions or the imposition of civil or criminal penalties.</w:t>
      </w:r>
    </w:p>
    <w:p>
      <w:pPr>
        <w:spacing w:after="0" w:line="115"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The FDA closely regulates the marketing, labeling, advertising and promotion of biologics. A company can make only those claims relating to safety and efficacy, purity and potency that are approved by the FDA and in accordance with the provisions of the approved label. Manufacturers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The FDA and other agencies actively enforce the laws and regulations prohibiting the promotion of off 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Biosimilars and Reference Product Exclusivity</w:t>
      </w:r>
    </w:p>
    <w:p>
      <w:pPr>
        <w:spacing w:after="0" w:line="115" w:lineRule="exact"/>
        <w:rPr>
          <w:sz w:val="20"/>
          <w:szCs w:val="20"/>
          <w:color w:val="auto"/>
        </w:rPr>
      </w:pPr>
    </w:p>
    <w:p>
      <w:pPr>
        <w:jc w:val="both"/>
        <w:ind w:firstLine="403"/>
        <w:spacing w:after="0" w:line="273" w:lineRule="auto"/>
        <w:rPr>
          <w:sz w:val="20"/>
          <w:szCs w:val="20"/>
          <w:color w:val="auto"/>
        </w:rPr>
      </w:pPr>
      <w:r>
        <w:rPr>
          <w:rFonts w:ascii="Times New Roman" w:cs="Times New Roman" w:eastAsia="Times New Roman" w:hAnsi="Times New Roman"/>
          <w:sz w:val="20"/>
          <w:szCs w:val="20"/>
          <w:color w:val="231F20"/>
        </w:rPr>
        <w:t>The Biologics Price Competition and Innovation Act of 2009 ("BPCIA"), created an abbreviated approval pathway for biological products that are biosimilar to or interchangeable with an FDA-approved reference biological product.</w:t>
      </w:r>
    </w:p>
    <w:p>
      <w:pPr>
        <w:spacing w:after="0" w:line="4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w:t>
      </w:r>
    </w:p>
    <w:p>
      <w:pPr>
        <w:sectPr>
          <w:pgSz w:w="11880" w:h="15480" w:orient="portrait"/>
          <w:cols w:equalWidth="0" w:num="1">
            <w:col w:w="10240"/>
          </w:cols>
          <w:pgMar w:left="820" w:top="746" w:right="820" w:bottom="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240"/>
          </w:cols>
          <w:pgMar w:left="820" w:top="746" w:right="820" w:bottom="0" w:gutter="0" w:footer="0" w:header="0"/>
          <w:type w:val="continuous"/>
        </w:sectPr>
      </w:pPr>
    </w:p>
    <w:bookmarkStart w:id="45" w:name="page46"/>
    <w:bookmarkEnd w:id="45"/>
    <w:p>
      <w:pPr>
        <w:jc w:val="both"/>
        <w:spacing w:after="0" w:line="247" w:lineRule="auto"/>
        <w:rPr>
          <w:sz w:val="20"/>
          <w:szCs w:val="20"/>
          <w:color w:val="auto"/>
        </w:rPr>
      </w:pPr>
      <w:r>
        <w:rPr>
          <w:rFonts w:ascii="Times New Roman" w:cs="Times New Roman" w:eastAsia="Times New Roman" w:hAnsi="Times New Roman"/>
          <w:sz w:val="20"/>
          <w:szCs w:val="20"/>
          <w:color w:val="231F20"/>
        </w:rPr>
        <w:t>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79"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 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82"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Healthcare Laws and Compliance Requirements</w:t>
      </w:r>
    </w:p>
    <w:p>
      <w:pPr>
        <w:spacing w:after="0" w:line="12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the United States, our activities are potentially subject to regulation by various federal, state and local authorities in addition to the FDA, including but not limited to, the Centers for Medicare &amp; Medicaid Services ("CMS"), other divisions of the U.S. Department of Health and Human Services ("HHS"), (such as the Office of Inspector General and the Health Resources and Service Administration), the Department of Justice (the "DOJ"), and individual U.S. Attorney offices within the DOJ, and state and local governments. For example, research, sales, marketing activities and scientific/educational grant programs must have to comply with the anti-fraud and abuse provisions of the Social Security Act, the false claims laws, transparency laws, the health information privacy and security laws, and similar state laws, each as amended, as applicable.</w:t>
      </w:r>
    </w:p>
    <w:p>
      <w:pPr>
        <w:spacing w:after="0" w:line="8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federal Anti-Kickback Statute has been interpreted to apply to arrangements between therapeutic product manufacturers on one hand and prescribers and purchasers on the other. In addition, a person or entity does not need to have actual knowledge of the statute or specific intent to violate it in order to have committed a violation.</w:t>
      </w:r>
    </w:p>
    <w:p>
      <w:pPr>
        <w:spacing w:after="0" w:line="82"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 xml:space="preserve">The federal false claims laws, including the False Claims Act ("FCA"), which can be enforced by private citizens through civil </w:t>
      </w:r>
      <w:r>
        <w:rPr>
          <w:rFonts w:ascii="Times New Roman" w:cs="Times New Roman" w:eastAsia="Times New Roman" w:hAnsi="Times New Roman"/>
          <w:sz w:val="20"/>
          <w:szCs w:val="20"/>
          <w:i w:val="1"/>
          <w:iCs w:val="1"/>
          <w:color w:val="231F20"/>
        </w:rPr>
        <w:t>qui tam</w:t>
      </w:r>
      <w:r>
        <w:rPr>
          <w:rFonts w:ascii="Times New Roman" w:cs="Times New Roman" w:eastAsia="Times New Roman" w:hAnsi="Times New Roman"/>
          <w:sz w:val="20"/>
          <w:szCs w:val="20"/>
          <w:color w:val="231F20"/>
        </w:rPr>
        <w:t xml:space="preserve"> actions and civil monetary penalty laws prohibit any person or entity from, among other things,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Additionally, companies have been prosecuted for, among other things, causing false claims to be submitted because of the companies’ marketing of the product for unapproved, off-label, and thus generally non-reimbursable, uses. Further, a claim including items or services resulting from a violation of the federal Anti-Kickback Statute constitutes a false or fraudulent claim for purposes of the FCA.</w:t>
      </w:r>
    </w:p>
    <w:p>
      <w:pPr>
        <w:spacing w:after="0" w:line="89"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The Health Insurance Portability and Accountability ("HIPAA")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240"/>
          </w:cols>
          <w:pgMar w:left="820" w:top="746" w:right="820" w:bottom="0" w:gutter="0" w:footer="0" w:header="0"/>
          <w:type w:val="continuous"/>
        </w:sectPr>
      </w:pPr>
    </w:p>
    <w:bookmarkStart w:id="46" w:name="page47"/>
    <w:bookmarkEnd w:id="46"/>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Further, HIPAA, as amended by the Health Information Technology for Economic and Clinical Health Act ("HITECH"), and their implementing regulations, impose requirements relating to the privacy, security and transmission of individually identifiable health information on certain healthcare providers, healthcare clearinghouses, and health plans, known as covered entities, as well as independent contractors, or agents of covered entities that receive or obtain individually identifiable health information in connection with providing a service on behalf of a covered entity, known as a business associates and their covered subcontractors. Among other things, HITECH makes HIPAA’s privacy and security standards directly applicable to business associates.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86"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addition, many pharmaceutical manufacturers must calculate and report certain price reporting metrics to the government, such as average sales price and best price.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8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Additionally, the federal Physician Payments Sunshine Act (the "Sunshine Act"), within the Patient Protection and Affordable Care Act, as amended by the Health Care and Education Reconciliation Act (collectively,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or to entities or individuals at the request of, or designated on behalf of, the physicians and teaching hospitals and to report annually certain ownership and investment interests held by physicians and their immediate family members.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8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In addition, many states and foreign jurisdictions have enacted analogous versions of these laws. For example, many states have similar, and typically more prohibitive, fraud and abuse statutes or regulations that apply to items and services reimbursed under Medicaid and other state programs, or, in several states, apply regardless of the payor. In addition, many states also govern the reporting of payments or other transfers of value, many of which differ from each other in significant ways, are often not pre-empted, and may have a more prohibitive effect than the Sunshine Act, thus further complicating compliance efforts. Further, some states require pharmaceutical companies to comply with the pharmaceutical industry’s voluntary compliance guidelines and relevant federal government compliance guidance and restrict marketing practices or require disclosure of marketing expenditures and pricing information. Additionally, some state and local laws require certain regulatory licenses to manufacture or distribute products commercially and/or the registration of pharmaceutical sales representatives in the jurisdiction. State and foreign laws may also govern the privacy and security of health information in some circumstances. These data privacy and security laws may differ from each other in significant ways and often are not pre-empted by HIPAA, which may complicate compliance efforts.</w:t>
      </w:r>
    </w:p>
    <w:p>
      <w:pPr>
        <w:spacing w:after="0" w:line="86"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240"/>
          </w:cols>
          <w:pgMar w:left="820" w:top="750" w:right="820" w:bottom="0" w:gutter="0" w:footer="0" w:header="0"/>
          <w:type w:val="continuous"/>
        </w:sectPr>
      </w:pPr>
    </w:p>
    <w:bookmarkStart w:id="47" w:name="page48"/>
    <w:bookmarkEnd w:id="47"/>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significant civil, criminal and/or administrative penalties, damages, fines, disgorgement, imprisonment, exclusion from participation in government programs, such as Medicare and Medicaid, injunctions, private “</w:t>
      </w:r>
      <w:r>
        <w:rPr>
          <w:rFonts w:ascii="Times New Roman" w:cs="Times New Roman" w:eastAsia="Times New Roman" w:hAnsi="Times New Roman"/>
          <w:sz w:val="20"/>
          <w:szCs w:val="20"/>
          <w:i w:val="1"/>
          <w:iCs w:val="1"/>
          <w:color w:val="231F20"/>
        </w:rPr>
        <w:t>qui tam</w:t>
      </w:r>
      <w:r>
        <w:rPr>
          <w:rFonts w:ascii="Times New Roman" w:cs="Times New Roman" w:eastAsia="Times New Roman" w:hAnsi="Times New Roman"/>
          <w:sz w:val="20"/>
          <w:szCs w:val="20"/>
          <w:color w:val="231F20"/>
        </w:rPr>
        <w:t>”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 Additionally, if any of the physicians or other providers or entities with whom we expect to do business are found not to be in compliance with applicable laws, they may be subject to significant civil, criminal and administrative sanctions, including exclusion from government funded healthcare programs.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Coverage, Pricing and Reimbursement</w:t>
      </w:r>
    </w:p>
    <w:p>
      <w:pPr>
        <w:spacing w:after="0" w:line="12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In the United States and in foreign markets, sales of any products for which we receive regulatory approval for commercial sale will depend, in part, on the extent to which third-party payors provide coverage and establish adequate reimbursement levels for such products. Coverage and reimbursement by a third-party payor may depend upon a number of factors, including the third-party payor’s determination that use of a therapeutic is:</w:t>
      </w:r>
    </w:p>
    <w:p>
      <w:pPr>
        <w:spacing w:after="0" w:line="88" w:lineRule="exact"/>
        <w:rPr>
          <w:sz w:val="20"/>
          <w:szCs w:val="20"/>
          <w:color w:val="auto"/>
        </w:rPr>
      </w:pPr>
    </w:p>
    <w:p>
      <w:pPr>
        <w:ind w:left="980" w:hanging="482"/>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a covered benefit under its health plan;</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safe, effective and medically necessary;</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appropriate for the specific patient;</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cost-effective; and</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neither experimental nor investigational.</w:t>
      </w:r>
    </w:p>
    <w:p>
      <w:pPr>
        <w:spacing w:after="0" w:line="11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Third-party payors are increasingly challenging the price, examining the medical necessity, and reviewing the cost-effectiveness of medical products, therapies and services, in addition to questioning their safety and efficacy. Obtaining coverage and reimbursement approval of a product from a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In particular,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We cannot be sure that reimbursement will be available for any product that we commercialize and, if coverage and reimbursement are available, we cannot be sure that the level of reimbursement will be adequate. Limited coverage and less than adequate reimbursement may reduce the demand for, or the price of, any product for which we obtain regulatory approval. Even if favorable coverage and reimbursement status is attained for one or more products for which we receive regulatory approval, less favorable coverage policies and reimbursement rates may be implemented in the future.</w:t>
      </w:r>
    </w:p>
    <w:p>
      <w:pPr>
        <w:spacing w:after="0" w:line="83"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Additionally, in the United States there is no uniform policy among third-party payors for coverage or reimbursement. Third-party payors often rely upon Medicare coverage policy and payment limitations in setting their own coverage and reimbursement policies, but also have their own methods and approval processes. Therefore, one third-party payor’s determination to provide coverage for a product does not assure that other payors will also provide coverage for the product. Adequate third-party payor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8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Further,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8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Under currently applicable U.S. law, certain products not usually self-administered (including injectable drugs), such as our product candidates, once approved, may be eligible for coverage under Medicare Part B. As a condition of receiving Medicare Part B reimbursement for a manufacturer’s eligible drugs or biologicals, the manufacturer is required to participate in other government healthcare programs, including the Medicaid Drug Rebate Program and the 340B Drug Pricing Program.</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240"/>
          </w:cols>
          <w:pgMar w:left="820" w:top="750" w:right="82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Healthcare Reform</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ACA has substantially changed healthcare financing and delivery by both governmental and private insurers.</w:t>
      </w:r>
    </w:p>
    <w:p>
      <w:pPr>
        <w:spacing w:after="0" w:line="82"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Since its enactment, there have been judicial, Congressional and executive branch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82"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w:t>
      </w:r>
    </w:p>
    <w:p>
      <w:pPr>
        <w:spacing w:after="0" w:line="68"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82"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Further, at the states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Data Privacy</w:t>
      </w:r>
    </w:p>
    <w:p>
      <w:pPr>
        <w:spacing w:after="0" w:line="12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the ordinary course of our business, we process personal data and other sensitive information. Accordingly, we may be subject to data privacy and security obligations, including federal, state, and foreign laws, regulations, guidance, and industry standards related to data privacy and security. Such obligations may include, without limitation, the Federal Trade Commission Act, the California Consumer Privacy Act of 2018, as amended by the California Privacy Rights Act of 2020 ("CCPA"), the Canadian Personal Information Protection and Electronic Documents Act ( the "PIPEDA"), the European Union’s General Data Protection Regulation 2016/679 ("EU GDPR"), and the EU GDPR as it forms part of United Kingdom law by virtue of section 3 of the European Union (Withdrawal) Act 2018, or UK GDPR. In addition, several states within the United States have enacted or proposed data privacy laws. For example, Virginia passed the Consumer Data Protection Act and Colorado passed the Colorado Privacy Act.</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240"/>
          </w:cols>
          <w:pgMar w:left="820" w:top="750" w:right="820" w:bottom="0" w:gutter="0" w:footer="0" w:header="0"/>
          <w:type w:val="continuous"/>
        </w:sectPr>
      </w:pPr>
    </w:p>
    <w:bookmarkStart w:id="49" w:name="page50"/>
    <w:bookmarkEnd w:id="49"/>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For example, the California Consumer Privacy Act of 2018 ("CCPA"), provides new data privacy rights for consumers and new operational requirements for companies. Under the CCPA, covered businesses must provide specific disclosures related to a business’s collection, use, and disclosure of personal data, including identifiable health information, and to respond to certain requests from California residents related to their personal data (for example, requests to know of the business’s personal data processing activities, to correct the individual’s personal data, to delete the individual’s personal data, and to opt out of certain personal data disclosures). Also, the CCPA provides for civil penalties (of up to $7,500 per violation) and a private right of action for data breaches which may include an award of statutory damages. The CCPA also gives California residents the ability to limit use of certain sensitive personal data, establishes restrictions on personal data retention and establishes enforcement authority in the California Privacy Protection Agency.</w:t>
      </w:r>
    </w:p>
    <w:p>
      <w:pPr>
        <w:spacing w:after="0" w:line="86"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In addition, the collection, use, storage, disclosure, transfer, or other processing of personal data regarding individuals in the European Economic Area or EEA or the United Kingdom, or otherwise carried out in the context of EEA or United Kingdom establishments (regardless of where any processing in question occurs), including personal data related to health and genetic information, is subject to the EU GDPR including, where relevant, as implemented in the United Kingdom, the UK GDPR. The EU GDPR is wide-ranging in scope and imposes numerous requirements on companies that process personal data, including requirements relating to processing health and other sensitive information.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Foreign Corrupt Practices Act</w:t>
      </w:r>
    </w:p>
    <w:p>
      <w:pPr>
        <w:spacing w:after="0" w:line="12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The Foreign Corrupt Practices Act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Environmental Regulation</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Regulations</w:t>
      </w:r>
    </w:p>
    <w:p>
      <w:pPr>
        <w:spacing w:after="0" w:line="12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12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As of December 31, 2025, we had 17 full-time employees, of whom 13 were primarily engaged in research and development activities. A total of 6 employees have an M.D. or Ph.D. degree. None of our employees are represented by a labor union and we consider our employee relations to be good.</w:t>
      </w:r>
    </w:p>
    <w:p>
      <w:pPr>
        <w:spacing w:after="0" w:line="68"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Our human capital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ectPr>
          <w:pgSz w:w="11880" w:h="15480" w:orient="portrait"/>
          <w:cols w:equalWidth="0" w:num="1">
            <w:col w:w="10240"/>
          </w:cols>
          <w:pgMar w:left="820" w:top="750" w:right="820" w:bottom="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240"/>
          </w:cols>
          <w:pgMar w:left="820" w:top="750" w:right="82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231F20"/>
        </w:rPr>
        <w:t>Corporate Information</w:t>
      </w:r>
    </w:p>
    <w:p>
      <w:pPr>
        <w:spacing w:after="0" w:line="124" w:lineRule="exact"/>
        <w:rPr>
          <w:sz w:val="20"/>
          <w:szCs w:val="20"/>
          <w:color w:val="auto"/>
        </w:rPr>
      </w:pPr>
    </w:p>
    <w:p>
      <w:pPr>
        <w:jc w:val="both"/>
        <w:ind w:firstLine="403"/>
        <w:spacing w:after="0" w:line="236" w:lineRule="auto"/>
        <w:rPr>
          <w:sz w:val="20"/>
          <w:szCs w:val="20"/>
          <w:color w:val="auto"/>
        </w:rPr>
      </w:pPr>
      <w:r>
        <w:rPr>
          <w:rFonts w:ascii="Times New Roman" w:cs="Times New Roman" w:eastAsia="Times New Roman" w:hAnsi="Times New Roman"/>
          <w:sz w:val="20"/>
          <w:szCs w:val="20"/>
          <w:color w:val="231F20"/>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20"/>
          <w:szCs w:val="20"/>
          <w:color w:val="231F20"/>
        </w:rPr>
        <w:t xml:space="preserve"> Avenue, Suite 5330, New York, New York 10118, and our telephone number is (646) 600-6438. Our corporate website address is </w:t>
      </w:r>
      <w:r>
        <w:rPr>
          <w:rFonts w:ascii="Times New Roman" w:cs="Times New Roman" w:eastAsia="Times New Roman" w:hAnsi="Times New Roman"/>
          <w:sz w:val="20"/>
          <w:szCs w:val="20"/>
          <w:i w:val="1"/>
          <w:iCs w:val="1"/>
          <w:color w:val="231F20"/>
        </w:rPr>
        <w:t>www.in8bio.com</w:t>
      </w:r>
      <w:r>
        <w:rPr>
          <w:rFonts w:ascii="Times New Roman" w:cs="Times New Roman" w:eastAsia="Times New Roman" w:hAnsi="Times New Roman"/>
          <w:sz w:val="20"/>
          <w:szCs w:val="20"/>
          <w:color w:val="231F20"/>
        </w:rPr>
        <w:t>. Information contained on, or accessible through, our website is not a part of this Annual Report on Form 10-K. We have included our website in this Annual Report on Form 10-K solely as an inactive textual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2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 xml:space="preserve">Our website address is </w:t>
      </w:r>
      <w:r>
        <w:rPr>
          <w:rFonts w:ascii="Times New Roman" w:cs="Times New Roman" w:eastAsia="Times New Roman" w:hAnsi="Times New Roman"/>
          <w:sz w:val="20"/>
          <w:szCs w:val="20"/>
          <w:i w:val="1"/>
          <w:iCs w:val="1"/>
          <w:color w:val="231F20"/>
        </w:rPr>
        <w:t>www.in8bio.com</w:t>
      </w:r>
      <w:r>
        <w:rPr>
          <w:rFonts w:ascii="Times New Roman" w:cs="Times New Roman" w:eastAsia="Times New Roman" w:hAnsi="Times New Roman"/>
          <w:sz w:val="20"/>
          <w:szCs w:val="20"/>
          <w:color w:val="231F20"/>
        </w:rPr>
        <w:t xml:space="preserve">. We make available on our website, free of charge, our Annual Report on Form 10-K, our Quarterly Reports on Form 10-Q and our Current Reports on Form 8-K and any amendments to those reports filed or furnished pursuant to Section 13(a) or 15(d) of the Securities Exchange Act of 1934, as amended, or the Exchange Act, as soon as reasonably practicable after we electronically file such material with, or furnish it to, the Securities and Exchange Commission, or the SEC. The SEC maintains a website that contains reports, proxy and information statements and other information regarding our filings at </w:t>
      </w:r>
      <w:r>
        <w:rPr>
          <w:rFonts w:ascii="Times New Roman" w:cs="Times New Roman" w:eastAsia="Times New Roman" w:hAnsi="Times New Roman"/>
          <w:sz w:val="20"/>
          <w:szCs w:val="20"/>
          <w:i w:val="1"/>
          <w:iCs w:val="1"/>
          <w:color w:val="231F20"/>
        </w:rPr>
        <w:t>www.sec.gov</w:t>
      </w:r>
      <w:r>
        <w:rPr>
          <w:rFonts w:ascii="Times New Roman" w:cs="Times New Roman" w:eastAsia="Times New Roman" w:hAnsi="Times New Roman"/>
          <w:sz w:val="20"/>
          <w:szCs w:val="20"/>
          <w:color w:val="231F20"/>
        </w:rPr>
        <w:t>. The information found on our website is not incorporated by reference into this Annual Report on Form 10-K or any other report we file with or furnish to the SEC.</w:t>
      </w:r>
    </w:p>
    <w:p>
      <w:pPr>
        <w:spacing w:after="0" w:line="8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We may use our website as a means of disclosing material non-public information and for complying with our disclosure obligations under Regulation Fair Disclosure promulgated by the SEC. These disclosures will be included on our website under the “Investors &amp; News” section.</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240"/>
          </w:cols>
          <w:pgMar w:left="820" w:top="746" w:right="82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26"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i w:val="1"/>
          <w:iCs w:val="1"/>
          <w:color w:val="231F20"/>
        </w:rPr>
        <w:t>Investing in our common stock involves a high degree of risk. You should carefully consider the risks described below, as well as the other information in this Annual Report on Form 10-K,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Summary of Selected Risk Factors Associated with Our Business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The following is a summary of the principal risks associated with an investment in our common stock:</w:t>
      </w:r>
    </w:p>
    <w:p>
      <w:pPr>
        <w:spacing w:after="0" w:line="134" w:lineRule="exact"/>
        <w:rPr>
          <w:sz w:val="20"/>
          <w:szCs w:val="20"/>
          <w:color w:val="auto"/>
        </w:rPr>
      </w:pPr>
    </w:p>
    <w:p>
      <w:pPr>
        <w:jc w:val="both"/>
        <w:ind w:left="980" w:hanging="482"/>
        <w:spacing w:after="0" w:line="252"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There is substantial doubt regarding our ability to continue as a going concern. We will require substantial additional funding to finance our operations through regulatory approval, and if we are unable to raise capital, we could be forced to delay, reduce or explore other strategic options for certain of our development programs, or even terminate our operations.</w:t>
      </w:r>
    </w:p>
    <w:p>
      <w:pPr>
        <w:spacing w:after="0" w:line="87"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Raising additional capital may cause dilution to our stockholders, restrict our operations or require us to relinquish rights to our product candidates.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A sale of a substantial number of shares of our common stock may cause the price of our common stock to decline.</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Our outstanding warrants may not be exercised and we may not receive any cash proceeds from any exercise of warrants.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incurred significant operating losses since inception and anticipate that we will continue to incur substantial operating losses for the foreseeable future and may never achieve or maintain profitability.</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raise capital may be limited by applicable laws and regulations.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a limited operating history and have no products approved for commercial sale, which may make it difficult for you to evaluate the success of our business to date and to assess our future viability.</w:t>
      </w:r>
    </w:p>
    <w:p>
      <w:pPr>
        <w:spacing w:after="0" w:line="64" w:lineRule="exact"/>
        <w:rPr>
          <w:rFonts w:ascii="Arial" w:cs="Arial" w:eastAsia="Arial" w:hAnsi="Arial"/>
          <w:sz w:val="20"/>
          <w:szCs w:val="20"/>
          <w:color w:val="231F20"/>
        </w:rPr>
      </w:pPr>
    </w:p>
    <w:p>
      <w:pPr>
        <w:jc w:val="both"/>
        <w:ind w:left="980" w:hanging="482"/>
        <w:spacing w:after="0" w:line="252"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spacing w:after="0" w:line="87"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1"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Our DeltEx product candidates utilize novel approaches to cell therapies, including cancer treatment, which presents significant challenges to successfully develop, manufacture and commercialize our product candidates.</w:t>
      </w:r>
    </w:p>
    <w:p>
      <w:pPr>
        <w:spacing w:after="0" w:line="64"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spacing w:after="0" w:line="81"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product candidate development involves a lengthy and expensive process with uncertain outcomes. We may incur additional costs and encounter substantial delays or difficulties in our clinical trials.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encounter difficulties in enrolling patients in our clinical trials, our clinical development activities could be delayed or otherwise adversely affected.</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be able to file investigational new drug ("IND") applications to commence additional clinical trials on the timelines we expect, and even if we are able to, the FDA may not permit us to proceed.</w:t>
      </w:r>
    </w:p>
    <w:p>
      <w:pPr>
        <w:spacing w:after="0" w:line="64"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 of a product candidate intended for use in combination with an already approved therapy may present increased complexity and more or different challenges than development of a product candidate for use as a single agent or monotherapy.</w:t>
      </w:r>
    </w:p>
    <w:p>
      <w:pPr>
        <w:spacing w:after="0" w:line="81"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Public opinion and scrutiny of our competitors, cell-based immunotherapy, T cell engagers, and genetic modification approaches may impact public perception of our company and product candidates, or may adversely affect our ability to conduct our business, raise additional capital and our business plans.</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240"/>
          </w:cols>
          <w:pgMar w:left="820" w:top="746" w:right="820" w:bottom="0" w:gutter="0" w:footer="0" w:header="0"/>
          <w:type w:val="continuous"/>
        </w:sectPr>
      </w:pPr>
    </w:p>
    <w:bookmarkStart w:id="52" w:name="page53"/>
    <w:bookmarkEnd w:id="52"/>
    <w:p>
      <w:pPr>
        <w:ind w:left="482" w:hanging="482"/>
        <w:spacing w:after="0" w:line="276"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We face significant competition, and many of our competitors have substantially greater experience and resources than we have.</w:t>
      </w:r>
    </w:p>
    <w:p>
      <w:pPr>
        <w:spacing w:after="0" w:line="64" w:lineRule="exact"/>
        <w:rPr>
          <w:rFonts w:ascii="Arial" w:cs="Arial" w:eastAsia="Arial" w:hAnsi="Arial"/>
          <w:sz w:val="20"/>
          <w:szCs w:val="20"/>
          <w:color w:val="231F20"/>
        </w:rPr>
      </w:pPr>
    </w:p>
    <w:p>
      <w:pPr>
        <w:jc w:val="both"/>
        <w:ind w:left="482" w:hanging="482"/>
        <w:spacing w:after="0" w:line="258"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Our manufacturing processes are complex, and we may encounter difficulties in production, which would delay or prevent our ability to provide a sufficient supply of our product candidates for future clinical trials or commercialization, if approved.</w:t>
      </w:r>
    </w:p>
    <w:p>
      <w:pPr>
        <w:spacing w:after="0" w:line="81" w:lineRule="exact"/>
        <w:rPr>
          <w:rFonts w:ascii="Arial" w:cs="Arial" w:eastAsia="Arial" w:hAnsi="Arial"/>
          <w:sz w:val="20"/>
          <w:szCs w:val="20"/>
          <w:color w:val="231F20"/>
        </w:rPr>
      </w:pPr>
    </w:p>
    <w:p>
      <w:pPr>
        <w:jc w:val="both"/>
        <w:ind w:left="482" w:hanging="482"/>
        <w:spacing w:after="0" w:line="258"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rely on third-party contractors or contract development manufacturing organization for the manufacturing of our product candidates, and failure by those parties to adequately perform their obligations could harm our business.</w:t>
      </w:r>
    </w:p>
    <w:p>
      <w:pPr>
        <w:spacing w:after="0" w:line="81" w:lineRule="exact"/>
        <w:rPr>
          <w:rFonts w:ascii="Arial" w:cs="Arial" w:eastAsia="Arial" w:hAnsi="Arial"/>
          <w:sz w:val="20"/>
          <w:szCs w:val="20"/>
          <w:color w:val="231F20"/>
        </w:rPr>
      </w:pPr>
    </w:p>
    <w:p>
      <w:pPr>
        <w:jc w:val="both"/>
        <w:ind w:left="482" w:hanging="482"/>
        <w:spacing w:after="0" w:line="252"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spacing w:after="0" w:line="87" w:lineRule="exact"/>
        <w:rPr>
          <w:rFonts w:ascii="Arial" w:cs="Arial" w:eastAsia="Arial" w:hAnsi="Arial"/>
          <w:sz w:val="20"/>
          <w:szCs w:val="20"/>
          <w:color w:val="231F20"/>
        </w:rPr>
      </w:pPr>
    </w:p>
    <w:p>
      <w:pPr>
        <w:jc w:val="both"/>
        <w:ind w:left="482" w:hanging="482"/>
        <w:spacing w:after="0" w:line="249"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currently dependent on a single third-party supplier for manufacture of our automated manufacturing device and our lentiviral vectors for our cellular therapies.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w:t>
      </w:r>
    </w:p>
    <w:p>
      <w:pPr>
        <w:spacing w:after="0" w:line="90" w:lineRule="exact"/>
        <w:rPr>
          <w:rFonts w:ascii="Arial" w:cs="Arial" w:eastAsia="Arial" w:hAnsi="Arial"/>
          <w:sz w:val="20"/>
          <w:szCs w:val="20"/>
          <w:color w:val="231F20"/>
        </w:rPr>
      </w:pPr>
    </w:p>
    <w:p>
      <w:pPr>
        <w:ind w:left="482" w:hanging="482"/>
        <w:spacing w:after="0" w:line="276"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We rely on third-party healthcare professionals to administer gamma-delta T cells to patients, and our business could be harmed if these third parties administer these cells incorrectly.</w:t>
      </w:r>
    </w:p>
    <w:p>
      <w:pPr>
        <w:spacing w:after="0" w:line="64" w:lineRule="exact"/>
        <w:rPr>
          <w:rFonts w:ascii="Arial" w:cs="Arial" w:eastAsia="Arial" w:hAnsi="Arial"/>
          <w:sz w:val="20"/>
          <w:szCs w:val="20"/>
          <w:color w:val="231F20"/>
        </w:rPr>
      </w:pPr>
    </w:p>
    <w:p>
      <w:pPr>
        <w:jc w:val="both"/>
        <w:ind w:left="482" w:hanging="482"/>
        <w:spacing w:after="0" w:line="249"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spacing w:after="0" w:line="90" w:lineRule="exact"/>
        <w:rPr>
          <w:rFonts w:ascii="Arial" w:cs="Arial" w:eastAsia="Arial" w:hAnsi="Arial"/>
          <w:sz w:val="20"/>
          <w:szCs w:val="20"/>
          <w:color w:val="231F20"/>
        </w:rPr>
      </w:pPr>
    </w:p>
    <w:p>
      <w:pPr>
        <w:jc w:val="both"/>
        <w:ind w:left="482" w:hanging="482"/>
        <w:spacing w:after="0" w:line="252"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87" w:lineRule="exact"/>
        <w:rPr>
          <w:rFonts w:ascii="Arial" w:cs="Arial" w:eastAsia="Arial" w:hAnsi="Arial"/>
          <w:sz w:val="20"/>
          <w:szCs w:val="20"/>
          <w:color w:val="231F20"/>
        </w:rPr>
      </w:pPr>
    </w:p>
    <w:p>
      <w:pPr>
        <w:jc w:val="both"/>
        <w:ind w:left="482" w:hanging="482"/>
        <w:spacing w:after="0" w:line="245"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compete in the pharmaceuticals industry depends upon our ability to attract and retain highly qualified managerial, scientific, medical and other personnel. We are highly dependent on the services of our co-founders, William Ho, our Chief Executive Officer ("CEO"), and Dr. Lawrence Lamb, our Chief Scientific Officer ("CSO"), and of our President and Chief Operating Officer (“COO”), Dr. Kate Rochlin,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spacing w:after="0" w:line="95" w:lineRule="exact"/>
        <w:rPr>
          <w:rFonts w:ascii="Arial" w:cs="Arial" w:eastAsia="Arial" w:hAnsi="Arial"/>
          <w:sz w:val="20"/>
          <w:szCs w:val="20"/>
          <w:color w:val="231F20"/>
        </w:rPr>
      </w:pPr>
    </w:p>
    <w:p>
      <w:pPr>
        <w:jc w:val="both"/>
        <w:ind w:left="482" w:hanging="482"/>
        <w:spacing w:after="0" w:line="249"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90" w:lineRule="exact"/>
        <w:rPr>
          <w:rFonts w:ascii="Arial" w:cs="Arial" w:eastAsia="Arial" w:hAnsi="Arial"/>
          <w:sz w:val="20"/>
          <w:szCs w:val="20"/>
          <w:color w:val="231F20"/>
        </w:rPr>
      </w:pPr>
    </w:p>
    <w:p>
      <w:pPr>
        <w:jc w:val="both"/>
        <w:ind w:left="482" w:hanging="482"/>
        <w:spacing w:after="0" w:line="252" w:lineRule="auto"/>
        <w:tabs>
          <w:tab w:leader="none" w:pos="482"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Unstable market and economic conditions, including as a result of increases in inflation, the price of oil, and interest rates, tariffs and trade wars, public health crises or geopolitical tensions, such as wars and terrorism, and future U.S. government shutdowns, may have serious adverse consequences on our business, ability to raise capital, financial condition and share price.</w:t>
      </w:r>
    </w:p>
    <w:p>
      <w:pPr>
        <w:sectPr>
          <w:pgSz w:w="11880" w:h="15480" w:orient="portrait"/>
          <w:cols w:equalWidth="0" w:num="1">
            <w:col w:w="9742"/>
          </w:cols>
          <w:pgMar w:left="1318" w:top="76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98"/>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9742"/>
          </w:cols>
          <w:pgMar w:left="1318" w:top="764" w:right="82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Position and Capital Needs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spacing w:after="0" w:line="68"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Our existing cash of $27.1 million as of December 31, 2025 is only expected to fund the Company’s projected operating expenses and capital expenditure requirements through April 2027. We continue to maintain cash preservation measures to defer or reduce costs in the near term in order to preserve capital and increase financial flexibility. These cash preservation measures may impact our ability and the timing to execute our strategy. Our ability to continue as a going concern will depend on our ability to obtain additional funding, as to which no assurances can be given. We continue to analyze various alternatives, including additional debt or equity financings or other arrangements. Due to the uncertainty of our ability to meet our current operating and capital expenses, in their report on our audited annual financial statements as of and for the years ended December 31, 2025 and 2024,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spacing w:after="0" w:line="86"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spacing w:after="0" w:line="96" w:lineRule="exact"/>
        <w:rPr>
          <w:sz w:val="20"/>
          <w:szCs w:val="20"/>
          <w:color w:val="auto"/>
        </w:rPr>
      </w:pPr>
    </w:p>
    <w:p>
      <w:pPr>
        <w:ind w:left="980" w:hanging="482"/>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progress, costs and results of our ongoing preclinical studies and clinical trials of our product candidates;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progress, results and costs of preclinical development, laboratory testing and clinical trials of other product candidates that we may pursue;</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collaborations on favorable terms, if at all;</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timing and outcome of regulatory review of our product candidates;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future commercialization activities, including product manufacturing, marketing, sales, reimbursement and distribution, for any of our product candidates for which we may receive marketing approval;</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revenue, if any, received from commercial sales of our product candidates for which we may receive marketing approval;</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any milestone and royalty payments with respect to any approved product candidates;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preparing, filing and prosecuting patent applications, maintaining and enforcing our intellectual property rights and defending any intellectual property-related claims;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operating as a public company; and</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to which we acquire or in-license other product candidates and technologies.</w:t>
      </w:r>
    </w:p>
    <w:p>
      <w:pPr>
        <w:spacing w:after="0" w:line="11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including as a result of increases in inflation and interest rates, disruptions to, and volatility in, the credit and financial markets in the United States and worldwide, tariffs and trade wars, public health crises or geopolitical tensions, such as wars and terrorism and future U.S. government shutdowns. If we are unable to raise capital when needed or on acceptable terms, we could be forced to delay, reduce, or explore other strategic options for our research and development programs or</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240"/>
          </w:cols>
          <w:pgMar w:left="820" w:top="746" w:right="820" w:bottom="0" w:gutter="0" w:footer="0" w:header="0"/>
          <w:type w:val="continuous"/>
        </w:sectPr>
      </w:pPr>
    </w:p>
    <w:bookmarkStart w:id="54" w:name="page55"/>
    <w:bookmarkEnd w:id="54"/>
    <w:p>
      <w:pPr>
        <w:jc w:val="both"/>
        <w:spacing w:after="0" w:line="277" w:lineRule="auto"/>
        <w:rPr>
          <w:sz w:val="20"/>
          <w:szCs w:val="20"/>
          <w:color w:val="auto"/>
        </w:rPr>
      </w:pPr>
      <w:r>
        <w:rPr>
          <w:rFonts w:ascii="Times New Roman" w:cs="Times New Roman" w:eastAsia="Times New Roman" w:hAnsi="Times New Roman"/>
          <w:sz w:val="20"/>
          <w:szCs w:val="20"/>
          <w:color w:val="231F20"/>
        </w:rPr>
        <w:t>other opportunities, or even terminate our operations. If we do not obtain additional financing and are required to terminate our operations, our stockholders will lose all or a part of their investment.</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Raising additional capital may cause dilution to our stockholders, restrict our operations or require us to relinquish rights to our product candidates.</w:t>
      </w:r>
    </w:p>
    <w:p>
      <w:pPr>
        <w:spacing w:after="0" w:line="49"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Until such time, if ever, as we can generate substantial product revenue, we will need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if available, through the sale of equity or convertible debt securities, including through our ATM program, your ownership interest in our company may be diluted, and the terms of these securities may include liquidation or other preferences that adversely affect your rights as a stockholder. For example, in recent years we have issued a substantial number of shares of common stock and warrants to purchase shares of common stock to raise additional capital, including most recently our sale and issuance of 5,127,029 shares of common stock and pre-funded warrants to purchase up to 9,452,677 shares of common stock in a private placement in December 2025.</w:t>
      </w:r>
    </w:p>
    <w:p>
      <w:pPr>
        <w:spacing w:after="0" w:line="86"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68"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 sale of a substantial number of shares of our common stock may cause the price of our common stock to decline.</w:t>
      </w:r>
    </w:p>
    <w:p>
      <w:pPr>
        <w:spacing w:after="0" w:line="12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Sales of a substantial number of shares of our common stock in the public market could occur at any time, including as a result of exercises of the outstanding warrants.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8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outstanding warrants may not be exercised and we may not receive any cash proceeds from any exercise of warrants.</w:t>
      </w:r>
    </w:p>
    <w:p>
      <w:pPr>
        <w:spacing w:after="0" w:line="12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As of December 31, 2025, we had 9,701,059 pre-funded warrants, 166,964 Series B warrants, and 828,863 Series C warrants outstanding. Of these, 9,452,677 pre-funded warrants have an exercise price of $0.0001 per share and 248,382 pre-funded warrants have an exercise price of $0.003 per share. The Series B warrants have an exercise price of $13.50 per share and will expire on December 13, 2028. The Series C warrants have an exercise price of $8.10 per share and will expire on October 4, 2027.</w:t>
      </w:r>
    </w:p>
    <w:p>
      <w:pPr>
        <w:spacing w:after="0" w:line="77"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We may receive up to an aggregate of $10.0 million from the exercise of the Series B and Series C warrants, assuming the exercise in full of all of the warrants for cash. However, we will only receive proceeds to the extent the holders of warrants elect to exercise. We can provide no assurances as to the amount of proceeds we will receive from the exercise of warrants or whether we will receive any proceeds at all. Additionally, the warrants may, in certain circumstances, be exercised by way of cashless exercise, meaning that the holder may not pay a cash purchase price upon exercise, but instead would receive upon such exercise the net number of shares of our common stock determined according to the formula set forth in the applicable warrant. Accordingly, we may not receive any additional funds, or any significant additional funds, upon any exercise of the warrants. To date, 261,832 Series A, 90,544 Series B and 47,088 Series C warrants have been exercised for net proceeds of $2.3 million.</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240"/>
          </w:cols>
          <w:pgMar w:left="820" w:top="750" w:right="820" w:bottom="0" w:gutter="0" w:footer="0" w:header="0"/>
          <w:type w:val="continuous"/>
        </w:sectPr>
      </w:pPr>
    </w:p>
    <w:bookmarkStart w:id="55" w:name="page56"/>
    <w:bookmarkEnd w:id="55"/>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incurred significant operating losses since inception and anticipate that we will continue to incur substantial operating losses for the foreseeable future and may never achieve or maintain profitability.</w:t>
      </w:r>
    </w:p>
    <w:p>
      <w:pPr>
        <w:spacing w:after="0" w:line="49"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We have incurred significant operating losses since inception. Our net loss was $19.4 and $30.4 million for the years ended December 31, 2025 and 2024, respectively. As of December 31, 2025, we had an accumulated deficit of $141.1 million. We expect to continue to incur significant expenses and increasing operating losses for the foreseeable future. Since inception, we have devoted substantially all of our efforts to research and preclinical and clinical development of our product candidates, organizing and staffing 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spacing w:after="0" w:line="96" w:lineRule="exact"/>
        <w:rPr>
          <w:sz w:val="20"/>
          <w:szCs w:val="20"/>
          <w:color w:val="auto"/>
        </w:rPr>
      </w:pPr>
    </w:p>
    <w:p>
      <w:pPr>
        <w:ind w:left="980" w:hanging="482"/>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conduct our current and future clinical trials for our product candidates;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to develop and advance our preclinical product candidates;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seek regulatory and marketing approvals for any of our current and future product candidates that successfully complete clinical trials;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our manufacturing capability, including developing our contract development and manufacturing relationships, and building our internal manufacturing facilities;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 expand and protect our intellectual property portfolio;</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 our operational, financial, and management systems and increase personnel, including personnel to support our preclinical and clinical development, manufacturing and commercialization efforts;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 sales, marketing and distribution infrastructure in the future to commercialize any current or future product candidate for which we may obtain marketing approval;</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seek to identify, discover, develop and commercialize additional product candidates; and</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incur additional legal, accounting or other expenses in operating our business, including the additional costs associated with operating as a public company.</w:t>
      </w:r>
    </w:p>
    <w:p>
      <w:pPr>
        <w:spacing w:after="0" w:line="5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spacing w:after="0" w:line="82"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77"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raise capital may be limited by applicable laws and regulations.</w:t>
      </w:r>
    </w:p>
    <w:p>
      <w:pPr>
        <w:spacing w:after="0" w:line="12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w:t>
      </w:r>
    </w:p>
    <w:p>
      <w:pPr>
        <w:sectPr>
          <w:pgSz w:w="11880" w:h="15480" w:orient="portrait"/>
          <w:cols w:equalWidth="0" w:num="1">
            <w:col w:w="10240"/>
          </w:cols>
          <w:pgMar w:left="820" w:top="750" w:right="820" w:bottom="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240"/>
          </w:cols>
          <w:pgMar w:left="820" w:top="750" w:right="820" w:bottom="0" w:gutter="0" w:footer="0" w:header="0"/>
          <w:type w:val="continuous"/>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20"/>
          <w:szCs w:val="20"/>
          <w:color w:val="231F20"/>
        </w:rPr>
        <w:t>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a limited operating history and have no products approved for commercial sale, which may make it difficult for you to evaluate the success of our business to date and to assess our future viability.</w:t>
      </w:r>
    </w:p>
    <w:p>
      <w:pPr>
        <w:spacing w:after="0" w:line="4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INB-400, INB-200 and INB-100, business planning and raising capital. Other than INB-400, INB-200 and INB-100, all of our ongoing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spacing w:after="0" w:line="8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Development of Our Product Candidates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spacing w:after="0" w:line="68"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Our business is dependent on our ability to successfully complete development of, obtain regulatory approval for, and, if approved, successfully commercialize our product candidates in a timely manner. We may face unforeseen challenges in our product candidate 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candidates, including INB-100, in our ongoing clinical trials. Our product candidates are in early stages of development and may never be commercialized. Additionally, we announced in September 2024 that we have suspended patient enrollment in the INB-400 Phase 2 clinical trial for newly diagnosed GBM while we explore additional funding, potential regulatory pathways and/or partnership opportunities, if any, for the program. We would require substantial additional funds to recommence and advance this trial through data and BLA submission.</w:t>
      </w:r>
    </w:p>
    <w:p>
      <w:pPr>
        <w:spacing w:after="0" w:line="89"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currently anticipate seeking initial regulatory approvals in the United States and the European Union but may in the future submit applications for the regulatory approval of one or more of our product candidates to additional foreign regulatory authorities.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spacing w:after="0" w:line="8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assay development or clinical trials for our product candidates either pre- or post-approval, or it may object to elements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240"/>
          </w:cols>
          <w:pgMar w:left="820" w:top="750" w:right="820" w:bottom="0" w:gutter="0" w:footer="0" w:header="0"/>
          <w:type w:val="continuous"/>
        </w:sectPr>
      </w:pPr>
    </w:p>
    <w:bookmarkStart w:id="57" w:name="page58"/>
    <w:bookmarkEnd w:id="57"/>
    <w:p>
      <w:pPr>
        <w:jc w:val="both"/>
        <w:spacing w:after="0" w:line="277" w:lineRule="auto"/>
        <w:rPr>
          <w:sz w:val="20"/>
          <w:szCs w:val="20"/>
          <w:color w:val="auto"/>
        </w:rPr>
      </w:pPr>
      <w:r>
        <w:rPr>
          <w:rFonts w:ascii="Times New Roman" w:cs="Times New Roman" w:eastAsia="Times New Roman" w:hAnsi="Times New Roman"/>
          <w:sz w:val="20"/>
          <w:szCs w:val="20"/>
          <w:color w:val="231F20"/>
        </w:rPr>
        <w:t>of our clinical development program, requiring their alteration. We may also decide to modify clinical protocols or procedures in future clinical trials based on clinical and experimental data.</w:t>
      </w:r>
    </w:p>
    <w:p>
      <w:pPr>
        <w:spacing w:after="0" w:line="49"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spacing w:after="0" w:line="77"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Our product candidates could fail to receive regulatory approval from the FDA or a comparable foreign regulatory authority for many reasons, including, among others:</w:t>
      </w:r>
    </w:p>
    <w:p>
      <w:pPr>
        <w:spacing w:after="0" w:line="64" w:lineRule="exact"/>
        <w:rPr>
          <w:sz w:val="20"/>
          <w:szCs w:val="20"/>
          <w:color w:val="auto"/>
        </w:rPr>
      </w:pPr>
    </w:p>
    <w:p>
      <w:pPr>
        <w:ind w:left="980" w:hanging="482"/>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disagreement with the design or conduct of any of our clinical trials;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demonstrate to the satisfaction of regulatory agencies that our product candidates are safe and effective, or have a positive benefit/risk profile for its proposed indication;</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of clinical trials to meet the level of statistical significance required for approval;</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disagreement with our interpretation of data from preclinical studies or clinical trials;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insufficiency of data collected from clinical trials of our product candidates to support the submission and filing of a Biologics License Application ("BLA") or other submission or to obtain regulatory approval;</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obtain approval of our manufacturing processes or facilities of third-party manufacturers with whom we contract for clinical and commercial supplies or our own manufacturing facility; or</w:t>
      </w:r>
    </w:p>
    <w:p>
      <w:pPr>
        <w:spacing w:after="0" w:line="64" w:lineRule="exact"/>
        <w:rPr>
          <w:rFonts w:ascii="Arial" w:cs="Arial" w:eastAsia="Arial" w:hAnsi="Arial"/>
          <w:sz w:val="20"/>
          <w:szCs w:val="20"/>
          <w:color w:val="231F20"/>
        </w:rPr>
      </w:pPr>
    </w:p>
    <w:p>
      <w:pPr>
        <w:ind w:left="980" w:hanging="482"/>
        <w:spacing w:after="0" w:line="257"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approval policies or regulations that render our preclinical and clinical data insufficient for approval.</w:t>
      </w:r>
    </w:p>
    <w:p>
      <w:pPr>
        <w:spacing w:after="0" w:line="333"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spacing w:after="0" w:line="6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86"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spacing w:after="0" w:line="74"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Because our product candidates are in early stages of development, they will require extensive preclinical and clinical testing. INB-400, INB-200 and INB-100 are our only product candidates currently in active clinical trials. While the IND remains open, in September 2024, we announced that we have suspended patient enrollment in the INB-400 Phase 2 clinical trial for newly diagnosed GBM while we explore additional funding, potential regulatory pathways and/or partnership opportunities for the program, if any.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w:t>
      </w:r>
    </w:p>
    <w:p>
      <w:pPr>
        <w:sectPr>
          <w:pgSz w:w="11880" w:h="15480" w:orient="portrait"/>
          <w:cols w:equalWidth="0" w:num="1">
            <w:col w:w="10240"/>
          </w:cols>
          <w:pgMar w:left="820" w:top="750" w:right="820" w:bottom="0" w:gutter="0" w:footer="0" w:header="0"/>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240"/>
          </w:cols>
          <w:pgMar w:left="820" w:top="750" w:right="820" w:bottom="0" w:gutter="0" w:footer="0" w:header="0"/>
          <w:type w:val="continuous"/>
        </w:sectPr>
      </w:pPr>
    </w:p>
    <w:bookmarkStart w:id="58" w:name="page59"/>
    <w:bookmarkEnd w:id="58"/>
    <w:p>
      <w:pPr>
        <w:jc w:val="both"/>
        <w:spacing w:after="0" w:line="277" w:lineRule="auto"/>
        <w:rPr>
          <w:sz w:val="20"/>
          <w:szCs w:val="20"/>
          <w:color w:val="auto"/>
        </w:rPr>
      </w:pPr>
      <w:r>
        <w:rPr>
          <w:rFonts w:ascii="Times New Roman" w:cs="Times New Roman" w:eastAsia="Times New Roman" w:hAnsi="Times New Roman"/>
          <w:sz w:val="20"/>
          <w:szCs w:val="20"/>
          <w:color w:val="231F20"/>
        </w:rPr>
        <w:t>clinical development despite positive results in preclinical studies or even if they successfully advance through earlier clinical trials.</w:t>
      </w:r>
    </w:p>
    <w:p>
      <w:pPr>
        <w:spacing w:after="0" w:line="49"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For example, although we have undertaken Phase 1 clinical trials for INB-200 and INB-100, and have determined the recommended RP2D for the Phase 2 trial of INB-100, the FDA has not yet made any determination regarding safety and efficacy of either product candidate in the targeted indications. Further, 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such product candidate. Any such delay or abandonment could harm our business, financial condition, results of operations and prospects.</w:t>
      </w:r>
    </w:p>
    <w:p>
      <w:pPr>
        <w:spacing w:after="0" w:line="8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spacing w:after="0" w:line="8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spacing w:after="0" w:line="86"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Our gamma-delta T cell engager program "(γδ TCE"), INB-600, INB-633 and INB-619, currently in preclinical development, are subject to significant risks and uncertainties that could materially impact development of this platform and impact our results, timelines, financing or business objectives. The development is early and preclinical and the work to bring a TCE through IND-enabling development and into clinical development encompasses many critical processes including cloning into optimized GMP compliant vector and cell systems, scale-up, generation of transient or stable cell lines for production, GMP manufacturing and large-scale production. These processes present complex scientific and technical challenges and are subject to numerous risks and uncertainties, including the risk that the T cell engager’s properties, such as the stimulatory/expansion domain, binding affinity or specificity, or targeting domains may not function as anticipated when transitioning from preclinical systems to a larger-scale production system. Additionally, achieving sufficient purity during the manufacturing scale up and purification process to meet stringent regulatory standards for clinical trials poses a significant risk, as difficulties in removing impurities or ensuring product stability could lead to manufacturing delays or failures. Furthermore, in IND-enabling animal models, there is a risk that the T cell engager may not demonstrate the anticipated efficacy or may exhibit toxicity not previously identified in in vitro testing, potentially due to differences in biological systems or unforeseen off-target effects. Advancing to clinical trials introduces additional uncertainties, including challenges in obtaining regulatory approvals, potential safety or efficacy issues, difficulties in patient recruitment, and the complexities of trial execution. Failure to successfully address these risks could delay or prevent the progression of our T cell engager into clinical development.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8"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spacing w:after="0" w:line="8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w:t>
      </w:r>
    </w:p>
    <w:p>
      <w:pPr>
        <w:sectPr>
          <w:pgSz w:w="11880" w:h="15480" w:orient="portrait"/>
          <w:cols w:equalWidth="0" w:num="1">
            <w:col w:w="10240"/>
          </w:cols>
          <w:pgMar w:left="820" w:top="750" w:right="820" w:bottom="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240"/>
          </w:cols>
          <w:pgMar w:left="820" w:top="750" w:right="820" w:bottom="0" w:gutter="0" w:footer="0" w:header="0"/>
          <w:type w:val="continuous"/>
        </w:sectPr>
      </w:pPr>
    </w:p>
    <w:bookmarkStart w:id="59" w:name="page60"/>
    <w:bookmarkEnd w:id="59"/>
    <w:p>
      <w:pPr>
        <w:jc w:val="both"/>
        <w:spacing w:after="0" w:line="247" w:lineRule="auto"/>
        <w:rPr>
          <w:sz w:val="20"/>
          <w:szCs w:val="20"/>
          <w:color w:val="auto"/>
        </w:rPr>
      </w:pPr>
      <w:r>
        <w:rPr>
          <w:rFonts w:ascii="Times New Roman" w:cs="Times New Roman" w:eastAsia="Times New Roman" w:hAnsi="Times New Roman"/>
          <w:sz w:val="20"/>
          <w:szCs w:val="20"/>
          <w:color w:val="231F20"/>
        </w:rPr>
        <w:t>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DeltEx product candidates utilize novel approaches to cell therapies, including cancer treatment, which presents significant challenges to successfully develop, manufacture and commercialize our product candidates.</w:t>
      </w:r>
    </w:p>
    <w:p>
      <w:pPr>
        <w:spacing w:after="0" w:line="49"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We believe that our product candidates represent a novel approach to immunotherapy, including cancer treatment, and we have concentrated significant research and development efforts to date developing our INB-100, INB-200 and INB-400 product candidates, as well as our additional drug-resistant immunotherapy ("DRI") gamma-delta T cell and gamma-delta T cell engager preclinical product candidates. Gamma-delta T cell immunotherapy is a newly emerging field and our approaches, including genetic modification and DeltEx DRI gamma-delta T cells, have not been extensively tested over any significant period. We have not yet succeeded and may never succeed in demonstrating efficacy and safety for any of our product candidates in clinical trials or in obtaining marketing approval thereafter.</w:t>
      </w:r>
    </w:p>
    <w:p>
      <w:pPr>
        <w:spacing w:after="0" w:line="8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spacing w:after="0" w:line="8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Additionally, we are the first company to advance a genetically modified gamma-delta T cell product candidate, INB-200, which we are currently developing for the treatment of certain solid tumors, into the clinic. The manufacture of our cell therapies involves 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spacing w:after="0" w:line="8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Any delay or difficulties in manufacturing lentiviral vector and/or clinical supply of INB-100, INB-200 and INB-400 or any of our other current or future product candidates would adversely affect our business and operations. For additional details surrounding risks related to our manufacturing processes, see the risks highlighted in "Risks Related to Manufacturing and our Dependence on Third Parties," including "Our manufacturing processes are complex and we may encounter difficulties in production, which would delay or prevent our ability to provide a sufficient supply of our product candidates for future clinical trials or commercialization, if approved."</w:t>
      </w:r>
    </w:p>
    <w:p>
      <w:pPr>
        <w:spacing w:after="0" w:line="80"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Advancing product candidates utilizing such novel approaches to immunotherapy creates significant challenges for us, including, among others:</w:t>
      </w:r>
    </w:p>
    <w:p>
      <w:pPr>
        <w:spacing w:after="0" w:line="64" w:lineRule="exact"/>
        <w:rPr>
          <w:sz w:val="20"/>
          <w:szCs w:val="20"/>
          <w:color w:val="auto"/>
        </w:rPr>
      </w:pPr>
    </w:p>
    <w:p>
      <w:pPr>
        <w:ind w:left="980" w:hanging="482"/>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manufacturing our product candidate to our specifications and in a timely manner to support our clinical trials, and, if approved, commercialization;</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sourcing clinical and, if approved, commercial supplies for the raw materials used to manufacture our product candidates;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understanding and addressing variability in the quality of a donor and/or patient’s T cells, which could ultimately affect our ability to produce our product candidates in a reliable and consistent manner;</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conditioning patients with chemotherapy or other lymphodepletion agents in advance of administering our product candidates, which may increase the risk of adverse side effects;</w:t>
      </w:r>
    </w:p>
    <w:p>
      <w:pPr>
        <w:spacing w:after="0" w:line="64" w:lineRule="exact"/>
        <w:rPr>
          <w:rFonts w:ascii="Arial" w:cs="Arial" w:eastAsia="Arial" w:hAnsi="Arial"/>
          <w:sz w:val="20"/>
          <w:szCs w:val="20"/>
          <w:color w:val="231F20"/>
        </w:rPr>
      </w:pPr>
    </w:p>
    <w:p>
      <w:pPr>
        <w:jc w:val="both"/>
        <w:ind w:left="980" w:hanging="482"/>
        <w:spacing w:after="0" w:line="252"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educating medical personnel regarding how to properly isolate cells, perform aphersis, administer our cells and the potential side effect profile of our product candidates, such as cytokine release syndrome, neurotoxicity, tumor inflammation-associated neurotoxicities, graft versus host disease, prolonged cytopenia, infections, hygromas and neutropenic sepsis, among others;</w:t>
      </w:r>
    </w:p>
    <w:p>
      <w:pPr>
        <w:spacing w:after="0" w:line="87" w:lineRule="exact"/>
        <w:rPr>
          <w:rFonts w:ascii="Arial" w:cs="Arial" w:eastAsia="Arial" w:hAnsi="Arial"/>
          <w:sz w:val="20"/>
          <w:szCs w:val="20"/>
          <w:color w:val="231F20"/>
        </w:rPr>
      </w:pPr>
    </w:p>
    <w:p>
      <w:pPr>
        <w:ind w:left="980" w:hanging="482"/>
        <w:spacing w:after="0"/>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enrolling sufficient numbers of patients in clinical trials;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240"/>
          </w:cols>
          <w:pgMar w:left="820" w:top="750" w:right="820" w:bottom="0" w:gutter="0" w:footer="0" w:header="0"/>
          <w:type w:val="continuous"/>
        </w:sectPr>
      </w:pPr>
    </w:p>
    <w:bookmarkStart w:id="60" w:name="page61"/>
    <w:bookmarkEnd w:id="60"/>
    <w:p>
      <w:pPr>
        <w:ind w:left="980" w:hanging="482"/>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training a sufficient number of technicians in how to properly manufacture our cells;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developing a reliable, safe, effective and cost-effective means of consistently expanding and manufacturing our cells;</w:t>
      </w:r>
    </w:p>
    <w:p>
      <w:pPr>
        <w:spacing w:after="0" w:line="58" w:lineRule="exact"/>
        <w:rPr>
          <w:rFonts w:ascii="Arial" w:cs="Arial" w:eastAsia="Arial" w:hAnsi="Arial"/>
          <w:sz w:val="20"/>
          <w:szCs w:val="20"/>
          <w:color w:val="231F20"/>
        </w:rPr>
      </w:pPr>
    </w:p>
    <w:p>
      <w:pPr>
        <w:ind w:left="980" w:hanging="482"/>
        <w:spacing w:after="0" w:line="270"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understanding and addressing variability in demand for manufacturing and its impact on capacity utilization of available infrastructure and costs;</w:t>
      </w:r>
    </w:p>
    <w:p>
      <w:pPr>
        <w:spacing w:after="0" w:line="62" w:lineRule="exact"/>
        <w:rPr>
          <w:rFonts w:ascii="Arial" w:cs="Arial" w:eastAsia="Arial" w:hAnsi="Arial"/>
          <w:sz w:val="20"/>
          <w:szCs w:val="20"/>
          <w:color w:val="231F20"/>
        </w:rPr>
      </w:pPr>
    </w:p>
    <w:p>
      <w:pPr>
        <w:ind w:left="980" w:hanging="482"/>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developing a reliable, safe and effective means of genetically modifying our cells;</w:t>
      </w:r>
    </w:p>
    <w:p>
      <w:pPr>
        <w:spacing w:after="0" w:line="126" w:lineRule="exact"/>
        <w:rPr>
          <w:rFonts w:ascii="Arial" w:cs="Arial" w:eastAsia="Arial" w:hAnsi="Arial"/>
          <w:sz w:val="20"/>
          <w:szCs w:val="20"/>
          <w:color w:val="231F20"/>
        </w:rPr>
      </w:pPr>
    </w:p>
    <w:p>
      <w:pPr>
        <w:jc w:val="both"/>
        <w:ind w:left="980" w:hanging="482"/>
        <w:spacing w:after="0" w:line="251"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submitting applications for and obtaining regulatory approval, as the FDA and other regulatory authorities have limited experience with commercial development of immunotherapies for cancer and viral associated infectious diseases; and</w:t>
      </w:r>
    </w:p>
    <w:p>
      <w:pPr>
        <w:spacing w:after="0" w:line="81" w:lineRule="exact"/>
        <w:rPr>
          <w:rFonts w:ascii="Arial" w:cs="Arial" w:eastAsia="Arial" w:hAnsi="Arial"/>
          <w:sz w:val="20"/>
          <w:szCs w:val="20"/>
          <w:color w:val="231F20"/>
        </w:rPr>
      </w:pPr>
    </w:p>
    <w:p>
      <w:pPr>
        <w:ind w:left="980" w:hanging="482"/>
        <w:spacing w:after="0" w:line="270"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establishing sales and marketing capabilities, as well as developing a manufacturing process and distribution network to support the commercialization of any approved products.</w:t>
      </w:r>
    </w:p>
    <w:p>
      <w:pPr>
        <w:spacing w:after="0" w:line="48" w:lineRule="exact"/>
        <w:rPr>
          <w:sz w:val="20"/>
          <w:szCs w:val="20"/>
          <w:color w:val="auto"/>
        </w:rPr>
      </w:pPr>
    </w:p>
    <w:p>
      <w:pPr>
        <w:jc w:val="both"/>
        <w:ind w:firstLine="403"/>
        <w:spacing w:after="0" w:line="270" w:lineRule="auto"/>
        <w:rPr>
          <w:sz w:val="20"/>
          <w:szCs w:val="20"/>
          <w:color w:val="auto"/>
        </w:rPr>
      </w:pPr>
      <w:r>
        <w:rPr>
          <w:rFonts w:ascii="Times New Roman" w:cs="Times New Roman" w:eastAsia="Times New Roman" w:hAnsi="Times New Roman"/>
          <w:sz w:val="20"/>
          <w:szCs w:val="20"/>
          <w:color w:val="231F20"/>
        </w:rPr>
        <w:t>We must be able to overcome these challenges in order for us to successfully develop, commercialize and manufacture our product candidates utilizing our novel approaches to gamma-delta T cell therapies.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231F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spacing w:after="0" w:line="68" w:lineRule="exact"/>
        <w:rPr>
          <w:sz w:val="20"/>
          <w:szCs w:val="20"/>
          <w:color w:val="auto"/>
        </w:rPr>
      </w:pPr>
    </w:p>
    <w:p>
      <w:pPr>
        <w:jc w:val="both"/>
        <w:ind w:firstLine="403"/>
        <w:spacing w:after="0" w:line="237" w:lineRule="auto"/>
        <w:rPr>
          <w:sz w:val="20"/>
          <w:szCs w:val="20"/>
          <w:color w:val="auto"/>
        </w:rPr>
      </w:pPr>
      <w:r>
        <w:rPr>
          <w:rFonts w:ascii="Times New Roman" w:cs="Times New Roman" w:eastAsia="Times New Roman" w:hAnsi="Times New Roman"/>
          <w:sz w:val="20"/>
          <w:szCs w:val="20"/>
          <w:color w:val="231F20"/>
        </w:rPr>
        <w:t>To date, gamma-delta T cells have only been evaluated in early clinical trials. These clinical trials were primarily designed to evaluate safety and tolerability, and not designed to produce statistically significant results as to efficacy. Most of the data to date regarding gamma-delta T cells were derived from clinical trials not conducted by us, including physician-sponsored clinical 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spacing w:after="0" w:line="84" w:lineRule="exact"/>
        <w:rPr>
          <w:sz w:val="20"/>
          <w:szCs w:val="20"/>
          <w:color w:val="auto"/>
        </w:rPr>
      </w:pPr>
    </w:p>
    <w:p>
      <w:pPr>
        <w:jc w:val="both"/>
        <w:ind w:firstLine="403"/>
        <w:spacing w:after="0" w:line="234" w:lineRule="auto"/>
        <w:rPr>
          <w:sz w:val="20"/>
          <w:szCs w:val="20"/>
          <w:color w:val="auto"/>
        </w:rPr>
      </w:pPr>
      <w:r>
        <w:rPr>
          <w:rFonts w:ascii="Times New Roman" w:cs="Times New Roman" w:eastAsia="Times New Roman" w:hAnsi="Times New Roman"/>
          <w:sz w:val="20"/>
          <w:szCs w:val="20"/>
          <w:color w:val="231F20"/>
        </w:rPr>
        <w:t>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AML, and our manufacturing processes are predominantly based on cells received from healthy haploidentical related donors with at least half of the major human leukocyte antigen ("HLA") types matched. Our clinical development plan for INB-100 will seek to determine the safety of HLA mismatched, donor-derived gamma-delta T cells and establish the risk of graft versus host disease ("GvHD") if any. While mismatched gamma-delta T cells are not known to initiate GvHD, we observed grade 1 and/or 2 GvHD in approximately 60% of patients treated with INB-100 as of January 17, 2025. We will also seek to better understand the persistence of mismatched gamma-delta T cells and their potential impact on immune reconstitution, clinical activity and duration of response. The grade 1/2 GvHD that we have observed has been responsive to steroid treatment, and we believe that a high degree of HLA matching will not be required to prevent or reduce the risks of GvHD or for clinically meaningful activity and durability of response. Competitor data presented at ASCO 2024 demonstrated that persistence of donor derived cells are correlated with levels of HLA matching and they are now advancing their programs to be haploidentical matched as we have in our INB-100 program. If it becomes apparent through preclinical testing or additional clinical trials that such HLA matching is always required, a future "off-the-shelf" product may not be attainable, which could prevent or delay the further advancement of "off-the-shelf" product candidates and adversely affect our business and future development plans. We will also need to demonstrate that our DeltEx platform product candidates are safe. Unexpected adverse events reported by ourselves or competitors can negatively impact the market and perception of the viability of cellular therapies broadly. In recent years a newly defined severe adverse event termed tumor inflammation-associated neurotoxicity (“TIAN”) has been identified that can lead to severe neurological adverse events leading to patient death. While we have not identified or observed such toxicities in our clinical trials to date, unexpected adverse events can present significant risks.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spacing w:after="0" w:line="88" w:lineRule="exact"/>
        <w:rPr>
          <w:sz w:val="20"/>
          <w:szCs w:val="20"/>
          <w:color w:val="auto"/>
        </w:rPr>
      </w:pPr>
    </w:p>
    <w:p>
      <w:pPr>
        <w:jc w:val="both"/>
        <w:ind w:firstLine="403"/>
        <w:spacing w:after="0" w:line="270" w:lineRule="auto"/>
        <w:rPr>
          <w:sz w:val="20"/>
          <w:szCs w:val="20"/>
          <w:color w:val="auto"/>
        </w:rPr>
      </w:pPr>
      <w:r>
        <w:rPr>
          <w:rFonts w:ascii="Times New Roman" w:cs="Times New Roman" w:eastAsia="Times New Roman" w:hAnsi="Times New Roman"/>
          <w:sz w:val="20"/>
          <w:szCs w:val="20"/>
          <w:color w:val="231F20"/>
        </w:rPr>
        <w:t>Moreover, actual or perceived safety issues, including adoption of new therapeutics or novel approaches to treatment, may adversely influence the willingness of subjects to participate in clinical trials, or if approved by applicable regulatory</w:t>
      </w:r>
    </w:p>
    <w:p>
      <w:pPr>
        <w:sectPr>
          <w:pgSz w:w="11880" w:h="15480" w:orient="portrait"/>
          <w:cols w:equalWidth="0" w:num="1">
            <w:col w:w="10240"/>
          </w:cols>
          <w:pgMar w:left="820" w:top="764" w:right="820" w:bottom="0"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240"/>
          </w:cols>
          <w:pgMar w:left="820" w:top="764" w:right="820" w:bottom="0" w:gutter="0" w:footer="0" w:header="0"/>
          <w:type w:val="continuous"/>
        </w:sectPr>
      </w:pPr>
    </w:p>
    <w:bookmarkStart w:id="61" w:name="page62"/>
    <w:bookmarkEnd w:id="61"/>
    <w:p>
      <w:pPr>
        <w:jc w:val="both"/>
        <w:spacing w:after="0" w:line="245" w:lineRule="auto"/>
        <w:rPr>
          <w:sz w:val="20"/>
          <w:szCs w:val="20"/>
          <w:color w:val="auto"/>
        </w:rPr>
      </w:pPr>
      <w:r>
        <w:rPr>
          <w:rFonts w:ascii="Times New Roman" w:cs="Times New Roman" w:eastAsia="Times New Roman" w:hAnsi="Times New Roman"/>
          <w:sz w:val="20"/>
          <w:szCs w:val="20"/>
          <w:color w:val="231F20"/>
        </w:rPr>
        <w:t>authorities, of physicians to subscribe to the novel treatment mechanics. The FDA or other applicable regulatory authorities may impose specific post-market requirements, such as establishment of a Risk Evaluation and Mitigation Strategy ("REMS") and request additional information informing benefits or risks of our products may emerge at any time prior to or after regulatory approval.</w:t>
      </w:r>
    </w:p>
    <w:p>
      <w:pPr>
        <w:spacing w:after="0" w:line="7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Clinical product candidate development involves a lengthy and expensive process with uncertain outcomes. We may incur additional costs and encounter substantial delays or difficulties in our clinical trials.</w:t>
      </w:r>
    </w:p>
    <w:p>
      <w:pPr>
        <w:spacing w:after="0" w:line="49"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We may not commercialize, market, promote or sell any product candidate without obtaining marketing approval from the FDA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spacing w:after="0" w:line="8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trials for INB-100 and INB-200 involve studying a relatively small patient population, which makes it difficult to predict whether the favorable results observed in such clinical trial will be repeated in larger and more advanced clinical trials.</w:t>
      </w:r>
    </w:p>
    <w:p>
      <w:pPr>
        <w:spacing w:after="0" w:line="8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spacing w:after="0" w:line="83" w:lineRule="exact"/>
        <w:rPr>
          <w:sz w:val="20"/>
          <w:szCs w:val="20"/>
          <w:color w:val="auto"/>
        </w:rPr>
      </w:pPr>
    </w:p>
    <w:p>
      <w:pPr>
        <w:ind w:left="980" w:hanging="482"/>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reaching a consensus with regulatory authorities on the design, location or implementation of our clinical trials;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or setbacks in patient enrollment;</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trials of our product candidates may produce negative or inconclusive results;</w:t>
      </w:r>
    </w:p>
    <w:p>
      <w:pPr>
        <w:spacing w:after="0" w:line="133" w:lineRule="exact"/>
        <w:rPr>
          <w:rFonts w:ascii="Arial" w:cs="Arial" w:eastAsia="Arial" w:hAnsi="Arial"/>
          <w:sz w:val="20"/>
          <w:szCs w:val="20"/>
          <w:color w:val="231F20"/>
        </w:rPr>
      </w:pPr>
    </w:p>
    <w:p>
      <w:pPr>
        <w:jc w:val="both"/>
        <w:ind w:left="980" w:hanging="482"/>
        <w:spacing w:after="0" w:line="249"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90"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spacing w:after="0" w:line="81"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spacing w:after="0" w:line="81"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occurrence of serious adverse events associated with the product candidate that are viewed to outweigh its potential benefits; and</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need to conduct additional clinical trials or abandon product development programs.</w:t>
      </w:r>
    </w:p>
    <w:p>
      <w:pPr>
        <w:spacing w:after="0" w:line="119"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sectPr>
          <w:pgSz w:w="11880" w:h="15480" w:orient="portrait"/>
          <w:cols w:equalWidth="0" w:num="1">
            <w:col w:w="10240"/>
          </w:cols>
          <w:pgMar w:left="820" w:top="744" w:right="82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240"/>
          </w:cols>
          <w:pgMar w:left="820" w:top="744" w:right="820" w:bottom="0" w:gutter="0" w:footer="0" w:header="0"/>
          <w:type w:val="continuous"/>
        </w:sectPr>
      </w:pPr>
    </w:p>
    <w:bookmarkStart w:id="62" w:name="page63"/>
    <w:bookmarkEnd w:id="62"/>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conditions. Regulatory action or private litigation could result in expenses, delays or other impediments to our research programs or the commercialization of resulting products.</w:t>
      </w:r>
    </w:p>
    <w:p>
      <w:pPr>
        <w:spacing w:after="0" w:line="8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REMS, among other results. We could also encounter delays if physicians encounter unresolved ethical issues associated with enrolling patients in clinical trials of our product candidates in lieu of prescribing existing treatments that have established safety and efficacy profiles.</w:t>
      </w:r>
    </w:p>
    <w:p>
      <w:pPr>
        <w:spacing w:after="0" w:line="8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Additionally, the FDA or an independent institutional review board ("IRB") may also suspend our clinical trials at any time if it appears that we or our collaborators are failing to conduct a trial in accordance with regulatory requirements, including the FDA’s current Good Clinical Practice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Development of a product candidate intended for use in combination with an already approved therapy may present increased complexity and more or different challenges than development of a product candidate for use as a single agent or monotherapy.</w:t>
      </w:r>
    </w:p>
    <w:p>
      <w:pPr>
        <w:spacing w:after="0" w:line="6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We are developing certain of our product candidates, including INB-400 and INB-200,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 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prospects should we receive marketing approval. Such developments may include changes to the approved therapy’s safety or efficacy profile, changes to the availability of the approved therapy, and changes to the standard-of-care.</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encounter difficulties in enrolling patients in our clinical trials, our clinical development activities could be delayed or otherwise adversely affected.</w:t>
      </w:r>
    </w:p>
    <w:p>
      <w:pPr>
        <w:spacing w:after="0" w:line="4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and AML, primarily affect an elderly population over the age of 65, who might suffer from other age-related and unknown and/or pre-existing ailments or health concerns. If any such patient enrolled in our smaller-scale Phase 1 trials has to drop out due to pre-existing 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spacing w:after="0" w:line="97" w:lineRule="exact"/>
        <w:rPr>
          <w:sz w:val="20"/>
          <w:szCs w:val="20"/>
          <w:color w:val="auto"/>
        </w:rPr>
      </w:pPr>
    </w:p>
    <w:p>
      <w:pPr>
        <w:ind w:left="980" w:hanging="482"/>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size and nature of the patient population;</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severity and incidence of the disease under investigation;</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240"/>
          </w:cols>
          <w:pgMar w:left="820" w:top="750" w:right="820" w:bottom="0" w:gutter="0" w:footer="0" w:header="0"/>
          <w:type w:val="continuous"/>
        </w:sectPr>
      </w:pPr>
    </w:p>
    <w:bookmarkStart w:id="63" w:name="page64"/>
    <w:bookmarkEnd w:id="63"/>
    <w:p>
      <w:pPr>
        <w:ind w:left="980" w:hanging="482"/>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design of the trial and the complexity for patients and clinical sites;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general health condition of the patient and their gamma-delta T cells and immune cells broadly;</w:t>
      </w:r>
    </w:p>
    <w:p>
      <w:pPr>
        <w:spacing w:after="0" w:line="133"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spacing w:after="0" w:line="81"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consistently manufacture gamma-delta T cell product candidates in sufficient quantities at sufficient activity and/or transduction efficiency to provide a suitable therapeutic dose of gamma-delta T cells;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competing clinical trials for similar therapies, other new therapeutics, new combination treatments, new medicinal products;</w:t>
      </w:r>
    </w:p>
    <w:p>
      <w:pPr>
        <w:spacing w:after="0" w:line="64"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clinicians’ and patients’ perceptions as to the potential advantages and side effects of the product candidate being studied in relation to other available therapies, including any new drugs or treatments that may be approved or become standard-of-care for the indications we are investigating;</w:t>
      </w:r>
    </w:p>
    <w:p>
      <w:pPr>
        <w:spacing w:after="0" w:line="81" w:lineRule="exact"/>
        <w:rPr>
          <w:rFonts w:ascii="Arial" w:cs="Arial" w:eastAsia="Arial" w:hAnsi="Arial"/>
          <w:sz w:val="20"/>
          <w:szCs w:val="20"/>
          <w:color w:val="231F20"/>
        </w:rPr>
      </w:pPr>
    </w:p>
    <w:p>
      <w:pPr>
        <w:ind w:left="980" w:hanging="482"/>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in clinician treatment practices and/or protocols from center to center;</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obtain and maintain patient consents due to various reasons, including but not limited to, patients’ unwillingness to participate due to public health crises;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enrolled subjects will drop out, develop complications or die before completion of the trial;</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develop and provide appropriate screening, product characterization and release assays;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patients failing to complete a clinical trial or returning for post-treatment follow-up;</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manufacture the requisite materials for a patient and clinical trial; and</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inability of clinical sites to enroll patients as health care capacities are required to cope with natural disasters, epidemics or other health system emergencies.</w:t>
      </w:r>
    </w:p>
    <w:p>
      <w:pPr>
        <w:spacing w:after="0" w:line="5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("CROs") and clinical trial sites to ensure proper and timely conduct of our future clinical trials and, while we intend to enter into agreements governing their services, we will be limited in our ability to ensure their actual performance.</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77"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For example, in January 2024, FDA required approved CAR-T products to add boxed warning information to their labeling concerning the risk of developing secondary T cell malignancies. If additional clinical experience indicates that any of our product candidates or the use of lentiviral vectors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spacing w:after="0" w:line="82"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Undesirable side effects caused by our product candidates, implanted devices, gene-editing methods, delivery methods or dosage levels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w:t>
      </w:r>
    </w:p>
    <w:p>
      <w:pPr>
        <w:sectPr>
          <w:pgSz w:w="11880" w:h="15480" w:orient="portrait"/>
          <w:cols w:equalWidth="0" w:num="1">
            <w:col w:w="10240"/>
          </w:cols>
          <w:pgMar w:left="820" w:top="764" w:right="820" w:bottom="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240"/>
          </w:cols>
          <w:pgMar w:left="820" w:top="764" w:right="820" w:bottom="0" w:gutter="0" w:footer="0" w:header="0"/>
          <w:type w:val="continuous"/>
        </w:sectPr>
      </w:pPr>
    </w:p>
    <w:bookmarkStart w:id="64" w:name="page65"/>
    <w:bookmarkEnd w:id="64"/>
    <w:p>
      <w:pPr>
        <w:jc w:val="both"/>
        <w:spacing w:after="0" w:line="249" w:lineRule="auto"/>
        <w:rPr>
          <w:sz w:val="20"/>
          <w:szCs w:val="20"/>
          <w:color w:val="auto"/>
        </w:rPr>
      </w:pPr>
      <w:r>
        <w:rPr>
          <w:rFonts w:ascii="Times New Roman" w:cs="Times New Roman" w:eastAsia="Times New Roman" w:hAnsi="Times New Roman"/>
          <w:sz w:val="20"/>
          <w:szCs w:val="20"/>
          <w:color w:val="231F20"/>
        </w:rPr>
        <w:t>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w:t>
      </w:r>
    </w:p>
    <w:p>
      <w:pPr>
        <w:spacing w:after="0" w:line="77"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To date, we have only tested INB-100, INB-200 and INB-400 in a limited number of patients with cancer and these clinical trial participants have only been observed for a limited period of time after dosing at a limited number of sites.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spacing w:after="0" w:line="83"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82"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file IND applications to commence additional clinical trials on the timelines we expect, and even if we are able to, the FDA may not permit us to proceed.</w:t>
      </w:r>
    </w:p>
    <w:p>
      <w:pPr>
        <w:spacing w:after="0" w:line="49"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We have previously announced our goals for potentially submitting additional INDs for INB-100, INB- 400 and INB-619. We have suspended enrollment for INB-400 as we explore additional funding, potential regulatory pathways and/or partnership partnerships for this program. We may not be able to make additional filings on the timelines we expect, which may cause delays in commencing additional clinical trials. Even if such regulatory authorities agree with the design and implementation of the clinical trials set forth in an IND or clinical trial application, we cannot guarantee that such regulatory authorities will not change their requirements in the future. Moreover, we cannot be sure that submission of an IND for any of our other product candidates will result in the FDA allowing trials to begin, or that, once begun, issues will not arise that result in a decision by us, by IRBs, or independent ethics committees, or by the FDA or other regulatory authorities to suspend or terminate clinical trials. For example, we may experience manufacturing delays or other delays with IND-enabling studies or the FDA or other regulatory authorities may require additional preclinical studies that we did not anticipate. Moreover, we cannot be assured that submission of an IND will result in the FDA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such regulatory authorities agree with the design and implementation of the clinical trials set forth in an IND or clinical trial application, we cannot guarantee that such regulatory authorities will not change their requirements in the future. The inability to initiate clinical trials any of our product candidates on the timeline currently anticipated or at all could have a material adverse effect on our business, results of operations and prospects.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may seek Breakthrough Therapy, RMAT or Fast Track designations and may pursue accelerated approval for some or all of our current product candidates, but we may be unable to obtain such designations or, where obtained, we may be unable to maintain Breakthrough Therapy or RMAT designation or obtain or maintain the benefits associated with such designations.</w:t>
      </w:r>
    </w:p>
    <w:p>
      <w:pPr>
        <w:spacing w:after="0" w:line="7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231F20"/>
        </w:rPr>
        <w:t>We may seek Breakthrough Therapy, RMAT or Fast Track designations and may pursue accelerated approval for INB-100, INB-200, INB-400 and some or all of our other and future product candidates. Breakthrough Therapy designation is</w:t>
      </w:r>
    </w:p>
    <w:p>
      <w:pPr>
        <w:sectPr>
          <w:pgSz w:w="11880" w:h="15480" w:orient="portrait"/>
          <w:cols w:equalWidth="0" w:num="1">
            <w:col w:w="10240"/>
          </w:cols>
          <w:pgMar w:left="820" w:top="750" w:right="820" w:bottom="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240"/>
          </w:cols>
          <w:pgMar w:left="820" w:top="750" w:right="820" w:bottom="0" w:gutter="0" w:footer="0" w:header="0"/>
          <w:type w:val="continuous"/>
        </w:sectPr>
      </w:pPr>
    </w:p>
    <w:bookmarkStart w:id="65" w:name="page66"/>
    <w:bookmarkEnd w:id="65"/>
    <w:p>
      <w:pPr>
        <w:jc w:val="both"/>
        <w:spacing w:after="0" w:line="245" w:lineRule="auto"/>
        <w:rPr>
          <w:sz w:val="20"/>
          <w:szCs w:val="20"/>
          <w:color w:val="auto"/>
        </w:rPr>
      </w:pPr>
      <w:r>
        <w:rPr>
          <w:rFonts w:ascii="Times New Roman" w:cs="Times New Roman" w:eastAsia="Times New Roman" w:hAnsi="Times New Roman"/>
          <w:sz w:val="20"/>
          <w:szCs w:val="20"/>
          <w:color w:val="231F20"/>
        </w:rPr>
        <w:t>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spacing w:after="0" w:line="8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231F20"/>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spacing w:after="0" w:line="317"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8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Although we have received orphan drug designation for INB-400 in the past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spacing w:after="0" w:line="68"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In April 2023, we received orphan drug designation for the autologous and allogeneic IND-400 product candidate, covering a broad range of malignant glioma treatments, including newly diagnosed glioblastoma. We may continue to seek orphan drug designation for one or more of our current or future product candidates, including INB-100 or its successor.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spacing w:after="0" w:line="89"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spacing w:after="0" w:line="82"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w:t>
      </w:r>
    </w:p>
    <w:p>
      <w:pPr>
        <w:sectPr>
          <w:pgSz w:w="11880" w:h="15480" w:orient="portrait"/>
          <w:cols w:equalWidth="0" w:num="1">
            <w:col w:w="10240"/>
          </w:cols>
          <w:pgMar w:left="820" w:top="750" w:right="820" w:bottom="0"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240"/>
          </w:cols>
          <w:pgMar w:left="820" w:top="750" w:right="820" w:bottom="0" w:gutter="0" w:footer="0" w:header="0"/>
          <w:type w:val="continuous"/>
        </w:sectPr>
      </w:pPr>
    </w:p>
    <w:bookmarkStart w:id="66" w:name="page67"/>
    <w:bookmarkEnd w:id="66"/>
    <w:p>
      <w:pPr>
        <w:jc w:val="both"/>
        <w:spacing w:after="0" w:line="246" w:lineRule="auto"/>
        <w:rPr>
          <w:sz w:val="20"/>
          <w:szCs w:val="20"/>
          <w:color w:val="auto"/>
        </w:rPr>
      </w:pPr>
      <w:r>
        <w:rPr>
          <w:rFonts w:ascii="Times New Roman" w:cs="Times New Roman" w:eastAsia="Times New Roman" w:hAnsi="Times New Roman"/>
          <w:sz w:val="20"/>
          <w:szCs w:val="20"/>
          <w:color w:val="231F20"/>
        </w:rPr>
        <w:t>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identify or discover other product candidates and may fail to capitalize on programs or product candidates that may present a greater commercial opportunity or for which there is a greater likelihood of success.</w:t>
      </w:r>
    </w:p>
    <w:p>
      <w:pPr>
        <w:spacing w:after="0" w:line="49"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spacing w:after="0" w:line="91" w:lineRule="exact"/>
        <w:rPr>
          <w:sz w:val="20"/>
          <w:szCs w:val="20"/>
          <w:color w:val="auto"/>
        </w:rPr>
      </w:pPr>
    </w:p>
    <w:p>
      <w:pPr>
        <w:ind w:left="980" w:hanging="482"/>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the methodology used may not be successful in identifying potential product candidates;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competitors may develop alternatives that render any product candidates we develop obsolete;</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any product candidates we develop may be covered by third parties’ patents or other exclusive rights;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 product candidate may demonstrate harmful side effects or other characteristics that indicate it is unlikely to be effective or otherwise does not meet applicable regulatory criteria;</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 product candidate may not be capable of being produced in commercial quantities at an acceptable cost, or at all; and</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 product candidate may not be accepted as safe and effective by physicians, patients, the medical community or third-party payors.</w:t>
      </w:r>
    </w:p>
    <w:p>
      <w:pPr>
        <w:spacing w:after="0" w:line="5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product candidate development for other disease indications. If we are unsuccessful in identifying and developing additional product candidates or are unable to do so, our business may be harmed.</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Public opinion and scrutiny of our competitors, cell-based immunotherapy, T cell engagers, and genetic modification approaches may impact public perception of our company and product candidates, or may adversely affect our ability to raise capital, conduct our business and our business plans.</w:t>
      </w:r>
    </w:p>
    <w:p>
      <w:pPr>
        <w:spacing w:after="0" w:line="68"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Our DeltEx platform utilizes a relatively novel technology involving the genetic modification of human cells and utilization of those modified cells in other individuals, and our TCE program involves engineering antibodies that bind on T cells and a tumor-associated antigen on cancer cells. Public perception may be influenced by negative claims about our DeltEx platform or T cell engagers, or that of competitor's products and/or programs such as claims that gamma-delta T cell and/or other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w:t>
      </w:r>
    </w:p>
    <w:p>
      <w:pPr>
        <w:sectPr>
          <w:pgSz w:w="11880" w:h="15480" w:orient="portrait"/>
          <w:cols w:equalWidth="0" w:num="1">
            <w:col w:w="10240"/>
          </w:cols>
          <w:pgMar w:left="820" w:top="750" w:right="820" w:bottom="0"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240"/>
          </w:cols>
          <w:pgMar w:left="820" w:top="750" w:right="820" w:bottom="0" w:gutter="0" w:footer="0" w:header="0"/>
          <w:type w:val="continuous"/>
        </w:sectPr>
      </w:pPr>
    </w:p>
    <w:bookmarkStart w:id="67" w:name="page68"/>
    <w:bookmarkEnd w:id="67"/>
    <w:p>
      <w:pPr>
        <w:jc w:val="both"/>
        <w:spacing w:after="0" w:line="277" w:lineRule="auto"/>
        <w:rPr>
          <w:sz w:val="20"/>
          <w:szCs w:val="20"/>
          <w:color w:val="auto"/>
        </w:rPr>
      </w:pPr>
      <w:r>
        <w:rPr>
          <w:rFonts w:ascii="Times New Roman" w:cs="Times New Roman" w:eastAsia="Times New Roman" w:hAnsi="Times New Roman"/>
          <w:sz w:val="20"/>
          <w:szCs w:val="20"/>
          <w:color w:val="231F20"/>
        </w:rPr>
        <w:t>candidates, stricter labeling requirements for those product candidates that are approved and a decrease in demand for any such product candidates.</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face significant competition, and many of our competitors have substantially greater experience and resources than we have.</w:t>
      </w:r>
    </w:p>
    <w:p>
      <w:pPr>
        <w:spacing w:after="0" w:line="49"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spacing w:after="0" w:line="77"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expect the product candidates we develop will be regulated as biologics, and therefore they may be subject to competition sooner than anticipated.</w:t>
      </w:r>
    </w:p>
    <w:p>
      <w:pPr>
        <w:spacing w:after="0" w:line="49"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w:t>
      </w:r>
    </w:p>
    <w:p>
      <w:pPr>
        <w:spacing w:after="0" w:line="77"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80"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In addition, the approval of a biologic product biosimilar to one of our products could have a material adverse impact on our business as it may be significantly less costly to bring to market and may be priced significantly lower than our products.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Manufacturing and Our Dependence on Third Parties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manufacturing processes are complex, and we may encounter difficulties in production, which would delay or prevent our ability to provide a sufficient supply of our product candidates for future clinical trials or commercialization, if approved.</w:t>
      </w:r>
    </w:p>
    <w:p>
      <w:pPr>
        <w:spacing w:after="0" w:line="68"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Some of our product candidates, including INB-200 and INB-300, as well as our INB-400 program, are genetically engineered human cells, and the process of manufacturing such product candidates, as well as the lentiviral vectors, is complex, highly regulated, variable and subject to numerous risks. Manufacturing our product candidates involves harvesting cells from</w:t>
      </w:r>
    </w:p>
    <w:p>
      <w:pPr>
        <w:sectPr>
          <w:pgSz w:w="11880" w:h="15480" w:orient="portrait"/>
          <w:cols w:equalWidth="0" w:num="1">
            <w:col w:w="10240"/>
          </w:cols>
          <w:pgMar w:left="820" w:top="750" w:right="820" w:bottom="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240"/>
          </w:cols>
          <w:pgMar w:left="820" w:top="750" w:right="820" w:bottom="0" w:gutter="0" w:footer="0" w:header="0"/>
          <w:type w:val="continuous"/>
        </w:sectPr>
      </w:pPr>
    </w:p>
    <w:bookmarkStart w:id="68" w:name="page69"/>
    <w:bookmarkEnd w:id="68"/>
    <w:p>
      <w:pPr>
        <w:jc w:val="both"/>
        <w:spacing w:after="0" w:line="277" w:lineRule="auto"/>
        <w:rPr>
          <w:sz w:val="20"/>
          <w:szCs w:val="20"/>
          <w:color w:val="auto"/>
        </w:rPr>
      </w:pPr>
      <w:r>
        <w:rPr>
          <w:rFonts w:ascii="Times New Roman" w:cs="Times New Roman" w:eastAsia="Times New Roman" w:hAnsi="Times New Roman"/>
          <w:sz w:val="20"/>
          <w:szCs w:val="20"/>
          <w:color w:val="231F20"/>
        </w:rPr>
        <w:t>a donor, isolating cells via leukapheresis, activating and expanding the gamma-delta T cells, cryopreservation, testing, storage and eventually shipment and infusion of the cell product into the patient’s body.</w:t>
      </w:r>
    </w:p>
    <w:p>
      <w:pPr>
        <w:spacing w:after="0" w:line="49"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Our manufacturing processes will be susceptible to product loss or failure, or product variation that may negatively impact patient outcomes, due to process and logistical issues associated with the collection of starting material from the donor, shipping such material to the manufacturing site, shipping the final product back to the recipient, preparing the product for administration, infusing the patient with the product, manufacturing issues or different product characteristics resulting from the inherent differences in donor starting materials, variations between reagent lots, interruptions in the manufacturing process, contamination, equipment or reagent failure, improper installation or operation of equipment and/or programs, vendor or operator error, inconsistency in cell growth and variability in product characteristics.</w:t>
      </w:r>
    </w:p>
    <w:p>
      <w:pPr>
        <w:spacing w:after="0" w:line="8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Even minor variations in starting reagents and materials, or deviations from normal manufacturing processes could result in reduced production yields, product defects, manufacturing failure and other supply disruptions. If, for any reason in our clinical trials, we lose the starting material for a manufactured product for one of our patients at any point in the process, or the expansion or transduction procedures in the manufacturing process should fail for any reason, such patient would no longer receive a dose of the therapy and may end participation in our clinical trial. For instance, operator errors impacting machine function, gas or airflow, or reagent addition can negatively impact the process. Manufacturing by a previously contracted facility has resulted in such operator errors; however, we identified these errors through our quality control procedures prior to patient administration.</w:t>
      </w:r>
    </w:p>
    <w:p>
      <w:pPr>
        <w:spacing w:after="0" w:line="82"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back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spacing w:after="0" w:line="82"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may make changes to our manufacturing processes for various reasons, such as to control costs, increase yield or dose, achieve commercial scale, decrease processing time, increase manufacturing success rate or for other reasons. We previously relocated clinical trial manufacturing for one of our clinical development programs to an academic GMP facility closer to our laboratory headquarters in Birmingham, Alabama to permit us contractual direct access as a means of preventing manufacturing errors. However, even with this contractual direct access and closer collaboration with the facility’s manufacturing staff, there can be no guarantee that manufacturing errors will not occur.</w:t>
      </w:r>
    </w:p>
    <w:p>
      <w:pPr>
        <w:spacing w:after="0" w:line="8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Changes to our process made during the course of clinical development could require us to show the comparability of the product used in earlier clinical phases or at earlier portions of a trial to the product used in later clinical phases or later portions of the trial. Other changes to our manufacturing processes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rely on third-party contractors or contract development manufacturing organization for the manufacturing of our product candidates, and failure by those parties to adequately perform their obligations could harm our business.</w:t>
      </w:r>
    </w:p>
    <w:p>
      <w:pPr>
        <w:spacing w:after="0" w:line="4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Although we endeavor to build and operate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w:t>
      </w:r>
    </w:p>
    <w:p>
      <w:pPr>
        <w:sectPr>
          <w:pgSz w:w="11880" w:h="15480" w:orient="portrait"/>
          <w:cols w:equalWidth="0" w:num="1">
            <w:col w:w="10240"/>
          </w:cols>
          <w:pgMar w:left="820" w:top="750" w:right="820" w:bottom="0" w:gutter="0" w:footer="0" w:header="0"/>
        </w:sect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240"/>
          </w:cols>
          <w:pgMar w:left="820" w:top="750" w:right="820" w:bottom="0" w:gutter="0" w:footer="0" w:header="0"/>
          <w:type w:val="continuous"/>
        </w:sectPr>
      </w:pPr>
    </w:p>
    <w:bookmarkStart w:id="69" w:name="page70"/>
    <w:bookmarkEnd w:id="69"/>
    <w:p>
      <w:pPr>
        <w:jc w:val="both"/>
        <w:spacing w:after="0" w:line="245" w:lineRule="auto"/>
        <w:rPr>
          <w:sz w:val="20"/>
          <w:szCs w:val="20"/>
          <w:color w:val="auto"/>
        </w:rPr>
      </w:pPr>
      <w:r>
        <w:rPr>
          <w:rFonts w:ascii="Times New Roman" w:cs="Times New Roman" w:eastAsia="Times New Roman" w:hAnsi="Times New Roman"/>
          <w:sz w:val="20"/>
          <w:szCs w:val="20"/>
          <w:color w:val="231F20"/>
        </w:rPr>
        <w:t>not be able to secure and/or maintain regulatory 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such approval or acceptance in the future, we may need to find alternative 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spacing w:after="0" w:line="82"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spacing w:after="0" w:line="77"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spacing w:after="0" w:line="9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We also intend to rely on third-party manufacturers to supply us with additional quantities of our product candidates to be used, if approved, for commercialization. We do not yet have a commercial supply agreement for commercial quantities of product. If we are not able to meet market demand for any approved product, it would negatively impact our ability to generate revenue, harm our reputation, and could have an adverse effect on our business and financial condition.</w:t>
      </w:r>
    </w:p>
    <w:p>
      <w:pPr>
        <w:spacing w:after="0" w:line="74"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Further, our reliance on third-party manufacturers entails risks to which we would not be subject if we manufactured product candidates ourselves, including:</w:t>
      </w:r>
    </w:p>
    <w:p>
      <w:pPr>
        <w:spacing w:after="0" w:line="64" w:lineRule="exact"/>
        <w:rPr>
          <w:sz w:val="20"/>
          <w:szCs w:val="20"/>
          <w:color w:val="auto"/>
        </w:rPr>
      </w:pPr>
    </w:p>
    <w:p>
      <w:pPr>
        <w:ind w:left="980" w:hanging="482"/>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inability to meet our product specifications and quality requirements consistently;</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delay or inability to procure or expand sufficient manufacturing capacity;</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issues related to scale-up of manufacturing;</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and validation of new equipment and facilities required for scale-up;</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third-party manufacturers may not be able to execute our manufacturing procedures and other logistical support requirements appropriately;</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third-party manufacturers may fail to comply with cGMP requirements and other inspections by the FDA or other comparable regulatory authorities;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negotiate manufacturing agreements with third parties under commercially reasonable terms, if at all;</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breach, termination or nonrenewal of manufacturing agreements with third parties in a manner or at a time that is costly or damaging to us;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reliance on single sources for reagents and components;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lack of qualified backup suppliers for those components that are currently purchased from a sole or single-source supplier;</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third-party manufacturers may not devote sufficient resources to our product candidates;</w:t>
      </w:r>
    </w:p>
    <w:p>
      <w:pPr>
        <w:sectPr>
          <w:pgSz w:w="11880" w:h="15480" w:orient="portrait"/>
          <w:cols w:equalWidth="0" w:num="1">
            <w:col w:w="10240"/>
          </w:cols>
          <w:pgMar w:left="820" w:top="750" w:right="820" w:bottom="0"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240"/>
          </w:cols>
          <w:pgMar w:left="820" w:top="750" w:right="820" w:bottom="0" w:gutter="0" w:footer="0" w:header="0"/>
          <w:type w:val="continuous"/>
        </w:sectPr>
      </w:pPr>
    </w:p>
    <w:bookmarkStart w:id="70" w:name="page71"/>
    <w:bookmarkEnd w:id="70"/>
    <w:p>
      <w:pPr>
        <w:ind w:left="980" w:hanging="482"/>
        <w:spacing w:after="0" w:line="276" w:lineRule="auto"/>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own, or may have to share, the intellectual property rights to any improvements made by our third-party manufacturers in the manufacturing process for our product candidates;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operations of our third-party manufacturers or suppliers could be disrupted by conditions unrelated to our business or operations, including the bankruptcy of the manufacturer or supplier; and</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carrier disruptions or increased costs that are beyond our control.</w:t>
      </w:r>
    </w:p>
    <w:p>
      <w:pPr>
        <w:spacing w:after="0" w:line="119"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spacing w:after="0" w:line="7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spacing w:after="0" w:line="77"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spacing w:after="0" w:line="7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are currently dependent on a single third-party supplier for manufacture of our automated manufacturing device and our lentiviral vectors for our cellular therapies. These are critical products required for the manufacturing of our product candidates, including INB-100, INB-200 and INB-400. Any damage or loss to the ability of our suppliers to deliver supplies in a timely manner could cause delays in manufacturing, and our clinical trials and our business could suffer.</w:t>
      </w:r>
    </w:p>
    <w:p>
      <w:pPr>
        <w:spacing w:after="0" w:line="74"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Our gamma-delta T cell products for INB-100 and INB-200, as well as our INB-400 program,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Our current supply of vectors will cover approximately 189 patients after a large manufacturing run was completed in the first half of 2023. If our third-party contractor is unable to provide adequate lentiviral vectors for our cellular therapies in a timely manner, our ability to manufacture and supply sufficient quantities of our product candidates for clinical or commercial usage will be delayed or hindered, and our business could suffer.</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rely on third-party healthcare professionals to administer gamma-delta T cells to patients, and our business could be harmed if these third parties administer these cells incorrectly.</w:t>
      </w:r>
    </w:p>
    <w:p>
      <w:pPr>
        <w:spacing w:after="0" w:line="4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spacing w:after="0" w:line="68"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sectPr>
          <w:pgSz w:w="11880" w:h="15480" w:orient="portrait"/>
          <w:cols w:equalWidth="0" w:num="1">
            <w:col w:w="10240"/>
          </w:cols>
          <w:pgMar w:left="820" w:top="764" w:right="820" w:bottom="0"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240"/>
          </w:cols>
          <w:pgMar w:left="820" w:top="764" w:right="820" w:bottom="0" w:gutter="0" w:footer="0" w:header="0"/>
          <w:type w:val="continuous"/>
        </w:sectPr>
      </w:pPr>
    </w:p>
    <w:bookmarkStart w:id="71" w:name="page72"/>
    <w:bookmarkEnd w:id="71"/>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believe we may require an updated and validated protocol for commercial-scale expansion and manufacturing of gamma-delta T cells for conducting pivotal trials and for commercialization of our product candidates, if approved.</w:t>
      </w:r>
    </w:p>
    <w:p>
      <w:pPr>
        <w:spacing w:after="0" w:line="49"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 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have not yet developed commercial-scale infrastructure for freezing and thawing large quantities of gamma-delta T cells, which we believe will be required for the storage and distribution of our gamma-delta T cell product candidates at commercial scale.</w:t>
      </w:r>
    </w:p>
    <w:p>
      <w:pPr>
        <w:spacing w:after="0" w:line="6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business involves the use of hazardous materials and we and our third-party manufacturers and suppliers must comply with environmental, health and safety laws and regulations, which can be expensive and restrict or interrupt our business.</w:t>
      </w:r>
    </w:p>
    <w:p>
      <w:pPr>
        <w:spacing w:after="0" w:line="49"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our commercialization efforts, research and development 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spacing w:after="0" w:line="68"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Although we are conducting our current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spacing w:after="0" w:line="8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We are, and our future CROs will be, required to comply with the good laboratory practices ("GLPs") and GCPs, which are regulations and guidelines enforced by the FDA and comparable foreign regulatory authorities in the form of International Council for Harmonization guidelines for any of our product candidates that are in preclinical and clinical development. The</w:t>
      </w:r>
    </w:p>
    <w:p>
      <w:pPr>
        <w:sectPr>
          <w:pgSz w:w="11880" w:h="15480" w:orient="portrait"/>
          <w:cols w:equalWidth="0" w:num="1">
            <w:col w:w="10240"/>
          </w:cols>
          <w:pgMar w:left="820" w:top="750" w:right="820" w:bottom="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240"/>
          </w:cols>
          <w:pgMar w:left="820" w:top="750" w:right="820" w:bottom="0" w:gutter="0" w:footer="0" w:header="0"/>
          <w:type w:val="continuous"/>
        </w:sectPr>
      </w:pPr>
    </w:p>
    <w:bookmarkStart w:id="72" w:name="page73"/>
    <w:bookmarkEnd w:id="72"/>
    <w:p>
      <w:pPr>
        <w:jc w:val="both"/>
        <w:spacing w:after="0" w:line="246" w:lineRule="auto"/>
        <w:rPr>
          <w:sz w:val="20"/>
          <w:szCs w:val="20"/>
          <w:color w:val="auto"/>
        </w:rPr>
      </w:pPr>
      <w:r>
        <w:rPr>
          <w:rFonts w:ascii="Times New Roman" w:cs="Times New Roman" w:eastAsia="Times New Roman" w:hAnsi="Times New Roman"/>
          <w:sz w:val="20"/>
          <w:szCs w:val="20"/>
          <w:color w:val="231F20"/>
        </w:rPr>
        <w:t>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spacing w:after="0" w:line="8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spacing w:after="0" w:line="88" w:lineRule="exact"/>
        <w:rPr>
          <w:sz w:val="20"/>
          <w:szCs w:val="20"/>
          <w:color w:val="auto"/>
        </w:rPr>
      </w:pPr>
    </w:p>
    <w:p>
      <w:pPr>
        <w:ind w:left="980" w:hanging="482"/>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have staffing difficulties;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fail to comply with contractual obligations;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experience regulatory compliance issues; or</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undergo changes in priorities or become financially distressed.</w:t>
      </w:r>
    </w:p>
    <w:p>
      <w:pPr>
        <w:spacing w:after="0" w:line="119"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spacing w:after="0" w:line="93"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Additionally, the FDA or other regulatory authorities may disagree with the sufficiency of our right of reference to the preclinical, manufacturing or clinical data generated by investigator-sponsored trials or our interpretation of preclinical, manufacturing or clinical data from these investigator-sponsored trials. If so, regulatory authorities may require us to obtain and submit additional preclinical, manufacturing or clinical data before we may initiate further clinical trials and/or obtain any regulatory approvals.</w:t>
      </w:r>
    </w:p>
    <w:p>
      <w:pPr>
        <w:spacing w:after="0" w:line="77"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spacing w:after="0" w:line="8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employees, principal investigators, consultants and commercial partners may engage in misconduct or other improper activities, including noncompliance with regulatory standards and requirements and insider trading.</w:t>
      </w:r>
    </w:p>
    <w:p>
      <w:pPr>
        <w:spacing w:after="0" w:line="4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w:t>
      </w:r>
    </w:p>
    <w:p>
      <w:pPr>
        <w:sectPr>
          <w:pgSz w:w="11880" w:h="15480" w:orient="portrait"/>
          <w:cols w:equalWidth="0" w:num="1">
            <w:col w:w="10240"/>
          </w:cols>
          <w:pgMar w:left="820" w:top="750" w:right="820" w:bottom="0" w:gutter="0" w:footer="0" w:header="0"/>
        </w:sect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240"/>
          </w:cols>
          <w:pgMar w:left="820" w:top="750" w:right="820" w:bottom="0" w:gutter="0" w:footer="0" w:header="0"/>
          <w:type w:val="continuous"/>
        </w:sectPr>
      </w:pPr>
    </w:p>
    <w:bookmarkStart w:id="73" w:name="page74"/>
    <w:bookmarkEnd w:id="73"/>
    <w:p>
      <w:pPr>
        <w:jc w:val="both"/>
        <w:spacing w:after="0" w:line="242" w:lineRule="auto"/>
        <w:rPr>
          <w:sz w:val="20"/>
          <w:szCs w:val="20"/>
          <w:color w:val="auto"/>
        </w:rPr>
      </w:pPr>
      <w:r>
        <w:rPr>
          <w:rFonts w:ascii="Times New Roman" w:cs="Times New Roman" w:eastAsia="Times New Roman" w:hAnsi="Times New Roman"/>
          <w:sz w:val="20"/>
          <w:szCs w:val="20"/>
          <w:color w:val="231F20"/>
        </w:rPr>
        <w:t>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74"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in October 2025 and February 2026, the U.S. government has shut down several times and certain regulatory agencies, such as the FDA, have had to furlough critical FDA employees and stop critical activities.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spacing w:after="0" w:line="77"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The licensing of intellectual property is of critical importance to our business and to our current and future product candidates, and we expect to enter into additional such agreements in the future. In particular, our product candidates, INB-100, INB-200, INB-300 and INB-400, are dependent on our license agreements with The UAB Research Foundation ("UABRF") Children’s Healthcare of Atlanta, Inc. ("CHOA") and Emory University ("Emory" and, together with UABRF and CHOA, the "Licensors"), pursuant to which we have obtained exclusive worldwide licenses under certain immunotherapy related patents and know-how that are critically important for these product candidates.</w:t>
      </w:r>
    </w:p>
    <w:p>
      <w:pPr>
        <w:spacing w:after="0" w:line="8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Although we have been granted exclusive licenses under these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240"/>
          </w:cols>
          <w:pgMar w:left="820" w:top="750" w:right="820" w:bottom="0" w:gutter="0" w:footer="0" w:header="0"/>
          <w:type w:val="continuous"/>
        </w:sectPr>
      </w:pPr>
    </w:p>
    <w:bookmarkStart w:id="74" w:name="page75"/>
    <w:bookmarkEnd w:id="74"/>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If we fail to meet our obligations under our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our product candidates. While we would expect to exercise all rights and remedies available to us, including seeking to cure any breach by us, and otherwise seek to preserve our rights under the license agreements, we may not be able to do so in a timely manner, at an acceptable cost or at all. For more information on our license agreements, see Note 9, License Agreements, in our financial statements contained elsewhere in this Annual Report.</w:t>
      </w:r>
    </w:p>
    <w:p>
      <w:pPr>
        <w:spacing w:after="0" w:line="8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spacing w:after="0" w:line="74"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7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December 31, 2025, we owned, co-owned or exclusively licensed five issued U.S. patents, seven issued European patents, 21 other issued foreign patents, nine pending U.S. applications, two pending PCT applications and 16 other foreign national-stage applications, including five European regional-phase applications that are important to the development of our business.</w:t>
      </w:r>
    </w:p>
    <w:p>
      <w:pPr>
        <w:spacing w:after="0" w:line="8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6"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 xml:space="preserve">Moreover, we may be subject to a third-party pre-issuance submission of prior art or become involved in opposition, derivation, reexamination,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240"/>
          </w:cols>
          <w:pgMar w:left="820" w:top="750" w:right="820" w:bottom="0" w:gutter="0" w:footer="0" w:header="0"/>
          <w:type w:val="continuous"/>
        </w:sectPr>
      </w:pPr>
    </w:p>
    <w:bookmarkStart w:id="75" w:name="page76"/>
    <w:bookmarkEnd w:id="75"/>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7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spacing w:after="0" w:line="77"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77"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82"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spacing w:after="0" w:line="68"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240"/>
          </w:cols>
          <w:pgMar w:left="820" w:top="750" w:right="820" w:bottom="0" w:gutter="0" w:footer="0" w:header="0"/>
          <w:type w:val="continuous"/>
        </w:sectPr>
      </w:pPr>
    </w:p>
    <w:bookmarkStart w:id="76" w:name="page77"/>
    <w:bookmarkEnd w:id="76"/>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Patent terms may be inadequate to protect our competitive position on our product candidates for an adequate amount of time.</w:t>
      </w:r>
    </w:p>
    <w:p>
      <w:pPr>
        <w:spacing w:after="0" w:line="49"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Given the amount of time required for the development, testing and regulatory review of product candidates such as INB-100, INB-200, INB-300, INB-400, INB-500, and INB-600,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spacing w:after="0" w:line="68" w:lineRule="exact"/>
        <w:rPr>
          <w:sz w:val="20"/>
          <w:szCs w:val="20"/>
          <w:color w:val="auto"/>
        </w:rPr>
      </w:pPr>
    </w:p>
    <w:p>
      <w:pPr>
        <w:jc w:val="both"/>
        <w:ind w:firstLine="403"/>
        <w:spacing w:after="0" w:line="241" w:lineRule="auto"/>
        <w:rPr>
          <w:sz w:val="20"/>
          <w:szCs w:val="20"/>
          <w:color w:val="auto"/>
        </w:rPr>
      </w:pPr>
      <w:r>
        <w:rPr>
          <w:rFonts w:ascii="Times New Roman" w:cs="Times New Roman" w:eastAsia="Times New Roman" w:hAnsi="Times New Roman"/>
          <w:sz w:val="20"/>
          <w:szCs w:val="20"/>
          <w:color w:val="231F20"/>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Other companies and research institutions have filed, and may file in the future, patent applications related to gamma-delta T cell immunotherapy. Some of these patent applications have already been allowed or issued, and others may issue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240"/>
          </w:cols>
          <w:pgMar w:left="820" w:top="750" w:right="820" w:bottom="0" w:gutter="0" w:footer="0" w:header="0"/>
          <w:type w:val="continuous"/>
        </w:sectPr>
      </w:pPr>
    </w:p>
    <w:bookmarkStart w:id="77" w:name="page78"/>
    <w:bookmarkEnd w:id="77"/>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spacing w:after="0" w:line="74" w:lineRule="exact"/>
        <w:rPr>
          <w:sz w:val="20"/>
          <w:szCs w:val="20"/>
          <w:color w:val="auto"/>
        </w:rPr>
      </w:pPr>
    </w:p>
    <w:p>
      <w:pPr>
        <w:jc w:val="both"/>
        <w:ind w:firstLine="403"/>
        <w:spacing w:after="0" w:line="241" w:lineRule="auto"/>
        <w:rPr>
          <w:sz w:val="20"/>
          <w:szCs w:val="20"/>
          <w:color w:val="auto"/>
        </w:rPr>
      </w:pPr>
      <w:r>
        <w:rPr>
          <w:rFonts w:ascii="Times New Roman" w:cs="Times New Roman" w:eastAsia="Times New Roman" w:hAnsi="Times New Roman"/>
          <w:sz w:val="20"/>
          <w:szCs w:val="20"/>
          <w:color w:val="231F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99"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Claims that we have misappropriated the confidential information or trade secrets of third parties could have a similar negative impact on our business, financial condition, results of operations and prospects.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68"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2"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involved in lawsuits to protect or enforce our patents, the patents of our licensors or our other intellectual property rights, which could be expensive, time-consuming and unsuccessful.</w:t>
      </w:r>
    </w:p>
    <w:p>
      <w:pPr>
        <w:spacing w:after="0" w:line="49"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w:t>
      </w:r>
    </w:p>
    <w:p>
      <w:pPr>
        <w:sectPr>
          <w:pgSz w:w="11880" w:h="15480" w:orient="portrait"/>
          <w:cols w:equalWidth="0" w:num="1">
            <w:col w:w="10240"/>
          </w:cols>
          <w:pgMar w:left="820" w:top="750" w:right="820" w:bottom="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240"/>
          </w:cols>
          <w:pgMar w:left="820" w:top="750" w:right="820" w:bottom="0" w:gutter="0" w:footer="0" w:header="0"/>
          <w:type w:val="continuous"/>
        </w:sectPr>
      </w:pPr>
    </w:p>
    <w:bookmarkStart w:id="78" w:name="page79"/>
    <w:bookmarkEnd w:id="78"/>
    <w:p>
      <w:pPr>
        <w:jc w:val="both"/>
        <w:spacing w:after="0" w:line="242" w:lineRule="auto"/>
        <w:rPr>
          <w:sz w:val="20"/>
          <w:szCs w:val="20"/>
          <w:color w:val="auto"/>
        </w:rPr>
      </w:pPr>
      <w:r>
        <w:rPr>
          <w:rFonts w:ascii="Times New Roman" w:cs="Times New Roman" w:eastAsia="Times New Roman" w:hAnsi="Times New Roman"/>
          <w:sz w:val="20"/>
          <w:szCs w:val="20"/>
          <w:color w:val="231F20"/>
        </w:rPr>
        <w:t xml:space="preserve">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cs="Times New Roman" w:eastAsia="Times New Roman" w:hAnsi="Times New Roman"/>
          <w:sz w:val="20"/>
          <w:szCs w:val="20"/>
          <w:i w:val="1"/>
          <w:iCs w:val="1"/>
          <w:color w:val="231F20"/>
        </w:rPr>
        <w:t>ex parte</w:t>
      </w:r>
      <w:r>
        <w:rPr>
          <w:rFonts w:ascii="Times New Roman" w:cs="Times New Roman" w:eastAsia="Times New Roman" w:hAnsi="Times New Roman"/>
          <w:sz w:val="20"/>
          <w:szCs w:val="20"/>
          <w:color w:val="231F20"/>
        </w:rPr>
        <w:t xml:space="preserve"> reexaminations,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86"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spacing w:after="0" w:line="77"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77"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U.S. patent law or the patent law of other countries or jurisdictions could diminish the value of patents in general, thereby impairing our ability to protect our current and any future product candidates.</w:t>
      </w:r>
    </w:p>
    <w:p>
      <w:pPr>
        <w:spacing w:after="0" w:line="49"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an adverse effect on our business, financial condition, results of operations, and prospects.</w:t>
      </w:r>
    </w:p>
    <w:p>
      <w:pPr>
        <w:spacing w:after="0" w:line="93"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240"/>
          </w:cols>
          <w:pgMar w:left="820" w:top="750" w:right="820" w:bottom="0" w:gutter="0" w:footer="0" w:header="0"/>
          <w:type w:val="continuous"/>
        </w:sectPr>
      </w:pPr>
    </w:p>
    <w:bookmarkStart w:id="79" w:name="page80"/>
    <w:bookmarkEnd w:id="79"/>
    <w:p>
      <w:pPr>
        <w:jc w:val="both"/>
        <w:spacing w:after="0" w:line="252" w:lineRule="auto"/>
        <w:rPr>
          <w:sz w:val="20"/>
          <w:szCs w:val="20"/>
          <w:color w:val="auto"/>
        </w:rPr>
      </w:pPr>
      <w:r>
        <w:rPr>
          <w:rFonts w:ascii="Times New Roman" w:cs="Times New Roman" w:eastAsia="Times New Roman" w:hAnsi="Times New Roman"/>
          <w:sz w:val="20"/>
          <w:szCs w:val="20"/>
          <w:color w:val="231F20"/>
        </w:rPr>
        <w:t>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protect our intellectual property rights throughout the world, which could negatively impact our business.</w:t>
      </w:r>
    </w:p>
    <w:p>
      <w:pPr>
        <w:spacing w:after="0" w:line="49"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8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89"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Reliance on third parties requires us to share our trade secrets, which increases the possibility that a competitor will discover them or that our trade secrets will be misappropriated or disclosed.</w:t>
      </w:r>
    </w:p>
    <w:p>
      <w:pPr>
        <w:spacing w:after="0" w:line="49"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spacing w:after="0" w:line="88"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w:t>
      </w:r>
    </w:p>
    <w:p>
      <w:pPr>
        <w:sectPr>
          <w:pgSz w:w="11880" w:h="15480" w:orient="portrait"/>
          <w:cols w:equalWidth="0" w:num="1">
            <w:col w:w="10240"/>
          </w:cols>
          <w:pgMar w:left="820" w:top="750" w:right="820" w:bottom="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240"/>
          </w:cols>
          <w:pgMar w:left="820" w:top="750" w:right="820" w:bottom="0" w:gutter="0" w:footer="0" w:header="0"/>
          <w:type w:val="continuous"/>
        </w:sectPr>
      </w:pPr>
    </w:p>
    <w:bookmarkStart w:id="80" w:name="page81"/>
    <w:bookmarkEnd w:id="80"/>
    <w:p>
      <w:pPr>
        <w:jc w:val="both"/>
        <w:spacing w:after="0" w:line="245" w:lineRule="auto"/>
        <w:rPr>
          <w:sz w:val="20"/>
          <w:szCs w:val="20"/>
          <w:color w:val="auto"/>
        </w:rPr>
      </w:pPr>
      <w:r>
        <w:rPr>
          <w:rFonts w:ascii="Times New Roman" w:cs="Times New Roman" w:eastAsia="Times New Roman" w:hAnsi="Times New Roman"/>
          <w:sz w:val="20"/>
          <w:szCs w:val="20"/>
          <w:color w:val="231F20"/>
        </w:rPr>
        <w:t>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we are unable to protect the confidentiality of our trade secrets, our business and competitive position would be harmed.</w:t>
      </w:r>
    </w:p>
    <w:p>
      <w:pPr>
        <w:spacing w:after="0" w:line="12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83"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8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Any trademarks we may obtain may be infringed or successfully challenged, resulting in harm to our business.</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82"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240"/>
          </w:cols>
          <w:pgMar w:left="820" w:top="750" w:right="82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231F20"/>
        </w:rPr>
        <w:t>Intellectual property rights do not necessarily address all potential threats to our business.</w:t>
      </w:r>
    </w:p>
    <w:p>
      <w:pPr>
        <w:spacing w:after="0" w:line="115" w:lineRule="exact"/>
        <w:rPr>
          <w:sz w:val="20"/>
          <w:szCs w:val="20"/>
          <w:color w:val="auto"/>
        </w:rPr>
      </w:pPr>
    </w:p>
    <w:p>
      <w:pPr>
        <w:ind w:firstLine="403"/>
        <w:spacing w:after="0" w:line="273" w:lineRule="auto"/>
        <w:rPr>
          <w:sz w:val="20"/>
          <w:szCs w:val="20"/>
          <w:color w:val="auto"/>
        </w:rPr>
      </w:pPr>
      <w:r>
        <w:rPr>
          <w:rFonts w:ascii="Times New Roman" w:cs="Times New Roman" w:eastAsia="Times New Roman" w:hAnsi="Times New Roman"/>
          <w:sz w:val="20"/>
          <w:szCs w:val="20"/>
          <w:color w:val="231F20"/>
        </w:rPr>
        <w:t>The degree of future protection afforded by our intellectual property rights is uncertain because intellectual property rights have limitations and may not adequately protect our business. The following examples are illustrative:</w:t>
      </w:r>
    </w:p>
    <w:p>
      <w:pPr>
        <w:spacing w:after="0" w:line="62" w:lineRule="exact"/>
        <w:rPr>
          <w:sz w:val="20"/>
          <w:szCs w:val="20"/>
          <w:color w:val="auto"/>
        </w:rPr>
      </w:pPr>
    </w:p>
    <w:p>
      <w:pPr>
        <w:jc w:val="both"/>
        <w:ind w:left="980" w:hanging="482"/>
        <w:spacing w:after="0" w:line="253"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be able to make cells, cell products, genetic modifications, compounds or formulations that are similar to our product candidates but that are not covered by the claims of any patents, should they issue, that we own or license;</w:t>
      </w:r>
    </w:p>
    <w:p>
      <w:pPr>
        <w:spacing w:after="0" w:line="82"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licensors might not have been the first to make the inventions covered by the issued patents or pending patent applications that we own or license;</w:t>
      </w:r>
    </w:p>
    <w:p>
      <w:pPr>
        <w:spacing w:after="0" w:line="62" w:lineRule="exact"/>
        <w:rPr>
          <w:rFonts w:ascii="Arial" w:cs="Arial" w:eastAsia="Arial" w:hAnsi="Arial"/>
          <w:sz w:val="20"/>
          <w:szCs w:val="20"/>
          <w:color w:val="231F20"/>
        </w:rPr>
      </w:pPr>
    </w:p>
    <w:p>
      <w:pPr>
        <w:ind w:left="980" w:hanging="482"/>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licensors might not have been the first to file patent applications covering certain of our inventions;</w:t>
      </w:r>
    </w:p>
    <w:p>
      <w:pPr>
        <w:spacing w:after="0" w:line="128"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20"/>
          <w:szCs w:val="20"/>
          <w:color w:val="231F20"/>
        </w:rPr>
      </w:pPr>
    </w:p>
    <w:p>
      <w:pPr>
        <w:ind w:left="980" w:hanging="482"/>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our pending patent applications will not lead to issued patents;</w:t>
      </w:r>
    </w:p>
    <w:p>
      <w:pPr>
        <w:spacing w:after="0" w:line="128" w:lineRule="exact"/>
        <w:rPr>
          <w:rFonts w:ascii="Arial" w:cs="Arial" w:eastAsia="Arial" w:hAnsi="Arial"/>
          <w:sz w:val="20"/>
          <w:szCs w:val="20"/>
          <w:color w:val="231F20"/>
        </w:rPr>
      </w:pPr>
    </w:p>
    <w:p>
      <w:pPr>
        <w:ind w:left="980" w:hanging="482"/>
        <w:spacing w:after="0" w:line="272"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issued patents that we own or license may not provide us with any competitive advantages, or may be held invalid or unenforceable as a result of legal challenges;</w:t>
      </w:r>
    </w:p>
    <w:p>
      <w:pPr>
        <w:spacing w:after="0" w:line="62" w:lineRule="exact"/>
        <w:rPr>
          <w:rFonts w:ascii="Arial" w:cs="Arial" w:eastAsia="Arial" w:hAnsi="Arial"/>
          <w:sz w:val="20"/>
          <w:szCs w:val="20"/>
          <w:color w:val="231F20"/>
        </w:rPr>
      </w:pPr>
    </w:p>
    <w:p>
      <w:pPr>
        <w:jc w:val="both"/>
        <w:ind w:left="980" w:hanging="482"/>
        <w:spacing w:after="0" w:line="247"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88" w:lineRule="exact"/>
        <w:rPr>
          <w:rFonts w:ascii="Arial" w:cs="Arial" w:eastAsia="Arial" w:hAnsi="Arial"/>
          <w:sz w:val="20"/>
          <w:szCs w:val="20"/>
          <w:color w:val="231F20"/>
        </w:rPr>
      </w:pPr>
    </w:p>
    <w:p>
      <w:pPr>
        <w:ind w:left="980" w:hanging="482"/>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develop additional proprietary technologies that are patentable; and</w:t>
      </w:r>
    </w:p>
    <w:p>
      <w:pPr>
        <w:spacing w:after="0" w:line="128" w:lineRule="exact"/>
        <w:rPr>
          <w:rFonts w:ascii="Arial" w:cs="Arial" w:eastAsia="Arial" w:hAnsi="Arial"/>
          <w:sz w:val="20"/>
          <w:szCs w:val="20"/>
          <w:color w:val="231F20"/>
        </w:rPr>
      </w:pPr>
    </w:p>
    <w:p>
      <w:pPr>
        <w:ind w:left="980" w:hanging="482"/>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patents of others may have an adverse effect on our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Operations, Employee Matters and Managing Growth</w:t>
      </w:r>
    </w:p>
    <w:p>
      <w:pPr>
        <w:spacing w:after="0" w:line="1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i w:val="1"/>
          <w:iCs w:val="1"/>
          <w:color w:val="231F20"/>
        </w:rPr>
        <w:t>Our ability to compete in the pharmaceuticals industry depends upon our ability to attract and retain highly qualified managerial, scientific, medical and other personnel. We are highly dependent on the services of our co-founders, William Ho, our Chief Executive Officer, and Dr. Lawrence Lamb, our Chief Scientific Officer, and of our President and Chief Operating Officer, Dr. Kate Rochlin,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spacing w:after="0" w:line="81"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are highly dependent on our co-founders, our Chief Executive Officer, William Ho and our Chief Scientific Officer, Dr. Lawrence Lamb and on our President and Chief Operating Officer, Dr. Kate Rochlin. Each of them may currently terminate their employment with us at any time. The loss of the services of any of these persons could impede the achievement of our research, development and commercialization objectives.</w:t>
      </w:r>
    </w:p>
    <w:p>
      <w:pPr>
        <w:spacing w:after="0" w:line="75"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83"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sectPr>
          <w:pgSz w:w="11880" w:h="15480" w:orient="portrait"/>
          <w:cols w:equalWidth="0" w:num="1">
            <w:col w:w="10240"/>
          </w:cols>
          <w:pgMar w:left="820" w:top="746" w:right="820" w:bottom="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240"/>
          </w:cols>
          <w:pgMar w:left="820" w:top="746" w:right="820" w:bottom="0" w:gutter="0" w:footer="0" w:header="0"/>
          <w:type w:val="continuous"/>
        </w:sectPr>
      </w:pPr>
    </w:p>
    <w:bookmarkStart w:id="82" w:name="page83"/>
    <w:bookmarkEnd w:id="82"/>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plan to expand our organization in the future, and we may experience difficulties in managing this growth, which could disrupt our operations.</w:t>
      </w:r>
    </w:p>
    <w:p>
      <w:pPr>
        <w:spacing w:after="0" w:line="49"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As of December 31, 2025, we had 17 full-time employees. As the clinical development of our product candidates progresses, we expect to require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explore strategic collaborations that may not have the intended benefits or never materialize, or we may be required to relinquish important rights to and control over the development and commercialization of our product candidates to any future collaborators.</w:t>
      </w:r>
    </w:p>
    <w:p>
      <w:pPr>
        <w:spacing w:after="0" w:line="68"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We may enter into strategic partnerships, create joint ventures or collaborations or enter into licensing arrangements with third parties with respect to our product candidates that we believe will complement or augment our business. For example, our business strategy includes broadening our DeltEx platform by exploring strategic partnerships that maximize the potential of our gamma-delta T cell programs. Additionally, we are exploring partnership opportunities for the INB-400 Phase 2 clinical program. As a result, we intend to periodically explore a variety of possible strategic partnerships in an effort to gain access to additional product candidates or resources. These strategic partnerships may include partnerships with large strategic partners.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any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97" w:lineRule="exact"/>
        <w:rPr>
          <w:sz w:val="20"/>
          <w:szCs w:val="20"/>
          <w:color w:val="auto"/>
        </w:rPr>
      </w:pPr>
    </w:p>
    <w:p>
      <w:pPr>
        <w:ind w:left="980" w:hanging="482"/>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expenditure of substantial operational, financial and management resources;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dilutive issuances of our securities;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substantial actual or contingent liabilities; and</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termination or expiration of the arrangement, which would delay the development and may increase the cost of developing our product candidates.</w:t>
      </w:r>
    </w:p>
    <w:p>
      <w:pPr>
        <w:spacing w:after="0" w:line="5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Moreover, we may not be successful in our efforts to establish a strategic partnership or other alternative arrangements for INB-300, INB-400, INB-600 or any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data and/or potential to demonstrate safety and efficacy. Strategic partners may also delay clinical trials, experience financial difficulties, provide insufficient funding, terminate a clinical trial or abandon a product candidate, which could negatively impact our development efforts. We cannot be certain that we would achieve the revenues or specific net income that justifies such strategic partnerships.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p>
    <w:p>
      <w:pPr>
        <w:spacing w:after="0" w:line="77"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We are increasingly dependent upon information technology systems, infrastructure and data to operate our business. In the ordinary course of business, we and the third parties with whom we work process sensitive information, and as a result, we and the third parties with whom we work face a variety of evolving threats that could cause security incidents. We also have outsourced elements of our operations to third parties, and as a result we manage a number of third-party vendors and other contractors and consultants who have access to our sensitive information. Our ability to monitor these third parties’ information</w:t>
      </w:r>
    </w:p>
    <w:p>
      <w:pPr>
        <w:sectPr>
          <w:pgSz w:w="11880" w:h="15480" w:orient="portrait"/>
          <w:cols w:equalWidth="0" w:num="1">
            <w:col w:w="10240"/>
          </w:cols>
          <w:pgMar w:left="820" w:top="750" w:right="820" w:bottom="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240"/>
          </w:cols>
          <w:pgMar w:left="820" w:top="750" w:right="820" w:bottom="0" w:gutter="0" w:footer="0" w:header="0"/>
          <w:type w:val="continuous"/>
        </w:sectPr>
      </w:pPr>
    </w:p>
    <w:bookmarkStart w:id="83" w:name="page84"/>
    <w:bookmarkEnd w:id="83"/>
    <w:p>
      <w:pPr>
        <w:jc w:val="both"/>
        <w:spacing w:after="0" w:line="252" w:lineRule="auto"/>
        <w:rPr>
          <w:sz w:val="20"/>
          <w:szCs w:val="20"/>
          <w:color w:val="auto"/>
        </w:rPr>
      </w:pPr>
      <w:r>
        <w:rPr>
          <w:rFonts w:ascii="Times New Roman" w:cs="Times New Roman" w:eastAsia="Times New Roman" w:hAnsi="Times New Roman"/>
          <w:sz w:val="20"/>
          <w:szCs w:val="20"/>
          <w:color w:val="231F20"/>
        </w:rPr>
        <w:t>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74"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Our internal computer systems, cloud-based computing services and those of any third parties with whom we work are vulnerable to damage or interruption from a variety of sources, including cyberattacks, malicious internet-based activity, and online and offline fraud, and other similar activities. These threats include, but are not limited to, social-engineering attacks (including through deep fakes, which may be increasingly more difficult to identify as fake, and phishing attacks),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credential harvesting, software bugs, server malfunctions, software or hardware failures, loss of data or other information technology assets, adware, attacks enhanced or facilitated by A.I.,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are increasingly difficult to detect, and are being conducted by sophisticated and organized groups and individuals with a wide range of motives and expertise,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w:t>
      </w:r>
    </w:p>
    <w:p>
      <w:pPr>
        <w:spacing w:after="0" w:line="86"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also face increased cybersecurity risks due to the number of our employees who are working remotely, which creates additional opportunities for cybercriminals to exploit vulnerabilities and data, as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9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8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If any of the previously identified or similar threats were to occur and cause a security incident or other interruptions in our operations, it could result in a disruption of our development programs and our business operations, whether due to unauthorized, unlawful, or accidental acquisition, modification, destruction, loss, alteration, encryption, disclosure of, access to, or other similar disruptions to our sensitive information or our information technology systems, or those of the third parties with whom we work. For example, we have been the target of unsuccessful phishing attempts in the past and we expect such attempts will continue in the future. In addition, the loss of clinical trial data from completed or future clinical trials could result in delays in our regulatory approval efforts and significantly increase our costs to recover or reproduce the data.</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240"/>
          </w:cols>
          <w:pgMar w:left="820" w:top="750" w:right="820" w:bottom="0" w:gutter="0" w:footer="0" w:header="0"/>
          <w:type w:val="continuous"/>
        </w:sectPr>
      </w:pPr>
    </w:p>
    <w:bookmarkStart w:id="84" w:name="page85"/>
    <w:bookmarkEnd w:id="84"/>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If we (or a third party with whom we work) experience a security incident or are perceived to have experienced a security incident, we could incur liability, our competitive position could be harmed and the further development and commercialization of our product candidates could be delayed. Security incidents could lead to material adverse consequences, including but not limited to: government enforcement actions (for example, investigations, fines, penalties, audits, and inspections); additional reporting requirements and/or oversight; restrictions on processing sensitive information (including personal data and clinical trial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 Additionally,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86"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74"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be able to detect and remediate all such vulnerabilities including on a timely basis. Further, we may experience delays in deploying remedial measures designed to address any such identified vulnerabilities. Vulnerabilities could be exploited and result in a security incident.</w:t>
      </w:r>
    </w:p>
    <w:p>
      <w:pPr>
        <w:spacing w:after="0" w:line="8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use our net operating losses to offset future taxable income may be subject to certain limitations.</w:t>
      </w:r>
    </w:p>
    <w:p>
      <w:pPr>
        <w:spacing w:after="0" w:line="12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We have incurred substantial losses since inception and do not expect to become profitable in the near future, if ever. In general, under Section 382 of the United States Internal Revenue Code of 1986, as amended ("Code") a corporation that undergoes an "ownership change" is subject to limitations on its ability to utilize its pre-change net operating losses ("NOLs") to offset future taxable income. We may have experienced ownership changes in the past and may experience ownership changes in the future as a result of subsequent changes in our stock ownership (some of which are outside our control). As a result, if and to the extent that we earn net taxable income, our ability to use our pre-change NOLs to offset such taxable income may be subject to limitations.</w:t>
      </w:r>
    </w:p>
    <w:p>
      <w:pPr>
        <w:spacing w:after="0" w:line="80"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Under current U.S. federal tax law, NOLs arising in tax years beginning after December 31, 2017 can be carried forward indefinitely, but the deductibility of these carryforwards is limited.</w:t>
      </w:r>
    </w:p>
    <w:p>
      <w:pPr>
        <w:spacing w:after="0" w:line="4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spacing w:after="0" w:line="68"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In order to realize the future tax benefits of our NOL carryforwards, we must generate taxable income, of which there is no assurance. Accordingly, we have provided a full valuation allowance for deferred tax assets as of December 31, 2025.</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spacing w:after="0" w:line="6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w:t>
      </w:r>
    </w:p>
    <w:p>
      <w:pPr>
        <w:sectPr>
          <w:pgSz w:w="11880" w:h="15480" w:orient="portrait"/>
          <w:cols w:equalWidth="0" w:num="1">
            <w:col w:w="10240"/>
          </w:cols>
          <w:pgMar w:left="820" w:top="750" w:right="820" w:bottom="0"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10240"/>
          </w:cols>
          <w:pgMar w:left="820" w:top="750" w:right="820" w:bottom="0" w:gutter="0" w:footer="0" w:header="0"/>
          <w:type w:val="continuous"/>
        </w:sectPr>
      </w:pPr>
    </w:p>
    <w:bookmarkStart w:id="85" w:name="page86"/>
    <w:bookmarkEnd w:id="85"/>
    <w:p>
      <w:pPr>
        <w:jc w:val="both"/>
        <w:spacing w:after="0" w:line="252" w:lineRule="auto"/>
        <w:rPr>
          <w:sz w:val="20"/>
          <w:szCs w:val="20"/>
          <w:color w:val="auto"/>
        </w:rPr>
      </w:pPr>
      <w:r>
        <w:rPr>
          <w:rFonts w:ascii="Times New Roman" w:cs="Times New Roman" w:eastAsia="Times New Roman" w:hAnsi="Times New Roman"/>
          <w:sz w:val="20"/>
          <w:szCs w:val="20"/>
          <w:color w:val="231F20"/>
        </w:rPr>
        <w:t>the product, 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spacing w:after="0" w:line="7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spacing w:after="0" w:line="8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Regardless of merit or eventual outcome, product liability or other claims may, among other things, result in:</w:t>
      </w:r>
    </w:p>
    <w:p>
      <w:pPr>
        <w:spacing w:after="0" w:line="134" w:lineRule="exact"/>
        <w:rPr>
          <w:sz w:val="20"/>
          <w:szCs w:val="20"/>
          <w:color w:val="auto"/>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decreased demand for any approved products;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injury to our reputation and significant negative media attention;</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withdrawal of clinical trial participants or cancellation of clinical trials;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to defend the related litigation;</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a diversion of management’s time and our resources;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substantial monetary awards to clinical trial participants or patients;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investigations, product recalls, withdrawals or labeling, marketing or promotional restrictions;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exhaustion of any available insurance and our capital resources;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loss of revenue;</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a potential decrease in our stock price; and</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inability to commercialize any products we develop.</w:t>
      </w:r>
    </w:p>
    <w:p>
      <w:pPr>
        <w:spacing w:after="0" w:line="11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Commercialization and Regulatory Compliance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Even if we obtain regulatory approvals for our product candidates, they will remain subject to ongoing regulatory oversight.</w:t>
      </w:r>
    </w:p>
    <w:p>
      <w:pPr>
        <w:spacing w:after="0" w:line="12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240"/>
          </w:cols>
          <w:pgMar w:left="820" w:top="750" w:right="820" w:bottom="0" w:gutter="0" w:footer="0" w:header="0"/>
          <w:type w:val="continuous"/>
        </w:sectPr>
      </w:pPr>
    </w:p>
    <w:bookmarkStart w:id="86" w:name="page87"/>
    <w:bookmarkEnd w:id="86"/>
    <w:p>
      <w:pPr>
        <w:jc w:val="both"/>
        <w:spacing w:after="0" w:line="277" w:lineRule="auto"/>
        <w:rPr>
          <w:sz w:val="20"/>
          <w:szCs w:val="20"/>
          <w:color w:val="auto"/>
        </w:rPr>
      </w:pPr>
      <w:r>
        <w:rPr>
          <w:rFonts w:ascii="Times New Roman" w:cs="Times New Roman" w:eastAsia="Times New Roman" w:hAnsi="Times New Roman"/>
          <w:sz w:val="20"/>
          <w:szCs w:val="20"/>
          <w:color w:val="231F20"/>
        </w:rPr>
        <w:t>trials, and for surveillance to monitor the quality, safety and efficacy of the product candidate. Such regulatory requirements may differ from country to country depending on where we have received regulatory approval.</w:t>
      </w:r>
    </w:p>
    <w:p>
      <w:pPr>
        <w:spacing w:after="0" w:line="49"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spacing w:after="0" w:line="8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 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spacing w:after="0" w:line="8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7"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spacing w:after="0" w:line="68"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FDA’s and other regulatory authorities’ policies may change and additional government regulations may be enacted that could prevent, limit or delay regulatory approval of our product candidates.</w:t>
      </w:r>
    </w:p>
    <w:p>
      <w:pPr>
        <w:spacing w:after="0" w:line="49"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We cannot predict the likelihood, nature or extent of government regulation that may arise from future legislation or administrative or executive action, either in the United States or abroad.</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Even if any product candidate receives marketing approval, it may fail to achieve market acceptance by physicians, patients, third-party payors or others in the medical community necessary for commercial success.</w:t>
      </w:r>
    </w:p>
    <w:p>
      <w:pPr>
        <w:spacing w:after="0" w:line="49"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spacing w:after="0" w:line="88" w:lineRule="exact"/>
        <w:rPr>
          <w:sz w:val="20"/>
          <w:szCs w:val="20"/>
          <w:color w:val="auto"/>
        </w:rPr>
      </w:pPr>
    </w:p>
    <w:p>
      <w:pPr>
        <w:ind w:left="980" w:hanging="482"/>
        <w:spacing w:after="0" w:line="276"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efficacy, safety profile, convenience, ease of administration and other potential advantages compared to alternative treatments and therapies;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willingness of the target patient population to try new therapies and of physicians to prescribe these therapies;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strength of our relationships with patient communities;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third-party coverage and adequate reimbursement;</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prevalence and severity of any side effects; and</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any restrictions on the use of the product candidate together with other medications.</w:t>
      </w:r>
    </w:p>
    <w:p>
      <w:pPr>
        <w:spacing w:after="0" w:line="119"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spacing w:after="0" w:line="77"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w:t>
      </w:r>
    </w:p>
    <w:p>
      <w:pPr>
        <w:sectPr>
          <w:pgSz w:w="11880" w:h="15480" w:orient="portrait"/>
          <w:cols w:equalWidth="0" w:num="1">
            <w:col w:w="10240"/>
          </w:cols>
          <w:pgMar w:left="820" w:top="750" w:right="820" w:bottom="0"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240"/>
          </w:cols>
          <w:pgMar w:left="820" w:top="750" w:right="820" w:bottom="0" w:gutter="0" w:footer="0" w:header="0"/>
          <w:type w:val="continuous"/>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20"/>
          <w:szCs w:val="20"/>
          <w:color w:val="231F20"/>
        </w:rPr>
        <w:t>or the scientific 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establish sales and marketing capabilities or enter into agreements with third parties to market and sell our product candidates, we may not be successful in commercializing them, if and when they are approved.</w:t>
      </w:r>
    </w:p>
    <w:p>
      <w:pPr>
        <w:spacing w:after="0" w:line="4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 resources to commercialize our product candidates, or we are unable to develop the necessary capabilities on our own, we may be unable 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200" w:lineRule="exact"/>
        <w:rPr>
          <w:sz w:val="20"/>
          <w:szCs w:val="20"/>
          <w:color w:val="auto"/>
        </w:rPr>
      </w:pPr>
    </w:p>
    <w:p>
      <w:pPr>
        <w:spacing w:after="0" w:line="23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Even if we obtain and maintain approval for our product candidates from the FDA, we may never obtain approval outside the United States, which would limit our market opportunities.</w:t>
      </w:r>
    </w:p>
    <w:p>
      <w:pPr>
        <w:spacing w:after="0" w:line="49"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("EMA") if we choose to submit a marketing authorization application there, would be a lengthy and expensive process. Even 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commercialize our product candidates outside the United States, a variety of risks associated with international operations could harm our business.</w:t>
      </w:r>
    </w:p>
    <w:p>
      <w:pPr>
        <w:spacing w:after="0" w:line="4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spacing w:after="0" w:line="83" w:lineRule="exact"/>
        <w:rPr>
          <w:sz w:val="20"/>
          <w:szCs w:val="20"/>
          <w:color w:val="auto"/>
        </w:rPr>
      </w:pPr>
    </w:p>
    <w:p>
      <w:pPr>
        <w:ind w:left="980" w:hanging="482"/>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different regulatory requirements for approval of therapies in foreign countries;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reduced protection for intellectual property rights;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unexpected changes in tariffs, trade barriers and regulatory requirements;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economic weakness, including inflation, or political instability in particular economies and markets;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tax, employment, immigration and labor laws for employees living or traveling abroad;</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foreign currency fluctuations, which could result in increased operating expenses and reduced revenues, and other obligations incident to doing business in another country;</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foreign reimbursement, pricing and insurance regimes;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workforce uncertainty due to labor unrest;</w:t>
      </w:r>
    </w:p>
    <w:p>
      <w:pPr>
        <w:sectPr>
          <w:pgSz w:w="11880" w:h="15480" w:orient="portrait"/>
          <w:cols w:equalWidth="0" w:num="1">
            <w:col w:w="10240"/>
          </w:cols>
          <w:pgMar w:left="820" w:top="750" w:right="820" w:bottom="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240"/>
          </w:cols>
          <w:pgMar w:left="820" w:top="750" w:right="820" w:bottom="0" w:gutter="0" w:footer="0" w:header="0"/>
          <w:type w:val="continuous"/>
        </w:sectPr>
      </w:pPr>
    </w:p>
    <w:bookmarkStart w:id="88" w:name="page89"/>
    <w:bookmarkEnd w:id="88"/>
    <w:p>
      <w:pPr>
        <w:ind w:left="980" w:hanging="482"/>
        <w:spacing w:after="0" w:line="276"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production shortages resulting from any events affecting raw material supply or manufacturing capabilities abroad; and</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business interruptions resulting from geopolitical actions, including wars and terrorism, natural disasters including earthquakes, typhoons, floods and fires, and public health emergencies.</w:t>
      </w:r>
    </w:p>
    <w:p>
      <w:pPr>
        <w:spacing w:after="0" w:line="5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spacing w:after="0" w:line="74"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health information privacy laws, transparency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this Annual Report on Form 10-K.</w:t>
      </w:r>
    </w:p>
    <w:p>
      <w:pPr>
        <w:spacing w:after="0" w:line="82"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spacing w:after="0" w:line="86"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Coverage and adequate reimbursement may not be available for our product candidates, which could make it difficult for us to sell profitably, if approved.</w:t>
      </w:r>
    </w:p>
    <w:p>
      <w:pPr>
        <w:spacing w:after="0" w:line="49"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products, or formulary, generally determines the co-payment that a</w:t>
      </w:r>
    </w:p>
    <w:p>
      <w:pPr>
        <w:sectPr>
          <w:pgSz w:w="11880" w:h="15480" w:orient="portrait"/>
          <w:cols w:equalWidth="0" w:num="1">
            <w:col w:w="10240"/>
          </w:cols>
          <w:pgMar w:left="820" w:top="764" w:right="820" w:bottom="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240"/>
          </w:cols>
          <w:pgMar w:left="820" w:top="764" w:right="820" w:bottom="0" w:gutter="0" w:footer="0" w:header="0"/>
          <w:type w:val="continuous"/>
        </w:sectPr>
      </w:pPr>
    </w:p>
    <w:bookmarkStart w:id="89" w:name="page90"/>
    <w:bookmarkEnd w:id="89"/>
    <w:p>
      <w:pPr>
        <w:jc w:val="both"/>
        <w:spacing w:after="0" w:line="252" w:lineRule="auto"/>
        <w:rPr>
          <w:sz w:val="20"/>
          <w:szCs w:val="20"/>
          <w:color w:val="auto"/>
        </w:rPr>
      </w:pPr>
      <w:r>
        <w:rPr>
          <w:rFonts w:ascii="Times New Roman" w:cs="Times New Roman" w:eastAsia="Times New Roman" w:hAnsi="Times New Roman"/>
          <w:sz w:val="20"/>
          <w:szCs w:val="20"/>
          <w:color w:val="231F20"/>
        </w:rPr>
        <w:t>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74"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Further, the U.S. Department of Health and Human Services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80"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may instead be bundled as part of a capitated payment received by the provider for the procedure only. We cannot be sure that the clinical results of our trials will be sufficient or meaningful to educate hospitals and/or clinicians on the benefits of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 Even if favorable coverage and reimbursement status is attained for one or more products for which we receive regulatory approval, less favorable coverage policies and reimbursement rates may be implemented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Healthcare legislative reform measures may have a negative impact on our business and results of operations.</w:t>
      </w:r>
    </w:p>
    <w:p>
      <w:pPr>
        <w:spacing w:after="0" w:line="12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77"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For example, in March 2010, the Patient Protection and Affordable Care Act of 2010, as amended by the Health Care and Education Reconciliation Act of 2010 (collectively, the "ACA"), was passed, which substantially changed the way healthcare is financed by both governmental and private payors in the United States. Since its enactment, however, there have been executive, judicial and Congressional challenges and amendments to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82"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w:t>
      </w:r>
    </w:p>
    <w:p>
      <w:pPr>
        <w:spacing w:after="0" w:line="68"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 -to-patient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w:t>
      </w:r>
    </w:p>
    <w:p>
      <w:pPr>
        <w:sectPr>
          <w:pgSz w:w="11880" w:h="15480" w:orient="portrait"/>
          <w:cols w:equalWidth="0" w:num="1">
            <w:col w:w="10240"/>
          </w:cols>
          <w:pgMar w:left="820" w:top="750" w:right="820" w:bottom="0"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240"/>
          </w:cols>
          <w:pgMar w:left="820" w:top="750" w:right="820" w:bottom="0" w:gutter="0" w:footer="0" w:header="0"/>
          <w:type w:val="continuous"/>
        </w:sectPr>
      </w:pPr>
    </w:p>
    <w:bookmarkStart w:id="90" w:name="page91"/>
    <w:bookmarkEnd w:id="90"/>
    <w:p>
      <w:pPr>
        <w:jc w:val="both"/>
        <w:spacing w:after="0" w:line="242" w:lineRule="auto"/>
        <w:rPr>
          <w:sz w:val="20"/>
          <w:szCs w:val="20"/>
          <w:color w:val="auto"/>
        </w:rPr>
      </w:pPr>
      <w:r>
        <w:rPr>
          <w:rFonts w:ascii="Times New Roman" w:cs="Times New Roman" w:eastAsia="Times New Roman" w:hAnsi="Times New Roman"/>
          <w:sz w:val="20"/>
          <w:szCs w:val="20"/>
          <w:color w:val="231F20"/>
        </w:rPr>
        <w:t>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"Business─Government Regulation" in our Annual Report on Form 10-K.</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49"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w:t>
      </w:r>
    </w:p>
    <w:p>
      <w:pPr>
        <w:spacing w:after="0" w:line="77"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74"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participants in connection with clinical trials, and sensitive third-party data (collectively, sensitive information). Our data processing activities subject us to numerous data privacy and security obligations, such as various state, federal and foreign laws, regulations, guidance, industry standards, external and internal privacy and security policies, contracts and other obligations relating to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or the third parties with whom we work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240"/>
          </w:cols>
          <w:pgMar w:left="820" w:top="750" w:right="820" w:bottom="0" w:gutter="0" w:footer="0" w:header="0"/>
          <w:type w:val="continuous"/>
        </w:sectPr>
      </w:pPr>
    </w:p>
    <w:bookmarkStart w:id="91" w:name="page92"/>
    <w:bookmarkEnd w:id="91"/>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As our operations and business grow, we become subject to or affected by new or additional data protection laws and regulations and face increased scrutiny or attention from regulatory authorities. In the United States, federal, state, and local laws and regulations, including data breach notification laws, personal data privacy laws, state health information privacy laws, and federal and state consumer protection laws and regulations (i.e., Section 5 of the FTC Act), and other similar laws govern the collection, use, disclosure, and protection of health-related and other personal data. In addition, we obtain health information from third parties (including research institutions from which we obtain clinical trial data) that are subject to data privacy and security requirements under the Federal Health Insurance Portability and Accountability Act of 1996, as amended by the Health Information Technology for Economic and Clinical Health Act of 2009, and regulations promulgated thereunder (collectively, "HIPAA"). Depending on the facts and circumstances, we could be subject to significant penalties if we violate HIPAA.</w:t>
      </w:r>
    </w:p>
    <w:p>
      <w:pPr>
        <w:spacing w:after="0" w:line="82"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Certain states have also adopted comparable data privacy and security laws and regulations, some of which may be more stringent than HIPAA.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the "CCPA") applies to personal data of consumers, business representatives, and employees who are California residents, and requires business to provide specific disclosures in privacy notices and honor requests of California residents to exercise certain privacy rights related to their personal data. The CCPA allows for statutory fines for noncompliance and a private right of action for certain data breaches to recover significant statutory damages. Although the CCPA and other comprehensive U.S. state privacy laws exempt some data processed in the context of clinical trials, these developments may further complicate compliance efforts and increase compliance costs and potential liability for us and the third parties with whom we work. Similar laws have been enacted or are being considered in several other states, as well as at the federal and local levels, and we expect more states to pass similar laws in the future, which could further complicate compliance efforts.</w:t>
      </w:r>
    </w:p>
    <w:p>
      <w:pPr>
        <w:spacing w:after="0" w:line="88"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In addition, all 50 U.S. states and the District of Columbia have enacted breach notification laws that may require us to notify affected individuals or regulators in the event of unauthorized access to or disclosure of personal data experienced by us or our service providers. These laws are not consistent, and compliance in the event of a widespread data breach is difficult and can be costly. In addition to government regulation, privacy advocates and industry groups have and may in the future propose self- regulatory standards from time to time. We are, and may in the future become, subject to certain industry standards, or we may elect to comply with such standards.</w:t>
      </w:r>
    </w:p>
    <w:p>
      <w:pPr>
        <w:spacing w:after="0" w:line="8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Outside the United States, an increasing number of laws, regulations, and industry standards apply to data privacy and security. For example, the EU GDPR and the UK GDPR impose strict requirements for processing personal data. For example, under the EU GDPR, government regulators may impose temporary or definitive bans on data processing, as well as fines of up to 20 million euros under the EU GDPR, 17.5 million pounds sterling under the UK GDPR or, in each case, 4% of annual global revenue, whichever is greater. Further, classes of data subjects or consumer protection organizations authorized at law to represent their interests may initiate litigation related to processing of personal data. In Canada, the PIPEDA and various related provincial laws, may apply to our operations.</w:t>
      </w:r>
    </w:p>
    <w:p>
      <w:pPr>
        <w:spacing w:after="0" w:line="80"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or other countries. Some European regulators have ordered certain companies to suspend or permanently cease certain transfers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w:t>
      </w:r>
    </w:p>
    <w:p>
      <w:pPr>
        <w:sectPr>
          <w:pgSz w:w="11880" w:h="15480" w:orient="portrait"/>
          <w:cols w:equalWidth="0" w:num="1">
            <w:col w:w="10240"/>
          </w:cols>
          <w:pgMar w:left="820" w:top="750" w:right="820" w:bottom="0"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240"/>
          </w:cols>
          <w:pgMar w:left="820" w:top="750" w:right="820" w:bottom="0" w:gutter="0" w:footer="0" w:header="0"/>
          <w:type w:val="continuous"/>
        </w:sectPr>
      </w:pPr>
    </w:p>
    <w:bookmarkStart w:id="92" w:name="page93"/>
    <w:bookmarkEnd w:id="92"/>
    <w:p>
      <w:pPr>
        <w:jc w:val="both"/>
        <w:spacing w:after="0" w:line="249" w:lineRule="auto"/>
        <w:rPr>
          <w:sz w:val="20"/>
          <w:szCs w:val="20"/>
          <w:color w:val="auto"/>
        </w:rPr>
      </w:pPr>
      <w:r>
        <w:rPr>
          <w:rFonts w:ascii="Times New Roman" w:cs="Times New Roman" w:eastAsia="Times New Roman" w:hAnsi="Times New Roman"/>
          <w:sz w:val="20"/>
          <w:szCs w:val="20"/>
          <w:color w:val="231F20"/>
        </w:rPr>
        <w:t>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spacing w:after="0" w:line="77"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In addition, certain countries outside Europe have also passed or are considering laws requiring local data residency or otherwise impeding the transfer of personal data across borders, which increases the cost and complexity of doing business.</w:t>
      </w:r>
    </w:p>
    <w:p>
      <w:pPr>
        <w:spacing w:after="0" w:line="49"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If we cannot implement a valid compliance mechanism for cross-border data transfers, or if the requirements for a legally compliant transfer are too onerous, we may face increased exposure to regulatory actions, substantial fines and penalties,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companies that transfer personal data out of the EEA and UK to other jurisdictions, particularly to the United States, are subject to increased scrutiny from regulators, individual litigants, and activist groups.</w:t>
      </w:r>
    </w:p>
    <w:p>
      <w:pPr>
        <w:spacing w:after="0" w:line="86"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In addition to data privacy and security laws, we are bound by other contractual obligations related to data privacy and security, and our efforts to comply with such obligations may not be successful. We also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80" w:lineRule="exact"/>
        <w:rPr>
          <w:sz w:val="20"/>
          <w:szCs w:val="20"/>
          <w:color w:val="auto"/>
        </w:rPr>
      </w:pPr>
    </w:p>
    <w:p>
      <w:pPr>
        <w:jc w:val="both"/>
        <w:ind w:firstLine="403"/>
        <w:spacing w:after="0" w:line="241" w:lineRule="auto"/>
        <w:rPr>
          <w:sz w:val="20"/>
          <w:szCs w:val="20"/>
          <w:color w:val="auto"/>
        </w:rPr>
      </w:pPr>
      <w:r>
        <w:rPr>
          <w:rFonts w:ascii="Times New Roman" w:cs="Times New Roman" w:eastAsia="Times New Roman" w:hAnsi="Times New Roman"/>
          <w:sz w:val="20"/>
          <w:szCs w:val="20"/>
          <w:color w:val="231F20"/>
        </w:rPr>
        <w:t>Although we work to comply with applicable data privacy and security laws, regulations and standards, our contractual obligations and other legal obligations, these requirements (and individuals’ data privacy expectations) are evolving, becoming increasingly stringent,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Any failure or perceived failure by us or our employees, representatives, contractors, consultants, CROs, collaborators, or other third parties with who we work to comply with such requirements or adequately address data privacy and security concerns, even if unfounded, could result in additional cost and liability to us, damage our reputation, or adversely affect our business, financial condition, and results of operations.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government enforcement actions (i.e.,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w:t>
      </w:r>
    </w:p>
    <w:p>
      <w:pPr>
        <w:spacing w:after="0" w:line="99"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Our employees and personnel use generative artificial intelligence (“AI”) technologies to perform their work, and the disclosure and use of personal data in AI technologies is subject to various privacy laws and other privacy obligations. Governments have passed and are likely to pass additional laws and regulations regulating AI. Our use of this technology could result in additional compliance costs, regulatory investigations and actions, and lawsuits. If we are unable to use AI technologies, it could make our business less efficient and result in competitive disadvantages.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Ownership of Our Common Stock</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An active trading market for our common stock may not be sustained, and you may not be able to sell your shares quickly or at the market price.</w:t>
      </w:r>
    </w:p>
    <w:p>
      <w:pPr>
        <w:spacing w:after="0" w:line="49"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Although our common stock is traded on the Nasdaq Stock Market LLC, ("Nasdaq") the liquidity in our common stock on that stock market remains thin. If an active trading market for our common stock is not sustained, you may not be able to sell</w:t>
      </w:r>
    </w:p>
    <w:p>
      <w:pPr>
        <w:sectPr>
          <w:pgSz w:w="11880" w:h="15480" w:orient="portrait"/>
          <w:cols w:equalWidth="0" w:num="1">
            <w:col w:w="10240"/>
          </w:cols>
          <w:pgMar w:left="820" w:top="750" w:right="820" w:bottom="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10240"/>
          </w:cols>
          <w:pgMar w:left="820" w:top="750" w:right="820" w:bottom="0" w:gutter="0" w:footer="0" w:header="0"/>
          <w:type w:val="continuous"/>
        </w:sectPr>
      </w:pPr>
    </w:p>
    <w:bookmarkStart w:id="93" w:name="page94"/>
    <w:bookmarkEnd w:id="93"/>
    <w:p>
      <w:pPr>
        <w:jc w:val="both"/>
        <w:spacing w:after="0" w:line="258" w:lineRule="auto"/>
        <w:rPr>
          <w:sz w:val="20"/>
          <w:szCs w:val="20"/>
          <w:color w:val="auto"/>
        </w:rPr>
      </w:pPr>
      <w:r>
        <w:rPr>
          <w:rFonts w:ascii="Times New Roman" w:cs="Times New Roman" w:eastAsia="Times New Roman" w:hAnsi="Times New Roman"/>
          <w:sz w:val="20"/>
          <w:szCs w:val="20"/>
          <w:color w:val="231F20"/>
        </w:rPr>
        <w:t>your shares quickly or at all at the market price. An inactive market may also impair our ability to raise capital to continue to fund operations by selling shares of our common stock and may impair our ability to acquire other companies or technologies by using our common stock as consideration.</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market price of our common stock is volatile and may fluctuate substantially, and you could lose all or part of your investment.</w:t>
      </w:r>
    </w:p>
    <w:p>
      <w:pPr>
        <w:spacing w:after="0" w:line="49"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 market price of our common stock is volatile. The stock market in general, and the market for biopharmaceutical and pharmaceutical companies in particular, has experienced extreme volatility that has often been unrelated to the operating performance of particular companies. In addition to the factors discussed in this "Risk Factors" section, the market price for our common stock may be influenced by, among other factors:</w:t>
      </w:r>
    </w:p>
    <w:p>
      <w:pPr>
        <w:spacing w:after="0" w:line="88" w:lineRule="exact"/>
        <w:rPr>
          <w:sz w:val="20"/>
          <w:szCs w:val="20"/>
          <w:color w:val="auto"/>
        </w:rPr>
      </w:pPr>
    </w:p>
    <w:p>
      <w:pPr>
        <w:ind w:left="980" w:hanging="482"/>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commencement, enrollment or results of our planned or future clinical trials of our product candidates or those of our competitors;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 and failures of competitive products or therapies or announcements, including patient deaths and clinical holds, by potential competitors of their product development efforts;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or legal developments in the United States and other countries;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structure of healthcare payment systems;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coordinated buying or selling activity in our common stock, including market manipulation;</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unusual trading in our common stock or securities derivative thereof, including pursuant to naked, or uncovered, short positions or "short squeezes;"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commentary by investors on the prospects for our business or our common stock on the internet, including blogs, articles and message board, and/or social media and resulting in trading of our common stock;</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or disputes concerning patent applications, issued patents or other proprietary rights;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changes in estimates as to financial results, development timelines or recommendations by securities analysts;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disputes or other developments relating to proprietary rights, including patents, litigation matters and our ability to obtain patent protection for our technologies;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significant lawsuits, including patent or stockholder litigation;</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stock price and volume fluctuations attributable to inconsistent trading volume levels and a wide bid-ask in our common stock;</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 or expectation of additional financing efforts or sales by our stockholders;</w:t>
      </w:r>
    </w:p>
    <w:p>
      <w:pPr>
        <w:spacing w:after="0" w:line="133" w:lineRule="exact"/>
        <w:rPr>
          <w:rFonts w:ascii="Arial" w:cs="Arial" w:eastAsia="Arial" w:hAnsi="Arial"/>
          <w:sz w:val="20"/>
          <w:szCs w:val="20"/>
          <w:color w:val="231F20"/>
        </w:rPr>
      </w:pPr>
    </w:p>
    <w:p>
      <w:pPr>
        <w:jc w:val="both"/>
        <w:ind w:left="980" w:hanging="482"/>
        <w:spacing w:after="0" w:line="252"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economic, political, and market conditions and overall fluctuations in the financial markets in the United States and abroad, including as a result of increases in inflation and interest rates, tariffs and trade wars, public health crises and other geopolitical tensions, such as wars and terrorism, and future U.S. government shutdowns; and</w:t>
      </w:r>
    </w:p>
    <w:p>
      <w:pPr>
        <w:spacing w:after="0" w:line="87" w:lineRule="exact"/>
        <w:rPr>
          <w:rFonts w:ascii="Arial" w:cs="Arial" w:eastAsia="Arial" w:hAnsi="Arial"/>
          <w:sz w:val="20"/>
          <w:szCs w:val="20"/>
          <w:color w:val="231F20"/>
        </w:rPr>
      </w:pPr>
    </w:p>
    <w:p>
      <w:pPr>
        <w:ind w:left="980" w:hanging="482"/>
        <w:spacing w:after="0"/>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investors’ general perception of us and our business.</w:t>
      </w:r>
    </w:p>
    <w:p>
      <w:pPr>
        <w:spacing w:after="0" w:line="11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68"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10240"/>
          </w:cols>
          <w:pgMar w:left="820" w:top="750" w:right="820" w:bottom="0" w:gutter="0" w:footer="0" w:header="0"/>
          <w:type w:val="continuous"/>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8"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4" w:lineRule="exact"/>
        <w:rPr>
          <w:sz w:val="20"/>
          <w:szCs w:val="20"/>
          <w:color w:val="auto"/>
        </w:rPr>
      </w:pPr>
    </w:p>
    <w:p>
      <w:pPr>
        <w:ind w:left="980" w:hanging="482"/>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 classified board of directors such that not all members of the board are elected at one time;</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allow the authorized number of our directors to be changed only by resolution of our board of directors;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that our directors may be removed for cause only upon the vote of at least 66 2/3% of our outstanding shares of voting stock;</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advance notice requirements for stockholder proposals that can be acted on at stockholder meetings and nominations to our board of directors;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that stockholder actions must be effected at a duly called stockholder meeting and prohibit actions by our stockholders by written consent;</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limit who may call stockholder meetings;</w:t>
      </w:r>
    </w:p>
    <w:p>
      <w:pPr>
        <w:spacing w:after="0" w:line="133"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authorize our board of directors to issue, without further action by the stockholders, shares of undesignated preferred stock with terms, rights and preferences determined by our board of directors that may be senior to our common stock; and</w:t>
      </w:r>
    </w:p>
    <w:p>
      <w:pPr>
        <w:spacing w:after="0" w:line="81"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the approval of the holders of at least 66 2⁄3% of the votes that all our stockholders would be entitled to cast to amend or repeal certain provisions of our charter or bylaws.</w:t>
      </w:r>
    </w:p>
    <w:p>
      <w:pPr>
        <w:spacing w:after="0" w:line="5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Our amended and restated certificate of incorporation provides that, with respect to any state actions or proceedings under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Delaware statutory or common law, the Court of Chancery of the State of Delaware is the exclusive forum for:</w:t>
      </w:r>
    </w:p>
    <w:p>
      <w:pPr>
        <w:spacing w:after="0" w:line="106" w:lineRule="exact"/>
        <w:rPr>
          <w:sz w:val="20"/>
          <w:szCs w:val="20"/>
          <w:color w:val="auto"/>
        </w:rPr>
      </w:pPr>
    </w:p>
    <w:p>
      <w:pPr>
        <w:ind w:left="980" w:hanging="482"/>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any derivative action or proceeding brought on our behalf;</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or proceeding asserting a breach of fiduciary duty;</w:t>
      </w:r>
    </w:p>
    <w:p>
      <w:pPr>
        <w:spacing w:after="0" w:line="133"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or proceeding asserting a claim against us or any of our directors, officers, employees or agents arising under the DGCL, our amended and restated certificate of incorporation or our second amended and restated bylaws;</w:t>
      </w:r>
    </w:p>
    <w:p>
      <w:pPr>
        <w:spacing w:after="0" w:line="81"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or proceeding to interpret, apply, enforce or determine the validity of our amended and restated certificate of incorporation or our second amended and restated bylaws; and</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or proceeding asserting a claim against us or any of our directors, officers, employees or agents that is governed by the internal-affairs doctrine.</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10240"/>
          </w:cols>
          <w:pgMar w:left="820" w:top="750" w:right="820" w:bottom="0" w:gutter="0" w:footer="0" w:header="0"/>
          <w:type w:val="continuous"/>
        </w:sectPr>
      </w:pPr>
    </w:p>
    <w:bookmarkStart w:id="95" w:name="page96"/>
    <w:bookmarkEnd w:id="95"/>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Risk Factors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Unstable market and economic conditions, including as a result of increases in inflation, the price of oil, and interest rates, tariffs and trade wars, geopolitical tensions such as wars and terrorism and future U.S. government shutdowns, may have serious adverse consequences on our business, financial condition and share price.</w:t>
      </w:r>
    </w:p>
    <w:p>
      <w:pPr>
        <w:spacing w:after="0" w:line="66"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231F20"/>
        </w:rPr>
        <w:t>The global economy, including credit and financial markets, has experienced extreme volatility and disruptions. For example, the macroeconomic uncertainty and volatile business environment have resulted in ongoing inflation, elevated interest rates, volatility in the capital markets, significantly reduced liquidity and credit availability, decreases in consumer demand and confidence, declines in economic growth, increases in unemployment rates and uncertainty about economic stability. Similarly, geopolitical tensions, such as wars and terrorism may have global economic consequences, including potential disruptions of the global supply chain, manufacturing and energy markets. Further, over the last several years the U.S. government has shut down several times. If a prolonged government shutdown occurs in the future, including as a result of any failure by the U.S. federal government to increase the debt ceiling or otherwise, it could significantly impact the ability of the FDA and the SEC to timely review and process our submissions, as well as cause interest rates and borrowing costs to further increase, which may negatively impact our ability to access the debt markets, including the corporate bond markets, on favorable terms, which could have a material adverse effect on our business.</w:t>
      </w:r>
    </w:p>
    <w:p>
      <w:pPr>
        <w:spacing w:after="0" w:line="80"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Trade disputes, tariffs, and other geopolitical tensions between the U.S. and other countries may also exacerbate unfavorable macroeconomic conditions, including inflationary pressures, foreign exchange volatility, financial market instability, and economic recessions or downturns, which may also limit our access to capital, or otherwise negatively impact our business and operations. Additionally, 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Additional and higher tariffs and sanctions may be imposed on goods imported from other countries which could increase the cost of goods needed to continue development of our product candidates. Further, such actions by the U.S. could result in retaliatory action by those countries which could impact our ability to profitably commercialize our products in those jurisdictions. As a result, our business, operations and financial condition could be materially harmed.</w:t>
      </w:r>
    </w:p>
    <w:p>
      <w:pPr>
        <w:spacing w:after="0" w:line="88"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Annual Report on Form 10-K.</w:t>
      </w:r>
    </w:p>
    <w:p>
      <w:pPr>
        <w:spacing w:after="0" w:line="81"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Any such volatility and disruptions may have adverse consequences on us or the third parties on whom we rely. If the equity and credit markets deteriorate, including as a result of increases in inflation and interest rates,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sectPr>
          <w:pgSz w:w="11880" w:h="15480" w:orient="portrait"/>
          <w:cols w:equalWidth="0" w:num="1">
            <w:col w:w="10240"/>
          </w:cols>
          <w:pgMar w:left="820" w:top="746" w:right="82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10240"/>
          </w:cols>
          <w:pgMar w:left="820" w:top="746" w:right="820" w:bottom="0" w:gutter="0" w:footer="0" w:header="0"/>
          <w:type w:val="continuous"/>
        </w:sectPr>
      </w:pPr>
    </w:p>
    <w:bookmarkStart w:id="96" w:name="page97"/>
    <w:bookmarkEnd w:id="96"/>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research analysts do not publish research or reports, or publish unfavorable research or reports, about us, our business or our market, our stock price and trading volume could decline.</w:t>
      </w:r>
    </w:p>
    <w:p>
      <w:pPr>
        <w:spacing w:after="0" w:line="49"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 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will continue to incur increased costs as a result of operating as a public company, and our management will continue to be required to devote substantial time to new compliance initiatives.</w:t>
      </w:r>
    </w:p>
    <w:p>
      <w:pPr>
        <w:spacing w:after="0" w:line="49"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As a public company, and particularly after we are no longer an emerging growth company ("EGC") as defined under the Jobs Act, or smaller reporting company, we will continue to incur significant legal, accounting and other expenses that we did not incur as a private company. In addition, the Sarbanes-Oxley Act of 2002 ("Sarbanes-Oxley Act") and rules subsequently implemented by the SEC and The Nasdaq Stock Market LLC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8"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82"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w:t>
      </w:r>
    </w:p>
    <w:p>
      <w:pPr>
        <w:spacing w:after="0" w:line="93"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10240"/>
          </w:cols>
          <w:pgMar w:left="820" w:top="750" w:right="82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231F20"/>
        </w:rPr>
        <w:t>Our disclosure controls and procedures may not prevent or detect all errors or acts of fraud.</w:t>
      </w:r>
    </w:p>
    <w:p>
      <w:pPr>
        <w:spacing w:after="0" w:line="12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Management and Strategy</w:t>
      </w:r>
    </w:p>
    <w:p>
      <w:pPr>
        <w:spacing w:after="0" w:line="12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employees (“Information Systems and Data”).</w:t>
      </w:r>
    </w:p>
    <w:p>
      <w:pPr>
        <w:spacing w:after="0" w:line="77"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Our information security function is led by our Director of IT, with whom we have worked since formation, who helps identify, assess and manage the Company’s cybersecurity threats and risks. The information security function identifies and assesses risks from cybersecurity threats by monitoring and evaluating our threat environment and the Company’s risk profile using various methods including, for example automated tools, subscribing to reports and services that identify certain cybersecurity threats, conducting threat assessments for internal and external threats, engaging third parties for threat assessments, and conducting assessments to identify vulnerabilities. Our assessment and management of material risks from cybersecurity threats are integrated into our risk management processes. For example, our Director of IT and certain management, including our CFO, evaluate material risks from cybersecurity threats against our overall business objectives and our CFO periodically reports to the audit committee of the board of directors, which evaluates our overall enterprise risk.</w:t>
      </w:r>
    </w:p>
    <w:p>
      <w:pPr>
        <w:spacing w:after="0" w:line="86"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risk assessments, encryption of certain data, segregation of certain data, network security controls, physical security controls, asset management, employee training, penetration testing, and cybersecurity insurance. We use third-party service providers to assist us from time to time to identify, assess, and manage material risks from cybersecurity threats, including for example penetration testing firms, dark web monitoring services, and professional services firms, including legal counsel.</w:t>
      </w:r>
    </w:p>
    <w:p>
      <w:pPr>
        <w:spacing w:after="0" w:line="8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use third-party service providers to perform a variety of functions throughout our business, such as application providers, hosting companies, contract research organizations, and contract manufacturing organizations. We utilize certain vendor management processes to help manage cybersecurity risks associated with our use of certain these providers, including, for example, risk assessments and reviews of the provider’s written security program documentation. Our vendor management processes may vary depending on the nature of the services provided, the sensitivity of the Information Systems and Data at issue, and the identity of the provider.</w:t>
      </w:r>
    </w:p>
    <w:p>
      <w:pPr>
        <w:spacing w:after="0" w:line="8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For a description of the risks from cybersecurity threats that may materially affect the Company and how they may do so, see our risk factors under Part 1. Item 1A. Risk Factors in this Annual Report on Form 10-K, including the rick factor entitled "If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10240"/>
          </w:cols>
          <w:pgMar w:left="820" w:top="750" w:right="82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2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spacing w:after="0" w:line="6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Our cybersecurity risk assessment and management processes are implemented and maintained by certain Company management, including the CFO, the COO and the Director of IT having over 30 years of information security experience. The CFO and COO each have over 10 years of experience in roles with responsibility for overseeing information technology and security functions.</w:t>
      </w:r>
    </w:p>
    <w:p>
      <w:pPr>
        <w:spacing w:after="0" w:line="7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Our CFO is responsible for hiring appropriate personnel, helping to integrate cybersecurity risk considerations into the Company’s overall risk management strategy, communicating key priorities to relevant personnel, helping prepare for cybersecurity incidents, approving cybersecurity processes, and reviewing security assessments and other security-related reports.</w:t>
      </w:r>
    </w:p>
    <w:p>
      <w:pPr>
        <w:spacing w:after="0" w:line="7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Our cybersecurity incident response processes are designed to escalate certain cybersecurity incidents to members of management depending on the circumstances, including the CFO, COO and CEO, who help the Company mitigate and remediate cybersecurity incidents of which they are notified. In addition, the Company’s incident response processes include reporting to the audit committee for certain cybersecurity incidents.</w:t>
      </w:r>
    </w:p>
    <w:p>
      <w:pPr>
        <w:spacing w:after="0" w:line="7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audit committee receives periodic reports from our CFO concerning the Company’s significant cybersecurity threats and risk and the processes the Company has implemented to address them. The audit committee also has access to various reports, summaries or presentations related to cybersecurity threats, risk and mitigation.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4"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We lease approximately 3,900 square feet of office space for our principal executive offices in New York, New York, under an operating lease that expires on February 28, 2027, with no renewal option. We are also leasing approximately 10,000 square feet of space located in the Martin Biscuit Building in Birmingham, Alabama. The lease is a 68-month term, expiring on October 31, 2029 and has an option for a five-year extension. We developed approximately 5,250 square feet of this space as laboratory space, as well as approximately 3,700 square feet as office and conference space. Our Birmingham facilities are both located within Qualified Opportunity Zones as defined in Section 1400Z-2 of the Internal Revenue Code. We will seek to use commercially reasonable efforts to expand our facilities within Qualified Opportunity Zones, as long as it remains consistent with the best interests of the Company. We believe that our facilities are adequate to meet our current needs and that additional space can be obtained on commercially reasonable terms as needed.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10240"/>
          </w:cols>
          <w:pgMar w:left="820" w:top="746" w:right="82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Information</w:t>
      </w:r>
    </w:p>
    <w:p>
      <w:pPr>
        <w:spacing w:after="0" w:line="124"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Our common stock began trading on The Nasdaq Stock Market LLC under the symbol “INAB” on July 30, 2021. Prior to that time, there was no public market for our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w:t>
      </w:r>
    </w:p>
    <w:p>
      <w:pPr>
        <w:spacing w:after="0" w:line="12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As of March 9, 2025, there were approximately 122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12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Equity Securities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Issuer Purchases of Equity Securities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10240"/>
          </w:cols>
          <w:pgMar w:left="820" w:top="746" w:right="82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26"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i w:val="1"/>
          <w:iCs w:val="1"/>
          <w:color w:val="231F20"/>
        </w:rPr>
        <w:t>You should read the following discussion of our financial condition and results of operations in conjunction with the financial statements and the related notes included elsewhere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“Special Note Regarding Forward-Looking Statements” and “Risk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jc w:val="both"/>
        <w:ind w:firstLine="403"/>
        <w:spacing w:after="0" w:line="237" w:lineRule="auto"/>
        <w:rPr>
          <w:sz w:val="20"/>
          <w:szCs w:val="20"/>
          <w:color w:val="auto"/>
        </w:rPr>
      </w:pPr>
      <w:r>
        <w:rPr>
          <w:rFonts w:ascii="Times New Roman" w:cs="Times New Roman" w:eastAsia="Times New Roman" w:hAnsi="Times New Roman"/>
          <w:sz w:val="20"/>
          <w:szCs w:val="20"/>
          <w:color w:val="231F20"/>
        </w:rPr>
        <w:t>We are a leading clinical-stage biopharmaceutical company focused on the discovery, development and commercialization of gamma-delta T cell product candidates and T cell engagers ("TCEs") for cancer and autoimmune diseases. We are the most clinically advanced gamma-delta T cell-focused company and are utilizing our suite of DeltEx platform technologies as we aspire to eliminate cancer cells to achieve our mission of what we refer to as Cancer Zero</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xml:space="preserve"> — the safe elimination of all cancer cells in every patient battling the disease. We develop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("iPSC"), genetically modified cell therapy approaches, and TCEs that are designed to effectively identify and eradicate tumor or target cells. To date, we have conducted two primary investigator-sponsored Phase 1 clinical trials evaluating our gamma-delta T cell technologies in cancer patients, which have both completed primary enrollment. INB-100 is assessing our DeltEx Allogeneic (“Allo”) gamma-delta T cell therapy in adult patients with high-risk leukemias undergoing haploidentical stem cell transplantation (“HSCT”). INB-200 evaluated our DeltEx Drug Resistant Immunotherapy (“DRI”) in patients with newly diagnosed glioblastoma (“GBM”). Both trials have demonstrated encouraging clinical activity, including long-term durable remissions, with patients remaining alive and in remission or progression-free for more than four years.</w:t>
      </w:r>
    </w:p>
    <w:p>
      <w:pPr>
        <w:spacing w:after="0" w:line="95"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INB-100, our first DeltEx allogeneic product candidate, was developed to assess the safety and tolerability of donor-derived manufactured expanded and activated gamma-delta T cells that do not undergo additional genetic modification. The Phase 1 trial of INB-100 has completed primary enrollment and a recommended Phase 2 dose ("RP2D") has been determined. We are currently enrolling an expansion cohort at the RP2D, with a target of up to an additional 15 patients (for a minimum of 25 total patients in the INB-100 Phase 1 trial), to confirm the improvements in relapse free and OS observed to date. We expect to complete the treatment of all patients in the expansion cohort in early 2026 with long-term follow-up results anticipated at a medical meeting in late 2026.</w:t>
      </w:r>
    </w:p>
    <w:p>
      <w:pPr>
        <w:spacing w:after="0" w:line="8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Our DeltEx DRI product candidate, INB-200, is being developed for newly diagnosed GBM. Patient dosing in the investigator-sponsored Phase 1 trial of INB-200 (NCT04165941) has been completed and we continue to follow patients for PFS and OS. In May 2025, we delivered an oral plenary presentation at the American Society of Clinical Oncology ("ASCO") Annual Meeting presenting longer-term patient follow-up data.</w:t>
      </w:r>
    </w:p>
    <w:p>
      <w:pPr>
        <w:spacing w:after="0" w:line="7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INB-400 is our corporate-sponsored investigational new drug application (“IND”) for the Phase 2, multi-center clinical trial evaluating our DeltEx DRI technology in newly diagnosed GBM. Treatment of any enrolled patients has been completed and the IND remains open. In September 2024, following a pipeline prioritization review, we suspended further enrollment in the Phase 2 trial of INB-400 to conserve capital. The trial was designed to further evaluate genetically modified, DRI gamma-delta T cells in newly diagnosed GBM patients across multiple centers in the United States.</w:t>
      </w:r>
    </w:p>
    <w:p>
      <w:pPr>
        <w:spacing w:after="0" w:line="77"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At the 2025 Annual Meeting of the Society of Neuro-Oncology (“SNO”), we presented consolidated data from the INB-200 (Phase 1) and INB-400 (Phase 2) trials in both poster and oral presentations.</w:t>
      </w:r>
    </w:p>
    <w:p>
      <w:pPr>
        <w:spacing w:after="0" w:line="49"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This data was updated through December 31, 2025, and patients who received repeated doses of DeltEx DRI gamma-delta T cells reported an mPFS of 13.0 months and a mOS of 17.2+ months, with median overall survival continuing to grow. We continue to believe that our DeltEx DRI approach has the potential to address this significant unmet need and expect to provide further clinical updates, including additional mOS data from the total data set, at medical meetings in mid- and late- 2026.</w:t>
      </w:r>
    </w:p>
    <w:p>
      <w:pPr>
        <w:spacing w:after="0" w:line="74"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We believe our DeltEx DRI gamma-delta T cell therapeutic approach is demonstrating clinical activity and may have the potential applicability across multiple solid tumor types. In April 2023, we received Orphan Drug Designation from the FDA for both the autologous and allogeneic DeltEx DRI INB-400 product candidates, covering a broad range of malignant glioma indications, including relapsed and newly diagnosed GBM. We believe there may be potential regulatory designation pathways available for the autologous DeltEx DRI program in newly diagnosed GBM and intend to seek further guidance from the FDA regarding potential development and regulatory pathways in 2026. Following such regulatory guidance, we expect to evaluate potential funding sources and strategic opportunities to support continued development of this program toward potential commercialization.</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10240"/>
          </w:cols>
          <w:pgMar w:left="820" w:top="746" w:right="820" w:bottom="0" w:gutter="0" w:footer="0" w:header="0"/>
          <w:type w:val="continuous"/>
        </w:sectPr>
      </w:pPr>
    </w:p>
    <w:bookmarkStart w:id="101" w:name="page102"/>
    <w:bookmarkEnd w:id="101"/>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Most recently we introduced INB-600, our proprietary, internally developed TCE platform. We have demonstrated that INB-619, a CD19 targeted gamma-delta TCE can efficiently and completely eliminate targeted B cells in a dose-dependent manner. Data presented at The American College of Rheumatology Convergence 2025 meeting (“ACR Convergence 2025”) highlighted the potential of INB-619 in B cell-driven autoimmune diseases such as systemic lupus erythematosus (“SLE”) and demonstrated deep B cell depletion through selective activation and expansion of gamma-delta T cells.</w:t>
      </w:r>
    </w:p>
    <w:p>
      <w:pPr>
        <w:spacing w:after="0" w:line="77"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We also have a portfolio of preclinical programs within our DeltEx pipeline which currently remain paused in development due to financial market conditions and prioritization. These include INB-300, a targeted non-signaling gamma-delta T cell based chimeric antigen receptor (“nsCAR”) construct which is applicable to both solid and liquid tumors, and INB-500, which encompasses our ability to produce gamma-delta T cells from iPSCs. iPSCs represent a significant step toward next generation approaches of cellular manufacturing for true allogeneic and potentially "off-the-shelf" innate cellular therapies. We presented additional preclinical data for INB-300 demonstrating our proof-of-concept in vitro studies, against the leukemia antigen targets CD33 and CD123, at the American Association for Cancer Research ("AACR") Annual Meeting in 2024. These data demonstrated the ability of our nsCAR constructs to distinguish between tumor tissue and healthy tissue.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2025 Private Placement</w:t>
      </w:r>
    </w:p>
    <w:p>
      <w:pPr>
        <w:spacing w:after="0" w:line="12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In December 2025, we entered into a Securities Purchase Agreement (the “Purchase Agreement”) with the purchasers named therein (the “Investors”), pursuant to which we agreed to issue and sell shares of common stock (the “2025 Shares”) and, in lieu of common stock, pre-funded warrants (the “2025 Pre-Funded Warrants” and, together with the 2025 Shares, the “2025 Securities”) to purchase shares of common stock, in up to two closings in a private placement (the “2025 Private Placement”).</w:t>
      </w:r>
    </w:p>
    <w:p>
      <w:pPr>
        <w:spacing w:after="0" w:line="77"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The initial closing of the 2025 Private Placement occurred on December 22, 2025. At the initial closing, we issued and sold an aggregate of 5,127,029 shares of our common stock at a purchase price of $1.38 per share (the “2025 Share Price”) and, in lieu of shares of common stock, 9,452,677 pre-funded warrants to purchase one share of common stock (the “2025 Pre-Funded Warrants”) at a purchase price of $1.3799 per 2025 Pre-Funded Warrant (the “2025 Pre-Funded Warrant Price”), for net proceeds of $18.5 million, after deducting private placement fees and expenses.</w:t>
      </w:r>
    </w:p>
    <w:p>
      <w:pPr>
        <w:spacing w:after="0" w:line="77"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Pursuant to the Purchase Agreement, subject to the occurrence of the Second Closing Trigger (as defined below), we also agreed to issue and sell to the Investors in a second closing up to an additional 14,579,706 shares of common stock or pre-funded warrants in lieu of common stock, at the 2025 Share Price and the 2025 Pre-Funded Warrant Price, respectively, for additional aggregate gross proceeds of approximately $20.1 million, before deducting placement agent fees and other private placement expenses. The Second Closing Trigger shall occur upon (i) the achievement, during the period commencing on the date of the initial closing and ending on December 31, 2026, of our presentation of animal model data for our INB-619 product candidate (the “INB-619 Milestone”), and (ii) either (A) the achievement of a volume weighted average price per share of equal to or greater than 200% of the 2025 Share Price (subject to appropriate, proportional adjustment for any stock splits or combinations of the common stock occurring after the date of the Purchase Agreement) measured during any five consecutive trading days during the 90 trading days following the date of our first announcement via a press release or Current Report on Form 8-K of the occurrence of the INB-619 Milestone (such period the “Measurement Period” and such price threshold requirement, the “Price Threshold”) or (b) our receipt of a written notice signed by the Investors holding a majority of the 2025 Securities outstanding from time to time and delivered to the Company during the Measurement Period that waives the Price Threshold for purposes of the second closing.</w:t>
      </w:r>
    </w:p>
    <w:p>
      <w:pPr>
        <w:spacing w:after="0" w:line="93"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The 2025 Pre-Funded Warrants have an exercise price of $0.0001 per share. Each 2025 Pre-Funded Warrant is exercisable immediately and remains exercisable until exercised in full. In lieu of a cash payment to us in payment of the aggregate exercise price upon exercise of a 2025 Pre-Funded Warrant, the holder may elect instead to receive upon such exercise (either in whole or in part) the net number of shares of common stock determined according to a formula set forth in the 2025 Pre-Funded Warrants.</w:t>
      </w:r>
    </w:p>
    <w:p>
      <w:pPr>
        <w:spacing w:after="0" w:line="77"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On January 20, 2026, we filed a registration statement on Form S-3 to register for resale the 2025 Shares and the common stock underlying the 2025 Pre-Funded Warrants, which became effective on January 28,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Reverse Stock Split</w:t>
      </w:r>
    </w:p>
    <w:p>
      <w:pPr>
        <w:spacing w:after="0" w:line="12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On June 5, 2025, we effected a reverse stock split at a ratio of one-for-thirty (the "Reverse Stock Split"). Pursuant to their terms, a proportionate adjustment was made to the per share exercise price and the number of shares issuable upon the exercise or vesting of all outstanding stock options and warrants, and the number of shares of our common stock authorized for issuance pursuant to our equity incentive plans was reduced proportionally. The Reverse Stock Split did not reduce the number of authorized shares of common stock and did not alter the par value. No fractional shares were issued as a result of the Reverse</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10240"/>
          </w:cols>
          <w:pgMar w:left="820" w:top="750" w:right="820" w:bottom="0" w:gutter="0" w:footer="0" w:header="0"/>
          <w:type w:val="continuous"/>
        </w:sectPr>
      </w:pPr>
    </w:p>
    <w:bookmarkStart w:id="102" w:name="page103"/>
    <w:bookmarkEnd w:id="102"/>
    <w:p>
      <w:pPr>
        <w:jc w:val="both"/>
        <w:spacing w:after="0" w:line="277" w:lineRule="auto"/>
        <w:rPr>
          <w:sz w:val="20"/>
          <w:szCs w:val="20"/>
          <w:color w:val="auto"/>
        </w:rPr>
      </w:pPr>
      <w:r>
        <w:rPr>
          <w:rFonts w:ascii="Times New Roman" w:cs="Times New Roman" w:eastAsia="Times New Roman" w:hAnsi="Times New Roman"/>
          <w:sz w:val="20"/>
          <w:szCs w:val="20"/>
          <w:color w:val="231F20"/>
        </w:rPr>
        <w:t>Stock Split. Stockholders of record who would have otherwise been entitled to receive a fractional share received a cash payment in lieu thereof.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Pipeline Prioritization and Workforce Reduction</w:t>
      </w:r>
    </w:p>
    <w:p>
      <w:pPr>
        <w:spacing w:after="0" w:line="12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September 2024, we implemented a pipeline prioritization by suspending further development on INB-400 and focusing on development of INB-100 and reduced our workforce by approximately 49%, across all functions. In combination with this reduction, the executive management team and the Board also agreed to a 11% reduction in their cash compensation, effective as of September 1, 2024. In connection with the pipeline reprioritization, we suspended patient enrollment in the INB-400 Phase 2 clinical trial for newly diagnosed GBM while we seek additional funding sources, potential accelerated approval pathways and/or strategic opportunities to potentially partner this program. We continue to track the patients as we have not yet reached median OS and expect to provide additional updates in mid- and late- 2026.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Going Concern</w:t>
      </w:r>
    </w:p>
    <w:p>
      <w:pPr>
        <w:spacing w:after="0" w:line="124"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Since inception in 2016, our operations have focused on identifying and developing potential product candidates, conducting clinical trials, organizing and staffing, business planning, establishing our intellectual property portfolio, raising capital, and providing general and administrative support for these operations. We do not have any product candidates approved for sale and have not generated any revenue. We have funded our operations primarily through the sale of equity and equity-linked securities, including through our initial public offering ("IPO"), follow-on offering, our at-the-market ("ATM"), program with Cantor Fitzgerald &amp; Co. ("Cantor Fitzgerald"), and the private placements.</w:t>
      </w:r>
    </w:p>
    <w:p>
      <w:pPr>
        <w:spacing w:after="0" w:line="8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Based on our business strategy, our existing cash of $27.1 million as of December 31, 2025, is not anticipated to fund our projected operating expenses and capital expenditure requirements after April 2027. Accordingly, there continues to be a substantial doubt about our ability to continue to operate as a going concern.</w:t>
      </w:r>
    </w:p>
    <w:p>
      <w:pPr>
        <w:spacing w:after="0" w:line="8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We continue to maintain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raising additional capital through some combination of equity and/or debt offerings, including through our ATM program, and identifying strategic collaborations, licensing or other arrangements to support development of our product candidates.</w:t>
      </w:r>
    </w:p>
    <w:p>
      <w:pPr>
        <w:spacing w:after="0" w:line="8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In addition, as of March 9, 2026, we may receive an additional $6.7 million in aggregate proceeds if the holders of our Series C warrants exercise their warrants in full. Further, if not otherwise redeemed by us, we may also receive aggregate proceeds of up to $2.3 million from the exercise of our outstanding Series B warrants in full. There is no assurance, however, that we will receive any additional proceeds from the second closing of the 2025 Private Placement or the exercise of outstanding warrants or pre-funded warrants, that any additional financing or any revenue-generating collaboration will be available when needed, that management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cash preservation measures initiated to date to address our liquidity needs, including exploring other strategic options, continuing to further reduce operating expense or delaying, reducing the scope of, discontinuing or altering our research and development activities. For additional information, see “—Liquidity” below.</w:t>
      </w:r>
    </w:p>
    <w:p>
      <w:pPr>
        <w:spacing w:after="0" w:line="8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actual amount of cash that we will need to operate is subject to many factors, including those described in the section titled “Risk Factors.” The financial statements have been prepared on the basis that we will continue as a going concern and do not include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Components of Our Results of Operations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2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10240"/>
          </w:cols>
          <w:pgMar w:left="820" w:top="750" w:right="820" w:bottom="0" w:gutter="0" w:footer="0" w:header="0"/>
          <w:type w:val="continuous"/>
        </w:sectPr>
      </w:pPr>
    </w:p>
    <w:bookmarkStart w:id="103" w:name="page104"/>
    <w:bookmarkEnd w:id="103"/>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Research and Development Expenses</w:t>
      </w:r>
    </w:p>
    <w:p>
      <w:pPr>
        <w:spacing w:after="0" w:line="118" w:lineRule="exact"/>
        <w:rPr>
          <w:sz w:val="20"/>
          <w:szCs w:val="20"/>
          <w:color w:val="auto"/>
        </w:rPr>
      </w:pPr>
    </w:p>
    <w:p>
      <w:pPr>
        <w:ind w:firstLine="403"/>
        <w:spacing w:after="0" w:line="277" w:lineRule="auto"/>
        <w:rPr>
          <w:sz w:val="20"/>
          <w:szCs w:val="20"/>
          <w:color w:val="auto"/>
        </w:rPr>
      </w:pPr>
      <w:r>
        <w:rPr>
          <w:rFonts w:ascii="Times New Roman" w:cs="Times New Roman" w:eastAsia="Times New Roman" w:hAnsi="Times New Roman"/>
          <w:sz w:val="20"/>
          <w:szCs w:val="20"/>
          <w:color w:val="231F20"/>
        </w:rPr>
        <w:t>Research and development expenses consist primarily of costs incurred for our research activities, including our discovery efforts and the development of our product candidates, and include:</w:t>
      </w:r>
    </w:p>
    <w:p>
      <w:pPr>
        <w:spacing w:after="0" w:line="64" w:lineRule="exact"/>
        <w:rPr>
          <w:sz w:val="20"/>
          <w:szCs w:val="20"/>
          <w:color w:val="auto"/>
        </w:rPr>
      </w:pPr>
    </w:p>
    <w:p>
      <w:pPr>
        <w:ind w:left="980" w:hanging="482"/>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employee-related expenses, including salaries, related benefits, severance payments and stock-based compensation expense for employees engaged in research and development functions;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fees paid to consultants for services directly related to our product development and regulatory efforts;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expenses associated with conducting preclinical studies performed by ourselves, outside vendors or academic collaborators;</w:t>
      </w:r>
    </w:p>
    <w:p>
      <w:pPr>
        <w:spacing w:after="0" w:line="64" w:lineRule="exact"/>
        <w:rPr>
          <w:rFonts w:ascii="Arial" w:cs="Arial" w:eastAsia="Arial" w:hAnsi="Arial"/>
          <w:sz w:val="20"/>
          <w:szCs w:val="20"/>
          <w:color w:val="231F20"/>
        </w:rPr>
      </w:pPr>
    </w:p>
    <w:p>
      <w:pPr>
        <w:jc w:val="both"/>
        <w:ind w:left="980" w:hanging="482"/>
        <w:spacing w:after="0" w:line="252"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expenses incurred in connection with conducting clinical trials including investigator grants and site payments for time and pass-through expenses and expenses incurred under agreements with contract research organizations ("CROs") as well as contract manufacturing organizations ("CMOs") and consultants that conduct and provide supplies for our preclinical studies and clinical trials;</w:t>
      </w:r>
    </w:p>
    <w:p>
      <w:pPr>
        <w:spacing w:after="0" w:line="87" w:lineRule="exact"/>
        <w:rPr>
          <w:rFonts w:ascii="Arial" w:cs="Arial" w:eastAsia="Arial" w:hAnsi="Arial"/>
          <w:sz w:val="20"/>
          <w:szCs w:val="20"/>
          <w:color w:val="231F20"/>
        </w:rPr>
      </w:pPr>
    </w:p>
    <w:p>
      <w:pPr>
        <w:ind w:left="980" w:hanging="482"/>
        <w:spacing w:after="0"/>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to manufacture drug product candidates for use in our preclinical studies and clinical trials;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associated with preclinical activities and development activities;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associated with our intellectual property portfolio; and</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related to compliance with regulatory requirements.</w:t>
      </w:r>
    </w:p>
    <w:p>
      <w:pPr>
        <w:spacing w:after="0" w:line="119"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each product candidate. Preclinical expenses consist of external research and development costs associated with activities to support our current and future clinical programs but are not allocated by product candidate due to the overlap of the potential benefit of those efforts across multiple product candidates.</w:t>
      </w:r>
    </w:p>
    <w:p>
      <w:pPr>
        <w:spacing w:after="0" w:line="80"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Research and development activities are central to our business. Although we have experienced recent decreases in our research and development expenses as a result of the pipeline prioritization implemented in September 2024, we expect that our research and development expenses will increase in the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General and Administrative Expenses</w:t>
      </w:r>
    </w:p>
    <w:p>
      <w:pPr>
        <w:spacing w:after="0" w:line="118"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shared expenses for rent and maintenance of facilities and other operating costs not included in research and development.</w:t>
      </w:r>
    </w:p>
    <w:p>
      <w:pPr>
        <w:spacing w:after="0" w:line="77"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Although we have experienced recent decreases in our general and administrative expenses as a result of the pipeline prioritization and related workforce reduction implemented in September 2024, we expect that our general and administrative expenses will increase in the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Severance and related charges</w:t>
      </w:r>
    </w:p>
    <w:p>
      <w:pPr>
        <w:spacing w:after="0" w:line="118"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Severance and related charges include one-time costs related to the September 2024 workforce reduction, including severance payments and stock-based compensation expense resulting from acceleration in full of outstanding unvested stock options at the separation date for the impacted employees.</w:t>
      </w:r>
    </w:p>
    <w:p>
      <w:pPr>
        <w:sectPr>
          <w:pgSz w:w="11880" w:h="15480" w:orient="portrait"/>
          <w:cols w:equalWidth="0" w:num="1">
            <w:col w:w="10240"/>
          </w:cols>
          <w:pgMar w:left="820" w:top="750" w:right="820" w:bottom="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10240"/>
          </w:cols>
          <w:pgMar w:left="820" w:top="750" w:right="820" w:bottom="0" w:gutter="0" w:footer="0" w:header="0"/>
          <w:type w:val="continuous"/>
        </w:sectPr>
      </w:pPr>
    </w:p>
    <w:bookmarkStart w:id="104" w:name="page105"/>
    <w:bookmarkEnd w:id="104"/>
    <w:p>
      <w:pPr>
        <w:ind w:left="500"/>
        <w:spacing w:after="0"/>
        <w:rPr>
          <w:sz w:val="20"/>
          <w:szCs w:val="20"/>
          <w:color w:val="auto"/>
        </w:rPr>
      </w:pPr>
      <w:r>
        <w:rPr>
          <w:rFonts w:ascii="Times New Roman" w:cs="Times New Roman" w:eastAsia="Times New Roman" w:hAnsi="Times New Roman"/>
          <w:sz w:val="20"/>
          <w:szCs w:val="20"/>
          <w:i w:val="1"/>
          <w:iCs w:val="1"/>
          <w:color w:val="231F20"/>
        </w:rPr>
        <w:t>Interest Income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Interest income includes interest earned from certain bank accounts.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the Years Ended December 31, 2025 and 2024</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The following table sets forth our results of operations for the years ended December 31, 2025 and 2024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80" w:type="dxa"/>
            <w:vAlign w:val="bottom"/>
            <w:gridSpan w:val="5"/>
          </w:tcPr>
          <w:p>
            <w:pPr>
              <w:jc w:val="right"/>
              <w:ind w:right="48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200" w:type="dxa"/>
            <w:vAlign w:val="bottom"/>
          </w:tcPr>
          <w:p>
            <w:pPr>
              <w:spacing w:after="0"/>
              <w:rPr>
                <w:sz w:val="22"/>
                <w:szCs w:val="22"/>
                <w:color w:val="auto"/>
              </w:rPr>
            </w:pPr>
          </w:p>
        </w:tc>
        <w:tc>
          <w:tcPr>
            <w:tcW w:w="11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20"/>
                <w:szCs w:val="20"/>
                <w:b w:val="1"/>
                <w:bCs w:val="1"/>
                <w:color w:val="231F20"/>
              </w:rPr>
              <w:t>Change</w:t>
            </w: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1080" w:type="dxa"/>
            <w:vAlign w:val="bottom"/>
            <w:tcBorders>
              <w:top w:val="single" w:sz="8" w:color="231F20"/>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20" w:type="dxa"/>
            <w:vAlign w:val="bottom"/>
            <w:tcBorders>
              <w:top w:val="single" w:sz="8" w:color="231F20"/>
            </w:tcBorders>
          </w:tcPr>
          <w:p>
            <w:pPr>
              <w:spacing w:after="0"/>
              <w:rPr>
                <w:sz w:val="20"/>
                <w:szCs w:val="20"/>
                <w:color w:val="auto"/>
              </w:rPr>
            </w:pPr>
          </w:p>
        </w:tc>
        <w:tc>
          <w:tcPr>
            <w:tcW w:w="260" w:type="dxa"/>
            <w:vAlign w:val="bottom"/>
            <w:tcBorders>
              <w:top w:val="single" w:sz="8" w:color="231F20"/>
            </w:tcBorders>
          </w:tcPr>
          <w:p>
            <w:pPr>
              <w:spacing w:after="0"/>
              <w:rPr>
                <w:sz w:val="20"/>
                <w:szCs w:val="20"/>
                <w:color w:val="auto"/>
              </w:rPr>
            </w:pPr>
          </w:p>
        </w:tc>
        <w:tc>
          <w:tcPr>
            <w:tcW w:w="980" w:type="dxa"/>
            <w:vAlign w:val="bottom"/>
            <w:tcBorders>
              <w:top w:val="single" w:sz="8" w:color="231F20"/>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6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160" w:type="dxa"/>
            <w:vAlign w:val="bottom"/>
            <w:tcBorders>
              <w:top w:val="single" w:sz="8" w:color="231F20"/>
            </w:tcBorders>
            <w:shd w:val="clear" w:color="auto" w:fill="D1EBF3"/>
          </w:tcPr>
          <w:p>
            <w:pPr>
              <w:spacing w:after="0"/>
              <w:rPr>
                <w:sz w:val="20"/>
                <w:szCs w:val="20"/>
                <w:color w:val="auto"/>
              </w:rPr>
            </w:pPr>
          </w:p>
        </w:tc>
        <w:tc>
          <w:tcPr>
            <w:tcW w:w="1080" w:type="dxa"/>
            <w:vAlign w:val="bottom"/>
            <w:tcBorders>
              <w:top w:val="single" w:sz="8" w:color="231F20"/>
            </w:tcBorders>
            <w:shd w:val="clear" w:color="auto" w:fill="D1EBF3"/>
          </w:tcPr>
          <w:p>
            <w:pPr>
              <w:spacing w:after="0"/>
              <w:rPr>
                <w:sz w:val="20"/>
                <w:szCs w:val="20"/>
                <w:color w:val="auto"/>
              </w:rPr>
            </w:pPr>
          </w:p>
        </w:tc>
        <w:tc>
          <w:tcPr>
            <w:tcW w:w="220" w:type="dxa"/>
            <w:vAlign w:val="bottom"/>
            <w:tcBorders>
              <w:top w:val="single" w:sz="8" w:color="D1EBF3"/>
            </w:tcBorders>
            <w:shd w:val="clear" w:color="auto" w:fill="D1EBF3"/>
          </w:tcPr>
          <w:p>
            <w:pPr>
              <w:spacing w:after="0"/>
              <w:rPr>
                <w:sz w:val="20"/>
                <w:szCs w:val="20"/>
                <w:color w:val="auto"/>
              </w:rPr>
            </w:pPr>
          </w:p>
        </w:tc>
        <w:tc>
          <w:tcPr>
            <w:tcW w:w="260" w:type="dxa"/>
            <w:vAlign w:val="bottom"/>
            <w:tcBorders>
              <w:top w:val="single" w:sz="8" w:color="231F20"/>
            </w:tcBorders>
            <w:shd w:val="clear" w:color="auto" w:fill="D1EBF3"/>
          </w:tcPr>
          <w:p>
            <w:pPr>
              <w:spacing w:after="0"/>
              <w:rPr>
                <w:sz w:val="20"/>
                <w:szCs w:val="20"/>
                <w:color w:val="auto"/>
              </w:rPr>
            </w:pPr>
          </w:p>
        </w:tc>
        <w:tc>
          <w:tcPr>
            <w:tcW w:w="980" w:type="dxa"/>
            <w:vAlign w:val="bottom"/>
            <w:tcBorders>
              <w:top w:val="single" w:sz="8" w:color="231F20"/>
            </w:tcBorders>
            <w:shd w:val="clear" w:color="auto" w:fill="D1EBF3"/>
          </w:tcPr>
          <w:p>
            <w:pPr>
              <w:spacing w:after="0"/>
              <w:rPr>
                <w:sz w:val="20"/>
                <w:szCs w:val="20"/>
                <w:color w:val="auto"/>
              </w:rPr>
            </w:pPr>
          </w:p>
        </w:tc>
        <w:tc>
          <w:tcPr>
            <w:tcW w:w="240" w:type="dxa"/>
            <w:vAlign w:val="bottom"/>
            <w:tcBorders>
              <w:top w:val="single" w:sz="8" w:color="D1EBF3"/>
            </w:tcBorders>
            <w:shd w:val="clear" w:color="auto" w:fill="D1EBF3"/>
          </w:tcPr>
          <w:p>
            <w:pPr>
              <w:spacing w:after="0"/>
              <w:rPr>
                <w:sz w:val="20"/>
                <w:szCs w:val="20"/>
                <w:color w:val="auto"/>
              </w:rPr>
            </w:pPr>
          </w:p>
        </w:tc>
        <w:tc>
          <w:tcPr>
            <w:tcW w:w="200" w:type="dxa"/>
            <w:vAlign w:val="bottom"/>
            <w:tcBorders>
              <w:top w:val="single" w:sz="8" w:color="231F20"/>
            </w:tcBorders>
            <w:shd w:val="clear" w:color="auto" w:fill="D1EBF3"/>
          </w:tcPr>
          <w:p>
            <w:pPr>
              <w:spacing w:after="0"/>
              <w:rPr>
                <w:sz w:val="20"/>
                <w:szCs w:val="20"/>
                <w:color w:val="auto"/>
              </w:rPr>
            </w:pPr>
          </w:p>
        </w:tc>
        <w:tc>
          <w:tcPr>
            <w:tcW w:w="104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10,211</w:t>
            </w:r>
          </w:p>
        </w:tc>
        <w:tc>
          <w:tcPr>
            <w:tcW w:w="220" w:type="dxa"/>
            <w:vAlign w:val="bottom"/>
          </w:tcPr>
          <w:p>
            <w:pPr>
              <w:spacing w:after="0"/>
              <w:rPr>
                <w:sz w:val="21"/>
                <w:szCs w:val="21"/>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16,962</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160" w:type="dxa"/>
            <w:vAlign w:val="bottom"/>
            <w:shd w:val="clear" w:color="auto" w:fill="D1EBF3"/>
          </w:tcPr>
          <w:p>
            <w:pPr>
              <w:spacing w:after="0"/>
              <w:rPr>
                <w:sz w:val="21"/>
                <w:szCs w:val="21"/>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9,650</w:t>
            </w:r>
          </w:p>
        </w:tc>
        <w:tc>
          <w:tcPr>
            <w:tcW w:w="220" w:type="dxa"/>
            <w:vAlign w:val="bottom"/>
            <w:shd w:val="clear" w:color="auto" w:fill="D1EBF3"/>
          </w:tcPr>
          <w:p>
            <w:pPr>
              <w:spacing w:after="0"/>
              <w:rPr>
                <w:sz w:val="21"/>
                <w:szCs w:val="21"/>
                <w:color w:val="auto"/>
              </w:rPr>
            </w:pPr>
          </w:p>
        </w:tc>
        <w:tc>
          <w:tcPr>
            <w:tcW w:w="260" w:type="dxa"/>
            <w:vAlign w:val="bottom"/>
            <w:shd w:val="clear" w:color="auto" w:fill="D1EBF3"/>
          </w:tcPr>
          <w:p>
            <w:pPr>
              <w:spacing w:after="0"/>
              <w:rPr>
                <w:sz w:val="21"/>
                <w:szCs w:val="21"/>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12,637</w:t>
            </w:r>
          </w:p>
        </w:tc>
        <w:tc>
          <w:tcPr>
            <w:tcW w:w="240" w:type="dxa"/>
            <w:vAlign w:val="bottom"/>
            <w:shd w:val="clear" w:color="auto" w:fill="D1EBF3"/>
          </w:tcPr>
          <w:p>
            <w:pPr>
              <w:spacing w:after="0"/>
              <w:rPr>
                <w:sz w:val="21"/>
                <w:szCs w:val="21"/>
                <w:color w:val="auto"/>
              </w:rPr>
            </w:pPr>
          </w:p>
        </w:tc>
        <w:tc>
          <w:tcPr>
            <w:tcW w:w="200" w:type="dxa"/>
            <w:vAlign w:val="bottom"/>
            <w:shd w:val="clear" w:color="auto" w:fill="D1EBF3"/>
          </w:tcPr>
          <w:p>
            <w:pPr>
              <w:spacing w:after="0"/>
              <w:rPr>
                <w:sz w:val="21"/>
                <w:szCs w:val="21"/>
                <w:color w:val="auto"/>
              </w:rPr>
            </w:pPr>
          </w:p>
        </w:tc>
        <w:tc>
          <w:tcPr>
            <w:tcW w:w="114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(2,987)</w:t>
            </w:r>
          </w:p>
        </w:tc>
        <w:tc>
          <w:tcPr>
            <w:tcW w:w="0" w:type="dxa"/>
            <w:vAlign w:val="bottom"/>
          </w:tcPr>
          <w:p>
            <w:pPr>
              <w:spacing w:after="0"/>
              <w:rPr>
                <w:sz w:val="1"/>
                <w:szCs w:val="1"/>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Severance and related charges</w:t>
            </w:r>
          </w:p>
        </w:tc>
        <w:tc>
          <w:tcPr>
            <w:tcW w:w="16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(1,068)</w:t>
            </w:r>
          </w:p>
        </w:tc>
        <w:tc>
          <w:tcPr>
            <w:tcW w:w="0" w:type="dxa"/>
            <w:vAlign w:val="bottom"/>
          </w:tcPr>
          <w:p>
            <w:pPr>
              <w:spacing w:after="0"/>
              <w:rPr>
                <w:sz w:val="1"/>
                <w:szCs w:val="1"/>
                <w:color w:val="auto"/>
              </w:rPr>
            </w:pPr>
          </w:p>
        </w:tc>
      </w:tr>
      <w:tr>
        <w:trPr>
          <w:trHeight w:val="239"/>
        </w:trPr>
        <w:tc>
          <w:tcPr>
            <w:tcW w:w="596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160" w:type="dxa"/>
            <w:vAlign w:val="bottom"/>
            <w:tcBorders>
              <w:top w:val="single" w:sz="8" w:color="231F20"/>
              <w:bottom w:val="single" w:sz="8" w:color="231F20"/>
            </w:tcBorders>
            <w:shd w:val="clear" w:color="auto" w:fill="D1EBF3"/>
          </w:tcPr>
          <w:p>
            <w:pPr>
              <w:spacing w:after="0"/>
              <w:rPr>
                <w:sz w:val="20"/>
                <w:szCs w:val="20"/>
                <w:color w:val="auto"/>
              </w:rPr>
            </w:pPr>
          </w:p>
        </w:tc>
        <w:tc>
          <w:tcPr>
            <w:tcW w:w="10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19,861</w:t>
            </w:r>
          </w:p>
        </w:tc>
        <w:tc>
          <w:tcPr>
            <w:tcW w:w="220" w:type="dxa"/>
            <w:vAlign w:val="bottom"/>
            <w:tcBorders>
              <w:top w:val="single" w:sz="8" w:color="D1EBF3"/>
            </w:tcBorders>
            <w:shd w:val="clear" w:color="auto" w:fill="D1EBF3"/>
          </w:tcPr>
          <w:p>
            <w:pPr>
              <w:spacing w:after="0"/>
              <w:rPr>
                <w:sz w:val="20"/>
                <w:szCs w:val="20"/>
                <w:color w:val="auto"/>
              </w:rPr>
            </w:pPr>
          </w:p>
        </w:tc>
        <w:tc>
          <w:tcPr>
            <w:tcW w:w="260" w:type="dxa"/>
            <w:vAlign w:val="bottom"/>
            <w:tcBorders>
              <w:top w:val="single" w:sz="8" w:color="231F20"/>
              <w:bottom w:val="single" w:sz="8" w:color="231F20"/>
            </w:tcBorders>
            <w:shd w:val="clear" w:color="auto" w:fill="D1EBF3"/>
          </w:tcPr>
          <w:p>
            <w:pPr>
              <w:spacing w:after="0"/>
              <w:rPr>
                <w:sz w:val="20"/>
                <w:szCs w:val="20"/>
                <w:color w:val="auto"/>
              </w:rPr>
            </w:pPr>
          </w:p>
        </w:tc>
        <w:tc>
          <w:tcPr>
            <w:tcW w:w="9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30,667</w:t>
            </w:r>
          </w:p>
        </w:tc>
        <w:tc>
          <w:tcPr>
            <w:tcW w:w="240" w:type="dxa"/>
            <w:vAlign w:val="bottom"/>
            <w:tcBorders>
              <w:top w:val="single" w:sz="8" w:color="D1EBF3"/>
            </w:tcBorders>
            <w:shd w:val="clear" w:color="auto" w:fill="D1EBF3"/>
          </w:tcPr>
          <w:p>
            <w:pPr>
              <w:spacing w:after="0"/>
              <w:rPr>
                <w:sz w:val="20"/>
                <w:szCs w:val="20"/>
                <w:color w:val="auto"/>
              </w:rPr>
            </w:pPr>
          </w:p>
        </w:tc>
        <w:tc>
          <w:tcPr>
            <w:tcW w:w="200" w:type="dxa"/>
            <w:vAlign w:val="bottom"/>
            <w:tcBorders>
              <w:top w:val="single" w:sz="8" w:color="231F20"/>
              <w:bottom w:val="single" w:sz="8" w:color="231F20"/>
            </w:tcBorders>
            <w:shd w:val="clear" w:color="auto" w:fill="D1EBF3"/>
          </w:tcPr>
          <w:p>
            <w:pPr>
              <w:spacing w:after="0"/>
              <w:rPr>
                <w:sz w:val="20"/>
                <w:szCs w:val="20"/>
                <w:color w:val="auto"/>
              </w:rPr>
            </w:pPr>
          </w:p>
        </w:tc>
        <w:tc>
          <w:tcPr>
            <w:tcW w:w="10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(10,806)</w:t>
            </w:r>
          </w:p>
        </w:tc>
        <w:tc>
          <w:tcPr>
            <w:tcW w:w="10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231F20"/>
              </w:rPr>
              <w:t>Interest income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9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Loss from operations</w:t>
            </w:r>
          </w:p>
        </w:tc>
        <w:tc>
          <w:tcPr>
            <w:tcW w:w="160" w:type="dxa"/>
            <w:vAlign w:val="bottom"/>
            <w:shd w:val="clear" w:color="auto" w:fill="D1EBF3"/>
          </w:tcPr>
          <w:p>
            <w:pPr>
              <w:spacing w:after="0"/>
              <w:rPr>
                <w:sz w:val="22"/>
                <w:szCs w:val="22"/>
                <w:color w:val="auto"/>
              </w:rPr>
            </w:pPr>
          </w:p>
        </w:tc>
        <w:tc>
          <w:tcPr>
            <w:tcW w:w="1300" w:type="dxa"/>
            <w:vAlign w:val="bottom"/>
            <w:gridSpan w:val="2"/>
            <w:shd w:val="clear" w:color="auto" w:fill="D1EBF3"/>
          </w:tcPr>
          <w:p>
            <w:pPr>
              <w:jc w:val="right"/>
              <w:ind w:right="160"/>
              <w:spacing w:after="0"/>
              <w:rPr>
                <w:sz w:val="20"/>
                <w:szCs w:val="20"/>
                <w:color w:val="auto"/>
              </w:rPr>
            </w:pPr>
            <w:r>
              <w:rPr>
                <w:rFonts w:ascii="Times New Roman" w:cs="Times New Roman" w:eastAsia="Times New Roman" w:hAnsi="Times New Roman"/>
                <w:sz w:val="20"/>
                <w:szCs w:val="20"/>
                <w:color w:val="231F20"/>
              </w:rPr>
              <w:t>(19,440)</w:t>
            </w:r>
          </w:p>
        </w:tc>
        <w:tc>
          <w:tcPr>
            <w:tcW w:w="260" w:type="dxa"/>
            <w:vAlign w:val="bottom"/>
            <w:shd w:val="clear" w:color="auto" w:fill="D1EBF3"/>
          </w:tcPr>
          <w:p>
            <w:pPr>
              <w:spacing w:after="0"/>
              <w:rPr>
                <w:sz w:val="22"/>
                <w:szCs w:val="22"/>
                <w:color w:val="auto"/>
              </w:rPr>
            </w:pPr>
          </w:p>
        </w:tc>
        <w:tc>
          <w:tcPr>
            <w:tcW w:w="1220" w:type="dxa"/>
            <w:vAlign w:val="bottom"/>
            <w:gridSpan w:val="2"/>
            <w:shd w:val="clear" w:color="auto" w:fill="D1EBF3"/>
          </w:tcPr>
          <w:p>
            <w:pPr>
              <w:jc w:val="right"/>
              <w:ind w:right="160"/>
              <w:spacing w:after="0"/>
              <w:rPr>
                <w:sz w:val="20"/>
                <w:szCs w:val="20"/>
                <w:color w:val="auto"/>
              </w:rPr>
            </w:pPr>
            <w:r>
              <w:rPr>
                <w:rFonts w:ascii="Times New Roman" w:cs="Times New Roman" w:eastAsia="Times New Roman" w:hAnsi="Times New Roman"/>
                <w:sz w:val="20"/>
                <w:szCs w:val="20"/>
                <w:color w:val="231F20"/>
              </w:rPr>
              <w:t>(30,437)</w:t>
            </w:r>
          </w:p>
        </w:tc>
        <w:tc>
          <w:tcPr>
            <w:tcW w:w="200" w:type="dxa"/>
            <w:vAlign w:val="bottom"/>
            <w:shd w:val="clear" w:color="auto" w:fill="D1EBF3"/>
          </w:tcPr>
          <w:p>
            <w:pPr>
              <w:spacing w:after="0"/>
              <w:rPr>
                <w:sz w:val="22"/>
                <w:szCs w:val="22"/>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10,997</w:t>
            </w:r>
          </w:p>
        </w:tc>
        <w:tc>
          <w:tcPr>
            <w:tcW w:w="100" w:type="dxa"/>
            <w:vAlign w:val="bottom"/>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960" w:type="dxa"/>
            <w:vAlign w:val="bottom"/>
            <w:tcBorders>
              <w:top w:val="single" w:sz="8" w:color="D1EBF3"/>
            </w:tcBorders>
          </w:tcPr>
          <w:p>
            <w:pPr>
              <w:spacing w:after="0" w:line="219" w:lineRule="exact"/>
              <w:rPr>
                <w:sz w:val="20"/>
                <w:szCs w:val="20"/>
                <w:color w:val="auto"/>
              </w:rPr>
            </w:pPr>
            <w:r>
              <w:rPr>
                <w:rFonts w:ascii="Times New Roman" w:cs="Times New Roman" w:eastAsia="Times New Roman" w:hAnsi="Times New Roman"/>
                <w:sz w:val="20"/>
                <w:szCs w:val="20"/>
                <w:color w:val="231F20"/>
              </w:rPr>
              <w:t>Net loss</w:t>
            </w:r>
          </w:p>
        </w:tc>
        <w:tc>
          <w:tcPr>
            <w:tcW w:w="1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(19,440)</w:t>
            </w:r>
          </w:p>
        </w:tc>
        <w:tc>
          <w:tcPr>
            <w:tcW w:w="220" w:type="dxa"/>
            <w:vAlign w:val="bottom"/>
            <w:tcBorders>
              <w:top w:val="single" w:sz="8" w:color="D1EBF3"/>
            </w:tcBorders>
          </w:tcPr>
          <w:p>
            <w:pPr>
              <w:spacing w:after="0"/>
              <w:rPr>
                <w:sz w:val="19"/>
                <w:szCs w:val="19"/>
                <w:color w:val="auto"/>
              </w:rPr>
            </w:pPr>
          </w:p>
        </w:tc>
        <w:tc>
          <w:tcPr>
            <w:tcW w:w="260" w:type="dxa"/>
            <w:vAlign w:val="bottom"/>
            <w:tcBorders>
              <w:top w:val="single" w:sz="8" w:color="231F20"/>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(30,437)</w:t>
            </w:r>
          </w:p>
        </w:tc>
        <w:tc>
          <w:tcPr>
            <w:tcW w:w="240" w:type="dxa"/>
            <w:vAlign w:val="bottom"/>
            <w:tcBorders>
              <w:top w:val="single" w:sz="8" w:color="D1EBF3"/>
            </w:tcBorders>
          </w:tcPr>
          <w:p>
            <w:pPr>
              <w:spacing w:after="0"/>
              <w:rPr>
                <w:sz w:val="19"/>
                <w:szCs w:val="19"/>
                <w:color w:val="auto"/>
              </w:rPr>
            </w:pPr>
          </w:p>
        </w:tc>
        <w:tc>
          <w:tcPr>
            <w:tcW w:w="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10,997</w:t>
            </w:r>
          </w:p>
        </w:tc>
        <w:tc>
          <w:tcPr>
            <w:tcW w:w="100" w:type="dxa"/>
            <w:vAlign w:val="bottom"/>
            <w:tcBorders>
              <w:top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Research and Development Expenses</w:t>
      </w:r>
    </w:p>
    <w:p>
      <w:pPr>
        <w:spacing w:after="0" w:line="118"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our research and development expenses for the years ended December 31, 2025 and 2024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40" w:type="dxa"/>
            <w:vAlign w:val="bottom"/>
            <w:gridSpan w:val="5"/>
          </w:tcPr>
          <w:p>
            <w:pPr>
              <w:ind w:left="8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200" w:type="dxa"/>
            <w:vAlign w:val="bottom"/>
          </w:tcPr>
          <w:p>
            <w:pPr>
              <w:spacing w:after="0"/>
              <w:rPr>
                <w:sz w:val="22"/>
                <w:szCs w:val="22"/>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20"/>
                <w:szCs w:val="20"/>
                <w:b w:val="1"/>
                <w:bCs w:val="1"/>
                <w:color w:val="231F20"/>
              </w:rPr>
              <w:t>Change</w:t>
            </w:r>
          </w:p>
        </w:tc>
        <w:tc>
          <w:tcPr>
            <w:tcW w:w="0" w:type="dxa"/>
            <w:vAlign w:val="bottom"/>
          </w:tcPr>
          <w:p>
            <w:pPr>
              <w:spacing w:after="0"/>
              <w:rPr>
                <w:sz w:val="1"/>
                <w:szCs w:val="1"/>
                <w:color w:val="auto"/>
              </w:rPr>
            </w:pPr>
          </w:p>
        </w:tc>
      </w:tr>
      <w:tr>
        <w:trPr>
          <w:trHeight w:val="225"/>
        </w:trPr>
        <w:tc>
          <w:tcPr>
            <w:tcW w:w="5880" w:type="dxa"/>
            <w:vAlign w:val="bottom"/>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1120" w:type="dxa"/>
            <w:vAlign w:val="bottom"/>
            <w:tcBorders>
              <w:top w:val="single" w:sz="8" w:color="231F20"/>
            </w:tcBorders>
          </w:tcPr>
          <w:p>
            <w:pPr>
              <w:jc w:val="right"/>
              <w:ind w:right="360"/>
              <w:spacing w:after="0" w:line="225" w:lineRule="exact"/>
              <w:rPr>
                <w:sz w:val="20"/>
                <w:szCs w:val="20"/>
                <w:color w:val="auto"/>
              </w:rPr>
            </w:pPr>
            <w:r>
              <w:rPr>
                <w:rFonts w:ascii="Times New Roman" w:cs="Times New Roman" w:eastAsia="Times New Roman" w:hAnsi="Times New Roman"/>
                <w:sz w:val="20"/>
                <w:szCs w:val="20"/>
                <w:b w:val="1"/>
                <w:bCs w:val="1"/>
                <w:color w:val="231F20"/>
              </w:rPr>
              <w:t>2025</w:t>
            </w:r>
          </w:p>
        </w:tc>
        <w:tc>
          <w:tcPr>
            <w:tcW w:w="220" w:type="dxa"/>
            <w:vAlign w:val="bottom"/>
            <w:tcBorders>
              <w:top w:val="single" w:sz="8" w:color="231F20"/>
            </w:tcBorders>
          </w:tcPr>
          <w:p>
            <w:pPr>
              <w:spacing w:after="0"/>
              <w:rPr>
                <w:sz w:val="19"/>
                <w:szCs w:val="19"/>
                <w:color w:val="auto"/>
              </w:rPr>
            </w:pPr>
          </w:p>
        </w:tc>
        <w:tc>
          <w:tcPr>
            <w:tcW w:w="280" w:type="dxa"/>
            <w:vAlign w:val="bottom"/>
            <w:tcBorders>
              <w:top w:val="single" w:sz="8" w:color="231F20"/>
            </w:tcBorders>
          </w:tcPr>
          <w:p>
            <w:pPr>
              <w:spacing w:after="0"/>
              <w:rPr>
                <w:sz w:val="19"/>
                <w:szCs w:val="19"/>
                <w:color w:val="auto"/>
              </w:rPr>
            </w:pPr>
          </w:p>
        </w:tc>
        <w:tc>
          <w:tcPr>
            <w:tcW w:w="1000" w:type="dxa"/>
            <w:vAlign w:val="bottom"/>
            <w:tcBorders>
              <w:top w:val="single" w:sz="8" w:color="231F20"/>
            </w:tcBorders>
          </w:tcPr>
          <w:p>
            <w:pPr>
              <w:jc w:val="right"/>
              <w:ind w:right="340"/>
              <w:spacing w:after="0" w:line="225" w:lineRule="exact"/>
              <w:rPr>
                <w:sz w:val="20"/>
                <w:szCs w:val="20"/>
                <w:color w:val="auto"/>
              </w:rPr>
            </w:pPr>
            <w:r>
              <w:rPr>
                <w:rFonts w:ascii="Times New Roman" w:cs="Times New Roman" w:eastAsia="Times New Roman" w:hAnsi="Times New Roman"/>
                <w:sz w:val="20"/>
                <w:szCs w:val="20"/>
                <w:b w:val="1"/>
                <w:bCs w:val="1"/>
                <w:color w:val="231F20"/>
              </w:rPr>
              <w:t>2024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Borders>
              <w:top w:val="single" w:sz="8" w:color="D1EBF3"/>
            </w:tcBorders>
            <w:shd w:val="clear" w:color="auto" w:fill="D1EBF3"/>
          </w:tcPr>
          <w:p>
            <w:pPr>
              <w:spacing w:after="0" w:line="225" w:lineRule="exact"/>
              <w:rPr>
                <w:sz w:val="20"/>
                <w:szCs w:val="20"/>
                <w:color w:val="auto"/>
              </w:rPr>
            </w:pPr>
            <w:r>
              <w:rPr>
                <w:rFonts w:ascii="Times New Roman" w:cs="Times New Roman" w:eastAsia="Times New Roman" w:hAnsi="Times New Roman"/>
                <w:sz w:val="20"/>
                <w:szCs w:val="20"/>
                <w:b w:val="1"/>
                <w:bCs w:val="1"/>
                <w:color w:val="231F20"/>
              </w:rPr>
              <w:t>Direct research and development expenses:</w:t>
            </w:r>
          </w:p>
        </w:tc>
        <w:tc>
          <w:tcPr>
            <w:tcW w:w="180" w:type="dxa"/>
            <w:vAlign w:val="bottom"/>
            <w:tcBorders>
              <w:top w:val="single" w:sz="8" w:color="231F20"/>
            </w:tcBorders>
            <w:shd w:val="clear" w:color="auto" w:fill="D1EBF3"/>
          </w:tcPr>
          <w:p>
            <w:pPr>
              <w:spacing w:after="0"/>
              <w:rPr>
                <w:sz w:val="19"/>
                <w:szCs w:val="19"/>
                <w:color w:val="auto"/>
              </w:rPr>
            </w:pPr>
          </w:p>
        </w:tc>
        <w:tc>
          <w:tcPr>
            <w:tcW w:w="1120" w:type="dxa"/>
            <w:vAlign w:val="bottom"/>
            <w:tcBorders>
              <w:top w:val="single" w:sz="8" w:color="231F20"/>
            </w:tcBorders>
            <w:shd w:val="clear" w:color="auto" w:fill="D1EBF3"/>
          </w:tcPr>
          <w:p>
            <w:pPr>
              <w:spacing w:after="0"/>
              <w:rPr>
                <w:sz w:val="19"/>
                <w:szCs w:val="19"/>
                <w:color w:val="auto"/>
              </w:rPr>
            </w:pPr>
          </w:p>
        </w:tc>
        <w:tc>
          <w:tcPr>
            <w:tcW w:w="220" w:type="dxa"/>
            <w:vAlign w:val="bottom"/>
            <w:tcBorders>
              <w:top w:val="single" w:sz="8" w:color="D1EBF3"/>
            </w:tcBorders>
            <w:shd w:val="clear" w:color="auto" w:fill="D1EBF3"/>
          </w:tcPr>
          <w:p>
            <w:pPr>
              <w:spacing w:after="0"/>
              <w:rPr>
                <w:sz w:val="19"/>
                <w:szCs w:val="19"/>
                <w:color w:val="auto"/>
              </w:rPr>
            </w:pPr>
          </w:p>
        </w:tc>
        <w:tc>
          <w:tcPr>
            <w:tcW w:w="280" w:type="dxa"/>
            <w:vAlign w:val="bottom"/>
            <w:tcBorders>
              <w:top w:val="single" w:sz="8" w:color="231F20"/>
            </w:tcBorders>
            <w:shd w:val="clear" w:color="auto" w:fill="D1EBF3"/>
          </w:tcPr>
          <w:p>
            <w:pPr>
              <w:spacing w:after="0"/>
              <w:rPr>
                <w:sz w:val="19"/>
                <w:szCs w:val="19"/>
                <w:color w:val="auto"/>
              </w:rPr>
            </w:pPr>
          </w:p>
        </w:tc>
        <w:tc>
          <w:tcPr>
            <w:tcW w:w="1000" w:type="dxa"/>
            <w:vAlign w:val="bottom"/>
            <w:tcBorders>
              <w:top w:val="single" w:sz="8" w:color="231F20"/>
            </w:tcBorders>
            <w:shd w:val="clear" w:color="auto" w:fill="D1EBF3"/>
          </w:tcPr>
          <w:p>
            <w:pPr>
              <w:spacing w:after="0"/>
              <w:rPr>
                <w:sz w:val="19"/>
                <w:szCs w:val="19"/>
                <w:color w:val="auto"/>
              </w:rPr>
            </w:pPr>
          </w:p>
        </w:tc>
        <w:tc>
          <w:tcPr>
            <w:tcW w:w="220" w:type="dxa"/>
            <w:vAlign w:val="bottom"/>
            <w:tcBorders>
              <w:top w:val="single" w:sz="8" w:color="D1EBF3"/>
            </w:tcBorders>
            <w:shd w:val="clear" w:color="auto" w:fill="D1EBF3"/>
          </w:tcPr>
          <w:p>
            <w:pPr>
              <w:spacing w:after="0"/>
              <w:rPr>
                <w:sz w:val="19"/>
                <w:szCs w:val="19"/>
                <w:color w:val="auto"/>
              </w:rPr>
            </w:pPr>
          </w:p>
        </w:tc>
        <w:tc>
          <w:tcPr>
            <w:tcW w:w="200" w:type="dxa"/>
            <w:vAlign w:val="bottom"/>
            <w:tcBorders>
              <w:top w:val="single" w:sz="8" w:color="231F20"/>
            </w:tcBorders>
            <w:shd w:val="clear" w:color="auto" w:fill="D1EBF3"/>
          </w:tcPr>
          <w:p>
            <w:pPr>
              <w:spacing w:after="0"/>
              <w:rPr>
                <w:sz w:val="19"/>
                <w:szCs w:val="19"/>
                <w:color w:val="auto"/>
              </w:rPr>
            </w:pPr>
          </w:p>
        </w:tc>
        <w:tc>
          <w:tcPr>
            <w:tcW w:w="1040" w:type="dxa"/>
            <w:vAlign w:val="bottom"/>
            <w:tcBorders>
              <w:top w:val="single" w:sz="8" w:color="231F20"/>
            </w:tcBorders>
            <w:shd w:val="clear" w:color="auto" w:fill="D1EBF3"/>
          </w:tcPr>
          <w:p>
            <w:pPr>
              <w:spacing w:after="0"/>
              <w:rPr>
                <w:sz w:val="19"/>
                <w:szCs w:val="19"/>
                <w:color w:val="auto"/>
              </w:rPr>
            </w:pPr>
          </w:p>
        </w:tc>
        <w:tc>
          <w:tcPr>
            <w:tcW w:w="100" w:type="dxa"/>
            <w:vAlign w:val="bottom"/>
            <w:tcBorders>
              <w:top w:val="single" w:sz="8" w:color="D1EBF3"/>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INB-100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974</w:t>
            </w:r>
          </w:p>
        </w:tc>
        <w:tc>
          <w:tcPr>
            <w:tcW w:w="22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913</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INB-200</w:t>
            </w:r>
          </w:p>
        </w:tc>
        <w:tc>
          <w:tcPr>
            <w:tcW w:w="180" w:type="dxa"/>
            <w:vAlign w:val="bottom"/>
            <w:shd w:val="clear" w:color="auto" w:fill="D1EBF3"/>
          </w:tcPr>
          <w:p>
            <w:pPr>
              <w:spacing w:after="0"/>
              <w:rPr>
                <w:sz w:val="20"/>
                <w:szCs w:val="20"/>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220" w:type="dxa"/>
            <w:vAlign w:val="bottom"/>
            <w:shd w:val="clear" w:color="auto" w:fill="D1EBF3"/>
          </w:tcPr>
          <w:p>
            <w:pPr>
              <w:spacing w:after="0"/>
              <w:rPr>
                <w:sz w:val="20"/>
                <w:szCs w:val="20"/>
                <w:color w:val="auto"/>
              </w:rPr>
            </w:pPr>
          </w:p>
        </w:tc>
        <w:tc>
          <w:tcPr>
            <w:tcW w:w="280" w:type="dxa"/>
            <w:vAlign w:val="bottom"/>
            <w:shd w:val="clear" w:color="auto" w:fill="D1EBF3"/>
          </w:tcPr>
          <w:p>
            <w:pPr>
              <w:spacing w:after="0"/>
              <w:rPr>
                <w:sz w:val="20"/>
                <w:szCs w:val="20"/>
                <w:color w:val="auto"/>
              </w:rPr>
            </w:pPr>
          </w:p>
        </w:tc>
        <w:tc>
          <w:tcPr>
            <w:tcW w:w="1220" w:type="dxa"/>
            <w:vAlign w:val="bottom"/>
            <w:gridSpan w:val="2"/>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451</w:t>
            </w:r>
          </w:p>
        </w:tc>
        <w:tc>
          <w:tcPr>
            <w:tcW w:w="200" w:type="dxa"/>
            <w:vAlign w:val="bottom"/>
            <w:shd w:val="clear" w:color="auto" w:fill="D1EBF3"/>
          </w:tcPr>
          <w:p>
            <w:pPr>
              <w:spacing w:after="0"/>
              <w:rPr>
                <w:sz w:val="20"/>
                <w:szCs w:val="20"/>
                <w:color w:val="auto"/>
              </w:rPr>
            </w:pPr>
          </w:p>
        </w:tc>
        <w:tc>
          <w:tcPr>
            <w:tcW w:w="114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(436)</w:t>
            </w:r>
          </w:p>
        </w:tc>
        <w:tc>
          <w:tcPr>
            <w:tcW w:w="0" w:type="dxa"/>
            <w:vAlign w:val="bottom"/>
          </w:tcPr>
          <w:p>
            <w:pPr>
              <w:spacing w:after="0"/>
              <w:rPr>
                <w:sz w:val="1"/>
                <w:szCs w:val="1"/>
                <w:color w:val="auto"/>
              </w:rPr>
            </w:pPr>
          </w:p>
        </w:tc>
      </w:tr>
      <w:tr>
        <w:trPr>
          <w:trHeight w:val="230"/>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INB-400</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4,677</w:t>
            </w:r>
          </w:p>
        </w:tc>
        <w:tc>
          <w:tcPr>
            <w:tcW w:w="2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(3,980)</w:t>
            </w:r>
          </w:p>
        </w:tc>
        <w:tc>
          <w:tcPr>
            <w:tcW w:w="0" w:type="dxa"/>
            <w:vAlign w:val="bottom"/>
          </w:tcPr>
          <w:p>
            <w:pPr>
              <w:spacing w:after="0"/>
              <w:rPr>
                <w:sz w:val="1"/>
                <w:szCs w:val="1"/>
                <w:color w:val="auto"/>
              </w:rPr>
            </w:pPr>
          </w:p>
        </w:tc>
      </w:tr>
      <w:tr>
        <w:trPr>
          <w:trHeight w:val="230"/>
        </w:trPr>
        <w:tc>
          <w:tcPr>
            <w:tcW w:w="58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Unallocated expenses</w:t>
            </w:r>
          </w:p>
        </w:tc>
        <w:tc>
          <w:tcPr>
            <w:tcW w:w="180" w:type="dxa"/>
            <w:vAlign w:val="bottom"/>
            <w:shd w:val="clear" w:color="auto" w:fill="D1EBF3"/>
          </w:tcPr>
          <w:p>
            <w:pPr>
              <w:spacing w:after="0"/>
              <w:rPr>
                <w:sz w:val="20"/>
                <w:szCs w:val="20"/>
                <w:color w:val="auto"/>
              </w:rPr>
            </w:pPr>
          </w:p>
        </w:tc>
        <w:tc>
          <w:tcPr>
            <w:tcW w:w="1120" w:type="dxa"/>
            <w:vAlign w:val="bottom"/>
            <w:shd w:val="clear" w:color="auto" w:fill="D1EBF3"/>
          </w:tcPr>
          <w:p>
            <w:pPr>
              <w:spacing w:after="0"/>
              <w:rPr>
                <w:sz w:val="20"/>
                <w:szCs w:val="20"/>
                <w:color w:val="auto"/>
              </w:rPr>
            </w:pPr>
          </w:p>
        </w:tc>
        <w:tc>
          <w:tcPr>
            <w:tcW w:w="220" w:type="dxa"/>
            <w:vAlign w:val="bottom"/>
            <w:shd w:val="clear" w:color="auto" w:fill="D1EBF3"/>
          </w:tcPr>
          <w:p>
            <w:pPr>
              <w:spacing w:after="0"/>
              <w:rPr>
                <w:sz w:val="20"/>
                <w:szCs w:val="20"/>
                <w:color w:val="auto"/>
              </w:rPr>
            </w:pPr>
          </w:p>
        </w:tc>
        <w:tc>
          <w:tcPr>
            <w:tcW w:w="280" w:type="dxa"/>
            <w:vAlign w:val="bottom"/>
            <w:shd w:val="clear" w:color="auto" w:fill="D1EBF3"/>
          </w:tcPr>
          <w:p>
            <w:pPr>
              <w:spacing w:after="0"/>
              <w:rPr>
                <w:sz w:val="20"/>
                <w:szCs w:val="20"/>
                <w:color w:val="auto"/>
              </w:rPr>
            </w:pPr>
          </w:p>
        </w:tc>
        <w:tc>
          <w:tcPr>
            <w:tcW w:w="1000" w:type="dxa"/>
            <w:vAlign w:val="bottom"/>
            <w:shd w:val="clear" w:color="auto" w:fill="D1EBF3"/>
          </w:tcPr>
          <w:p>
            <w:pPr>
              <w:spacing w:after="0"/>
              <w:rPr>
                <w:sz w:val="20"/>
                <w:szCs w:val="20"/>
                <w:color w:val="auto"/>
              </w:rPr>
            </w:pPr>
          </w:p>
        </w:tc>
        <w:tc>
          <w:tcPr>
            <w:tcW w:w="22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104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Preclinical</w:t>
            </w:r>
          </w:p>
        </w:tc>
        <w:tc>
          <w:tcPr>
            <w:tcW w:w="1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192</w:t>
            </w: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216</w:t>
            </w:r>
          </w:p>
        </w:tc>
        <w:tc>
          <w:tcPr>
            <w:tcW w:w="2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30"/>
        </w:trPr>
        <w:tc>
          <w:tcPr>
            <w:tcW w:w="58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Personnel expenses (including stock-based compensation)</w:t>
            </w:r>
          </w:p>
        </w:tc>
        <w:tc>
          <w:tcPr>
            <w:tcW w:w="180" w:type="dxa"/>
            <w:vAlign w:val="bottom"/>
            <w:shd w:val="clear" w:color="auto" w:fill="D1EBF3"/>
          </w:tcPr>
          <w:p>
            <w:pPr>
              <w:spacing w:after="0"/>
              <w:rPr>
                <w:sz w:val="20"/>
                <w:szCs w:val="20"/>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5,294</w:t>
            </w:r>
          </w:p>
        </w:tc>
        <w:tc>
          <w:tcPr>
            <w:tcW w:w="220" w:type="dxa"/>
            <w:vAlign w:val="bottom"/>
            <w:shd w:val="clear" w:color="auto" w:fill="D1EBF3"/>
          </w:tcPr>
          <w:p>
            <w:pPr>
              <w:spacing w:after="0"/>
              <w:rPr>
                <w:sz w:val="20"/>
                <w:szCs w:val="20"/>
                <w:color w:val="auto"/>
              </w:rPr>
            </w:pPr>
          </w:p>
        </w:tc>
        <w:tc>
          <w:tcPr>
            <w:tcW w:w="280" w:type="dxa"/>
            <w:vAlign w:val="bottom"/>
            <w:shd w:val="clear" w:color="auto" w:fill="D1EBF3"/>
          </w:tcPr>
          <w:p>
            <w:pPr>
              <w:spacing w:after="0"/>
              <w:rPr>
                <w:sz w:val="20"/>
                <w:szCs w:val="20"/>
                <w:color w:val="auto"/>
              </w:rPr>
            </w:pPr>
          </w:p>
        </w:tc>
        <w:tc>
          <w:tcPr>
            <w:tcW w:w="1220" w:type="dxa"/>
            <w:vAlign w:val="bottom"/>
            <w:gridSpan w:val="2"/>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7,674</w:t>
            </w:r>
          </w:p>
        </w:tc>
        <w:tc>
          <w:tcPr>
            <w:tcW w:w="200" w:type="dxa"/>
            <w:vAlign w:val="bottom"/>
            <w:shd w:val="clear" w:color="auto" w:fill="D1EBF3"/>
          </w:tcPr>
          <w:p>
            <w:pPr>
              <w:spacing w:after="0"/>
              <w:rPr>
                <w:sz w:val="20"/>
                <w:szCs w:val="20"/>
                <w:color w:val="auto"/>
              </w:rPr>
            </w:pPr>
          </w:p>
        </w:tc>
        <w:tc>
          <w:tcPr>
            <w:tcW w:w="114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(2,380)</w:t>
            </w:r>
          </w:p>
        </w:tc>
        <w:tc>
          <w:tcPr>
            <w:tcW w:w="0" w:type="dxa"/>
            <w:vAlign w:val="bottom"/>
          </w:tcPr>
          <w:p>
            <w:pPr>
              <w:spacing w:after="0"/>
              <w:rPr>
                <w:sz w:val="1"/>
                <w:szCs w:val="1"/>
                <w:color w:val="auto"/>
              </w:rPr>
            </w:pPr>
          </w:p>
        </w:tc>
      </w:tr>
      <w:tr>
        <w:trPr>
          <w:trHeight w:val="230"/>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Facility-related and other</w:t>
            </w: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3,039</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3,031</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45"/>
        </w:trPr>
        <w:tc>
          <w:tcPr>
            <w:tcW w:w="5880" w:type="dxa"/>
            <w:vAlign w:val="bottom"/>
            <w:tcBorders>
              <w:top w:val="single" w:sz="8" w:color="D1EBF3"/>
              <w:bottom w:val="single" w:sz="8" w:color="D1EBF3"/>
            </w:tcBorders>
            <w:shd w:val="clear" w:color="auto" w:fill="D1EBF3"/>
          </w:tcPr>
          <w:p>
            <w:pPr>
              <w:ind w:left="500"/>
              <w:spacing w:after="0" w:line="225" w:lineRule="exact"/>
              <w:rPr>
                <w:sz w:val="20"/>
                <w:szCs w:val="20"/>
                <w:color w:val="auto"/>
              </w:rPr>
            </w:pPr>
            <w:r>
              <w:rPr>
                <w:rFonts w:ascii="Times New Roman" w:cs="Times New Roman" w:eastAsia="Times New Roman" w:hAnsi="Times New Roman"/>
                <w:sz w:val="20"/>
                <w:szCs w:val="20"/>
                <w:color w:val="231F20"/>
              </w:rPr>
              <w:t>Total research and development expenses</w:t>
            </w:r>
          </w:p>
        </w:tc>
        <w:tc>
          <w:tcPr>
            <w:tcW w:w="180" w:type="dxa"/>
            <w:vAlign w:val="bottom"/>
            <w:tcBorders>
              <w:top w:val="single" w:sz="8" w:color="231F20"/>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top w:val="single" w:sz="8" w:color="231F20"/>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10,211</w:t>
            </w:r>
          </w:p>
        </w:tc>
        <w:tc>
          <w:tcPr>
            <w:tcW w:w="220" w:type="dxa"/>
            <w:vAlign w:val="bottom"/>
            <w:tcBorders>
              <w:top w:val="single" w:sz="8" w:color="D1EBF3"/>
              <w:bottom w:val="single" w:sz="8" w:color="D1EBF3"/>
            </w:tcBorders>
            <w:shd w:val="clear" w:color="auto" w:fill="D1EBF3"/>
          </w:tcPr>
          <w:p>
            <w:pPr>
              <w:spacing w:after="0"/>
              <w:rPr>
                <w:sz w:val="21"/>
                <w:szCs w:val="21"/>
                <w:color w:val="auto"/>
              </w:rPr>
            </w:pPr>
          </w:p>
        </w:tc>
        <w:tc>
          <w:tcPr>
            <w:tcW w:w="280" w:type="dxa"/>
            <w:vAlign w:val="bottom"/>
            <w:tcBorders>
              <w:top w:val="single" w:sz="8" w:color="231F20"/>
              <w:bottom w:val="single" w:sz="8" w:color="231F20"/>
            </w:tcBorders>
            <w:shd w:val="clear" w:color="auto" w:fill="D1EBF3"/>
          </w:tcPr>
          <w:p>
            <w:pPr>
              <w:jc w:val="right"/>
              <w:ind w:right="8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16,962</w:t>
            </w:r>
          </w:p>
        </w:tc>
        <w:tc>
          <w:tcPr>
            <w:tcW w:w="220" w:type="dxa"/>
            <w:vAlign w:val="bottom"/>
            <w:tcBorders>
              <w:top w:val="single" w:sz="8" w:color="D1EBF3"/>
              <w:bottom w:val="single" w:sz="8" w:color="D1EBF3"/>
            </w:tcBorders>
            <w:shd w:val="clear" w:color="auto" w:fill="D1EBF3"/>
          </w:tcPr>
          <w:p>
            <w:pPr>
              <w:spacing w:after="0"/>
              <w:rPr>
                <w:sz w:val="21"/>
                <w:szCs w:val="21"/>
                <w:color w:val="auto"/>
              </w:rPr>
            </w:pPr>
          </w:p>
        </w:tc>
        <w:tc>
          <w:tcPr>
            <w:tcW w:w="200" w:type="dxa"/>
            <w:vAlign w:val="bottom"/>
            <w:tcBorders>
              <w:top w:val="single" w:sz="8" w:color="231F20"/>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top w:val="single" w:sz="8" w:color="231F20"/>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(6,751)</w:t>
            </w:r>
          </w:p>
        </w:tc>
        <w:tc>
          <w:tcPr>
            <w:tcW w:w="100" w:type="dxa"/>
            <w:vAlign w:val="bottom"/>
            <w:tcBorders>
              <w:top w:val="single" w:sz="8" w:color="D1EBF3"/>
              <w:bottom w:val="single" w:sz="8" w:color="D1EBF3"/>
            </w:tcBorders>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Research and development expenses were $10.2 million for the year ended December 31, 2025, compared to $17.0 million for the prior year. The decrease was primarily due to a $4.4 million net decrease in direct costs related to our clinical trials, primarily related to our INB-200 and INB-400 programs, and a decrease of $2.4 million in personnel-related costs, primarily related to a decrease in salaries, stock-based compensation, benefits and payroll taxes, partially offset by an increase in discretionary bonuses.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General and Administrative Expenses</w:t>
      </w:r>
    </w:p>
    <w:p>
      <w:pPr>
        <w:spacing w:after="0" w:line="11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General and administrative expenses were $ 9.7 million for the year ended December 31, 2025, compared to $12.6 million for the prior year. The decrease of $2.9 million was primarily due to decreases in insurance costs related to D&amp;O insurance premiums, professional services, and salaries, partially offset by an increase in discretionary bonuses, legal and consulting expenses.</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Severance and related charges</w:t>
      </w:r>
    </w:p>
    <w:p>
      <w:pPr>
        <w:spacing w:after="0" w:line="118"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Severance and related charges were $1.1 million for the year ended December 31, 2024. There were no such costs incurred during the year ended December 31, 2025. Severance and related charges for the year ended December 31, 2024 related to the workforce reduction and included stock-based compensation expense of $0.8 million resulting from acceleration</w:t>
      </w:r>
    </w:p>
    <w:p>
      <w:pPr>
        <w:sectPr>
          <w:pgSz w:w="11880" w:h="15480" w:orient="portrait"/>
          <w:cols w:equalWidth="0" w:num="1">
            <w:col w:w="10240"/>
          </w:cols>
          <w:pgMar w:left="820" w:top="75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10240"/>
          </w:cols>
          <w:pgMar w:left="820" w:top="752" w:right="820" w:bottom="0" w:gutter="0" w:footer="0" w:header="0"/>
          <w:type w:val="continuous"/>
        </w:sectPr>
      </w:pPr>
    </w:p>
    <w:bookmarkStart w:id="105" w:name="page106"/>
    <w:bookmarkEnd w:id="105"/>
    <w:p>
      <w:pPr>
        <w:jc w:val="both"/>
        <w:spacing w:after="0" w:line="277" w:lineRule="auto"/>
        <w:rPr>
          <w:sz w:val="20"/>
          <w:szCs w:val="20"/>
          <w:color w:val="auto"/>
        </w:rPr>
      </w:pPr>
      <w:r>
        <w:rPr>
          <w:rFonts w:ascii="Times New Roman" w:cs="Times New Roman" w:eastAsia="Times New Roman" w:hAnsi="Times New Roman"/>
          <w:sz w:val="20"/>
          <w:szCs w:val="20"/>
          <w:color w:val="231F20"/>
        </w:rPr>
        <w:t>in full of outstanding unvested stock options at the separation date for the impacted employees and $0.3 million related to severance payments.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Interest Income</w:t>
      </w:r>
    </w:p>
    <w:p>
      <w:pPr>
        <w:spacing w:after="0" w:line="118"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Interest income was $0.4 million for the year ended December 31, 2025, compared to $0.2 million for the prior year. The increase was due to additional interest income earned from cash sweep accounts.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Overview</w:t>
      </w:r>
    </w:p>
    <w:p>
      <w:pPr>
        <w:spacing w:after="0" w:line="12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We have funded our operations primarily through the sale of equity and equity-linked securities, including through our IPO, follow-on offering, our ATM program and the Private Placements. Through December 31, 2025, we have raised an aggregate of $163.2 million of gross proceeds from the sale of our securities.</w:t>
      </w:r>
    </w:p>
    <w:p>
      <w:pPr>
        <w:spacing w:after="0" w:line="68"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As of December 31, 2025, we had cash of $27.1 million which is only expected to fund our projected operating expenses and capital expenditure requirements through April 2027. We continue to deploy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raising additional capital through some combination of equity and/or debt offerings, including through our ATM program, and identifying strategic collaborations, licensing or other arrangements to support development of our product candidates. We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our CD-19 targeting INB-619 product candidate. There is no assurance, however, that we will receive any additional proceeds from these warrants or that any additional financing or any revenue-generating collaboration will be available, when needed. See Note 7, Warrants, for additional information. If we are unable to raise capital when needed or on acceptable terms, we could be forced to delay, reduce, or explore other strategic options for our research and development programs or other opportunities, or even terminate our operations.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Warrant Exercises and Exchanges</w:t>
      </w:r>
    </w:p>
    <w:p>
      <w:pPr>
        <w:spacing w:after="0" w:line="12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April 2025, we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 of (a) $5.53 per share for Participating Holders who are directors or executive officers of the Company and (b) $5.35 per share for all other Participating Holders (the "Warrant Exercises") and (ii) exchange certain Series A Warrants and Series B Warrants for 41,014 pre-funded warrants, in each case for a cash payment of (a) $5.53 per warrant share for Participating Holders who are directors or executive officers of the Company and (b) $5.35 per warrant share for all other Participating Holders (the "Warrant Exchanges"), for aggregate net proceeds of $1.9 million. See Note 7, Warrants, in our financial statements contained elsewhere in this Annual Report for additional information.</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ATM Program</w:t>
      </w:r>
    </w:p>
    <w:p>
      <w:pPr>
        <w:spacing w:after="0" w:line="120" w:lineRule="exact"/>
        <w:rPr>
          <w:sz w:val="20"/>
          <w:szCs w:val="20"/>
          <w:color w:val="auto"/>
        </w:rPr>
      </w:pPr>
    </w:p>
    <w:p>
      <w:pPr>
        <w:jc w:val="both"/>
        <w:ind w:firstLine="403"/>
        <w:spacing w:after="0" w:line="236" w:lineRule="auto"/>
        <w:rPr>
          <w:sz w:val="20"/>
          <w:szCs w:val="20"/>
          <w:color w:val="auto"/>
        </w:rPr>
      </w:pPr>
      <w:r>
        <w:rPr>
          <w:rFonts w:ascii="Times New Roman" w:cs="Times New Roman" w:eastAsia="Times New Roman" w:hAnsi="Times New Roman"/>
          <w:sz w:val="20"/>
          <w:szCs w:val="20"/>
          <w:color w:val="231F20"/>
        </w:rPr>
        <w:t>In November 2022, we filed a shelf registration statement on Form S-3 (File No. 333-268288) (the "2022 Shelf Registration Statement") with the SEC, which permitted the offering, issuance and sale by us of up to a maximum aggregate offering price of $200 million of our securities, of which $50 million of common stock may be issued and sold pursuant to an ATM program. We entered into a Controlled Equity Offering</w:t>
      </w:r>
      <w:r>
        <w:rPr>
          <w:rFonts w:ascii="Times New Roman" w:cs="Times New Roman" w:eastAsia="Times New Roman" w:hAnsi="Times New Roman"/>
          <w:sz w:val="26"/>
          <w:szCs w:val="26"/>
          <w:color w:val="231F20"/>
          <w:vertAlign w:val="superscript"/>
        </w:rPr>
        <w:t>SM</w:t>
      </w:r>
      <w:r>
        <w:rPr>
          <w:rFonts w:ascii="Times New Roman" w:cs="Times New Roman" w:eastAsia="Times New Roman" w:hAnsi="Times New Roman"/>
          <w:sz w:val="20"/>
          <w:szCs w:val="20"/>
          <w:color w:val="231F20"/>
        </w:rPr>
        <w:t xml:space="preserve"> sales agreement (the "Sales Agreement"), with Cantor Fitzgerald and Truist, under which Cantor Fitzgerald and Truist agreed to act as our sales agents to sell shares of our common stock, from time to time, through the ATM program. On March 8, 2024, we delivered a termination notice to Truist, removing them as a sales agent under the ATM program which became effective on March 14, 2024. During the year ended December 31, 2025, we sold an aggregate of 1,865,253 shares of common stock under the ATM program, resulting in net proceeds of approximately $8.6 million, after deducting underwriting discounts. As of March 9, 2026, $5.9 million remained available for the sale of our common stock under the ATM program.</w:t>
      </w:r>
    </w:p>
    <w:p>
      <w:pPr>
        <w:spacing w:after="0" w:line="91"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In November 2025, we filed a shelf registration statement on Form S-3 (File No. 333- 291393) ("2025 Shelf Registration Statement") with the SEC, which would permit the offering, issuance and sale by us of up to a maximum aggregate offering price of $200 million of our securities and which has not yet been declared effective, to replace the expiring 2022 Shelf</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10240"/>
          </w:cols>
          <w:pgMar w:left="820" w:top="750" w:right="820" w:bottom="0" w:gutter="0" w:footer="0" w:header="0"/>
          <w:type w:val="continuous"/>
        </w:sectPr>
      </w:pPr>
    </w:p>
    <w:bookmarkStart w:id="106" w:name="page107"/>
    <w:bookmarkEnd w:id="106"/>
    <w:p>
      <w:pPr>
        <w:jc w:val="both"/>
        <w:spacing w:after="0" w:line="277" w:lineRule="auto"/>
        <w:rPr>
          <w:sz w:val="20"/>
          <w:szCs w:val="20"/>
          <w:color w:val="auto"/>
        </w:rPr>
      </w:pPr>
      <w:r>
        <w:rPr>
          <w:rFonts w:ascii="Times New Roman" w:cs="Times New Roman" w:eastAsia="Times New Roman" w:hAnsi="Times New Roman"/>
          <w:sz w:val="20"/>
          <w:szCs w:val="20"/>
          <w:color w:val="231F20"/>
        </w:rPr>
        <w:t>Registration Statement. The 2022 Shelf Registration Statement will remain in effect until the earlier of May 20, 2026 and the effective date of the 2025 Shelf Registration Statement.</w:t>
      </w:r>
    </w:p>
    <w:p>
      <w:pPr>
        <w:spacing w:after="0" w:line="49"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As of the date of this Form 10-K, our public float was less than $75 million. As a result, we are subject to the limitations of General Instruction I.B.6 to Form S-3 until such time as our public float exceeds $75 million, which means we only have the capacity to sell shares up to one-third of our public float under shelf registration statements in any 12-month period. We will remain constrained by the limitations of General Instruction I.B.6 to Form S-3 until such time as our public float exceeds $75 million, at which time the number of securities we may sell under a Form S-3 registration statement will no longer be limited by limitations of General Instruction I.B.6 to Form S-3.</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Funding Requirements</w:t>
      </w:r>
    </w:p>
    <w:p>
      <w:pPr>
        <w:spacing w:after="0" w:line="12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w:t>
      </w:r>
    </w:p>
    <w:p>
      <w:pPr>
        <w:spacing w:after="0" w:line="77"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88" w:lineRule="exact"/>
        <w:rPr>
          <w:sz w:val="20"/>
          <w:szCs w:val="20"/>
          <w:color w:val="auto"/>
        </w:rPr>
      </w:pPr>
    </w:p>
    <w:p>
      <w:pPr>
        <w:ind w:left="980" w:hanging="482"/>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timing, progress, costs, and results of discovery, preclinical development, and clinical trials for our current and future product candidates;</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of clinical trials required for regulatory approval of our current and future product candidates;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timing, and outcome of regulatory review of any of our current and future product candidates;</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and timing of manufacturing clinical and commercial supplies of our current and future product candidates;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future commercialization activities, including manufacturing, marketing, sales, and distribution, for any of our product candidates for which we receive marketing approval;</w:t>
      </w:r>
    </w:p>
    <w:p>
      <w:pPr>
        <w:spacing w:after="0" w:line="64"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1" w:lineRule="exact"/>
        <w:rPr>
          <w:rFonts w:ascii="Arial" w:cs="Arial" w:eastAsia="Arial" w:hAnsi="Arial"/>
          <w:sz w:val="20"/>
          <w:szCs w:val="20"/>
          <w:color w:val="231F20"/>
        </w:rPr>
      </w:pPr>
    </w:p>
    <w:p>
      <w:pPr>
        <w:jc w:val="both"/>
        <w:ind w:left="980" w:hanging="482"/>
        <w:spacing w:after="0" w:line="258"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1"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revenue, if any, received from commercial sales of our product candidates for which we receive marketing approval;</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expenses to attract, hire and retain skilled personnel;</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operating as a public company;</w:t>
      </w:r>
    </w:p>
    <w:p>
      <w:pPr>
        <w:spacing w:after="0" w:line="133"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a commercially viable pricing structure and obtain approval for coverage and adequate reimbursement from third party and government payers;</w:t>
      </w:r>
    </w:p>
    <w:p>
      <w:pPr>
        <w:spacing w:after="0" w:line="64" w:lineRule="exact"/>
        <w:rPr>
          <w:rFonts w:ascii="Arial" w:cs="Arial" w:eastAsia="Arial" w:hAnsi="Arial"/>
          <w:sz w:val="20"/>
          <w:szCs w:val="20"/>
          <w:color w:val="231F20"/>
        </w:rPr>
      </w:pPr>
    </w:p>
    <w:p>
      <w:pPr>
        <w:ind w:left="980" w:hanging="482"/>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addressing any potential interruptions, delays and/or cost increases resulting from public health crises, increased interest rates and geopolitical tensions, such as wars and terrorism;</w:t>
      </w:r>
    </w:p>
    <w:p>
      <w:pPr>
        <w:spacing w:after="0" w:line="64" w:lineRule="exact"/>
        <w:rPr>
          <w:rFonts w:ascii="Arial" w:cs="Arial" w:eastAsia="Arial" w:hAnsi="Arial"/>
          <w:sz w:val="20"/>
          <w:szCs w:val="20"/>
          <w:color w:val="231F20"/>
        </w:rPr>
      </w:pPr>
    </w:p>
    <w:p>
      <w:pPr>
        <w:ind w:left="980" w:hanging="482"/>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economic weakness, including inflation, or political instability in particular economies and markets;</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 of competing technological and market developments; and</w:t>
      </w:r>
    </w:p>
    <w:p>
      <w:pPr>
        <w:spacing w:after="0" w:line="133" w:lineRule="exact"/>
        <w:rPr>
          <w:rFonts w:ascii="Arial" w:cs="Arial" w:eastAsia="Arial" w:hAnsi="Arial"/>
          <w:sz w:val="20"/>
          <w:szCs w:val="20"/>
          <w:color w:val="231F20"/>
        </w:rPr>
      </w:pPr>
    </w:p>
    <w:p>
      <w:pPr>
        <w:ind w:left="980" w:hanging="482"/>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to which we acquire or invest in businesses, products and technologies.</w:t>
      </w:r>
    </w:p>
    <w:p>
      <w:pPr>
        <w:spacing w:after="0" w:line="119" w:lineRule="exact"/>
        <w:rPr>
          <w:sz w:val="20"/>
          <w:szCs w:val="20"/>
          <w:color w:val="auto"/>
        </w:rPr>
      </w:pPr>
    </w:p>
    <w:p>
      <w:pPr>
        <w:ind w:firstLine="403"/>
        <w:spacing w:after="0" w:line="277" w:lineRule="auto"/>
        <w:rPr>
          <w:sz w:val="20"/>
          <w:szCs w:val="20"/>
          <w:color w:val="auto"/>
        </w:rPr>
      </w:pPr>
      <w:r>
        <w:rPr>
          <w:rFonts w:ascii="Times New Roman" w:cs="Times New Roman" w:eastAsia="Times New Roman" w:hAnsi="Times New Roman"/>
          <w:sz w:val="20"/>
          <w:szCs w:val="20"/>
          <w:color w:val="231F20"/>
        </w:rPr>
        <w:t>A change in the outcome of any of these variables with respect to the development of a product candidate could mean a significant change in the costs and timing associated with the development of that product candidate.</w:t>
      </w:r>
    </w:p>
    <w:p>
      <w:pPr>
        <w:spacing w:after="0" w:line="49" w:lineRule="exact"/>
        <w:rPr>
          <w:sz w:val="20"/>
          <w:szCs w:val="20"/>
          <w:color w:val="auto"/>
        </w:rPr>
      </w:pPr>
    </w:p>
    <w:p>
      <w:pPr>
        <w:ind w:firstLine="403"/>
        <w:spacing w:after="0" w:line="277" w:lineRule="auto"/>
        <w:rPr>
          <w:sz w:val="20"/>
          <w:szCs w:val="20"/>
          <w:color w:val="auto"/>
        </w:rPr>
      </w:pPr>
      <w:r>
        <w:rPr>
          <w:rFonts w:ascii="Times New Roman" w:cs="Times New Roman" w:eastAsia="Times New Roman" w:hAnsi="Times New Roman"/>
          <w:sz w:val="20"/>
          <w:szCs w:val="20"/>
          <w:color w:val="231F20"/>
        </w:rPr>
        <w:t>Additionally, inflationary factors, such as increases in the cost of our clinical trial materials and supplies, interest rates, tariffs and overhead costs may adversely affect our operating results. Although we do not believe that inflation has had a</w:t>
      </w:r>
    </w:p>
    <w:p>
      <w:pPr>
        <w:sectPr>
          <w:pgSz w:w="11880" w:h="15480" w:orient="portrait"/>
          <w:cols w:equalWidth="0" w:num="1">
            <w:col w:w="10240"/>
          </w:cols>
          <w:pgMar w:left="820" w:top="750" w:right="820" w:bottom="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10240"/>
          </w:cols>
          <w:pgMar w:left="820" w:top="750" w:right="820" w:bottom="0" w:gutter="0" w:footer="0" w:header="0"/>
          <w:type w:val="continuous"/>
        </w:sectPr>
      </w:pPr>
    </w:p>
    <w:bookmarkStart w:id="107" w:name="page108"/>
    <w:bookmarkEnd w:id="107"/>
    <w:p>
      <w:pPr>
        <w:jc w:val="both"/>
        <w:spacing w:after="0" w:line="249" w:lineRule="auto"/>
        <w:rPr>
          <w:sz w:val="20"/>
          <w:szCs w:val="20"/>
          <w:color w:val="auto"/>
        </w:rPr>
      </w:pPr>
      <w:r>
        <w:rPr>
          <w:rFonts w:ascii="Times New Roman" w:cs="Times New Roman" w:eastAsia="Times New Roman" w:hAnsi="Times New Roman"/>
          <w:sz w:val="20"/>
          <w:szCs w:val="20"/>
          <w:color w:val="231F20"/>
        </w:rPr>
        <w:t>material impact on our financial position or results of operations to date, we may experience increases in the near future (especially if inflation rates rise) on our operating costs, including our labor costs and research and development costs, due to supply chain constraints, consequences associated with geopolitical tensions existing and any future tariffs enacted by the U.S. government and employee availability and wage increases, which may result in additional stress on our working capital resources.</w:t>
      </w:r>
    </w:p>
    <w:p>
      <w:pPr>
        <w:spacing w:after="0" w:line="77"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Since inception, we have not generated any product revenue and have incurred net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spacing w:after="0" w:line="8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spacing w:after="0" w:line="77"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including as a result of increases in inflation and interest rates, disruptions to, and volatility in, the credit and financial markets in the United States, tariffs and trade wars, and other geopolitical tensions, such as wars and terrorism and future U.S. government shutdowns.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Material Cash Requirements</w:t>
      </w:r>
    </w:p>
    <w:p>
      <w:pPr>
        <w:spacing w:after="0" w:line="12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Our material cash requirements as of December 31, 2025 included operating lease commitments, including the lease of our current headquarters office in New York, New York, laboratory and office space in Birmingham, Alabama and a manufacturing service agreement with a third party to engage in research of cell therapy products. As of December 31, 2025, we had fixed lease payment obligations of $3.3 million, with $1.5 million payable within 12 months. See Note 13, Equipment and Facility Leases, for additional information.</w:t>
      </w:r>
    </w:p>
    <w:p>
      <w:pPr>
        <w:spacing w:after="0" w:line="77"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The following table summarizes our sources and uses of cash for each of the periods below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r>
      <w:tr>
        <w:trPr>
          <w:trHeight w:val="239"/>
        </w:trPr>
        <w:tc>
          <w:tcPr>
            <w:tcW w:w="6980" w:type="dxa"/>
            <w:vAlign w:val="bottom"/>
            <w:tcBorders>
              <w:bottom w:val="single" w:sz="8" w:color="D1EBF3"/>
            </w:tcBorders>
          </w:tcPr>
          <w:p>
            <w:pPr>
              <w:spacing w:after="0"/>
              <w:rPr>
                <w:sz w:val="20"/>
                <w:szCs w:val="20"/>
                <w:color w:val="auto"/>
              </w:rPr>
            </w:pPr>
          </w:p>
        </w:tc>
        <w:tc>
          <w:tcPr>
            <w:tcW w:w="280" w:type="dxa"/>
            <w:vAlign w:val="bottom"/>
            <w:tcBorders>
              <w:top w:val="single" w:sz="8" w:color="231F20"/>
              <w:bottom w:val="single" w:sz="8" w:color="231F20"/>
            </w:tcBorders>
          </w:tcPr>
          <w:p>
            <w:pPr>
              <w:spacing w:after="0"/>
              <w:rPr>
                <w:sz w:val="20"/>
                <w:szCs w:val="20"/>
                <w:color w:val="auto"/>
              </w:rPr>
            </w:pPr>
          </w:p>
        </w:tc>
        <w:tc>
          <w:tcPr>
            <w:tcW w:w="1180" w:type="dxa"/>
            <w:vAlign w:val="bottom"/>
            <w:tcBorders>
              <w:top w:val="single" w:sz="8" w:color="231F20"/>
              <w:bottom w:val="single" w:sz="8" w:color="231F20"/>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60" w:type="dxa"/>
            <w:vAlign w:val="bottom"/>
            <w:tcBorders>
              <w:top w:val="single" w:sz="8" w:color="231F20"/>
              <w:bottom w:val="single" w:sz="8" w:color="D1EBF3"/>
            </w:tcBorders>
          </w:tcPr>
          <w:p>
            <w:pPr>
              <w:spacing w:after="0"/>
              <w:rPr>
                <w:sz w:val="20"/>
                <w:szCs w:val="20"/>
                <w:color w:val="auto"/>
              </w:rPr>
            </w:pPr>
          </w:p>
        </w:tc>
        <w:tc>
          <w:tcPr>
            <w:tcW w:w="300" w:type="dxa"/>
            <w:vAlign w:val="bottom"/>
            <w:tcBorders>
              <w:top w:val="single" w:sz="8" w:color="231F20"/>
              <w:bottom w:val="single" w:sz="8" w:color="231F20"/>
            </w:tcBorders>
          </w:tcPr>
          <w:p>
            <w:pPr>
              <w:spacing w:after="0"/>
              <w:rPr>
                <w:sz w:val="20"/>
                <w:szCs w:val="20"/>
                <w:color w:val="auto"/>
              </w:rPr>
            </w:pPr>
          </w:p>
        </w:tc>
        <w:tc>
          <w:tcPr>
            <w:tcW w:w="1140" w:type="dxa"/>
            <w:vAlign w:val="bottom"/>
            <w:tcBorders>
              <w:top w:val="single" w:sz="8" w:color="231F20"/>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00" w:type="dxa"/>
            <w:vAlign w:val="bottom"/>
            <w:tcBorders>
              <w:bottom w:val="single" w:sz="8" w:color="D1EBF3"/>
            </w:tcBorders>
          </w:tcPr>
          <w:p>
            <w:pPr>
              <w:spacing w:after="0"/>
              <w:rPr>
                <w:sz w:val="20"/>
                <w:szCs w:val="20"/>
                <w:color w:val="auto"/>
              </w:rPr>
            </w:pPr>
          </w:p>
        </w:tc>
      </w:tr>
      <w:tr>
        <w:trPr>
          <w:trHeight w:val="239"/>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cash used in operating activities</w:t>
            </w:r>
          </w:p>
        </w:tc>
        <w:tc>
          <w:tcPr>
            <w:tcW w:w="2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(12,712)</w:t>
            </w:r>
          </w:p>
        </w:tc>
        <w:tc>
          <w:tcPr>
            <w:tcW w:w="260" w:type="dxa"/>
            <w:vAlign w:val="bottom"/>
            <w:shd w:val="clear" w:color="auto" w:fill="D1EBF3"/>
          </w:tcPr>
          <w:p>
            <w:pPr>
              <w:spacing w:after="0"/>
              <w:rPr>
                <w:sz w:val="20"/>
                <w:szCs w:val="20"/>
                <w:color w:val="auto"/>
              </w:rPr>
            </w:pPr>
          </w:p>
        </w:tc>
        <w:tc>
          <w:tcPr>
            <w:tcW w:w="300" w:type="dxa"/>
            <w:vAlign w:val="bottom"/>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(24,149)</w:t>
            </w:r>
          </w:p>
        </w:tc>
        <w:tc>
          <w:tcPr>
            <w:tcW w:w="100" w:type="dxa"/>
            <w:vAlign w:val="bottom"/>
            <w:shd w:val="clear" w:color="auto" w:fill="D1EBF3"/>
          </w:tcPr>
          <w:p>
            <w:pPr>
              <w:spacing w:after="0"/>
              <w:rPr>
                <w:sz w:val="20"/>
                <w:szCs w:val="20"/>
                <w:color w:val="auto"/>
              </w:rPr>
            </w:pPr>
          </w:p>
        </w:tc>
      </w:tr>
      <w:tr>
        <w:trPr>
          <w:trHeight w:val="244"/>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Net cash used in investing activities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w:t>
            </w:r>
          </w:p>
        </w:tc>
        <w:tc>
          <w:tcPr>
            <w:tcW w:w="100" w:type="dxa"/>
            <w:vAlign w:val="bottom"/>
          </w:tcPr>
          <w:p>
            <w:pPr>
              <w:spacing w:after="0"/>
              <w:rPr>
                <w:sz w:val="21"/>
                <w:szCs w:val="21"/>
                <w:color w:val="auto"/>
              </w:rPr>
            </w:pPr>
          </w:p>
        </w:tc>
      </w:tr>
      <w:tr>
        <w:trPr>
          <w:trHeight w:val="244"/>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cash provided by financing activities</w:t>
            </w:r>
          </w:p>
        </w:tc>
        <w:tc>
          <w:tcPr>
            <w:tcW w:w="280" w:type="dxa"/>
            <w:vAlign w:val="bottom"/>
            <w:tcBorders>
              <w:bottom w:val="single" w:sz="8" w:color="231F20"/>
            </w:tcBorders>
            <w:shd w:val="clear" w:color="auto" w:fill="D1EBF3"/>
          </w:tcPr>
          <w:p>
            <w:pPr>
              <w:spacing w:after="0"/>
              <w:rPr>
                <w:sz w:val="21"/>
                <w:szCs w:val="21"/>
                <w:color w:val="auto"/>
              </w:rPr>
            </w:pPr>
          </w:p>
        </w:tc>
        <w:tc>
          <w:tcPr>
            <w:tcW w:w="11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28,638</w:t>
            </w:r>
          </w:p>
        </w:tc>
        <w:tc>
          <w:tcPr>
            <w:tcW w:w="260" w:type="dxa"/>
            <w:vAlign w:val="bottom"/>
            <w:shd w:val="clear" w:color="auto" w:fill="D1EBF3"/>
          </w:tcPr>
          <w:p>
            <w:pPr>
              <w:spacing w:after="0"/>
              <w:rPr>
                <w:sz w:val="21"/>
                <w:szCs w:val="21"/>
                <w:color w:val="auto"/>
              </w:rPr>
            </w:pPr>
          </w:p>
        </w:tc>
        <w:tc>
          <w:tcPr>
            <w:tcW w:w="300" w:type="dxa"/>
            <w:vAlign w:val="bottom"/>
            <w:tcBorders>
              <w:bottom w:val="single" w:sz="8" w:color="231F20"/>
            </w:tcBorders>
            <w:shd w:val="clear" w:color="auto" w:fill="D1EBF3"/>
          </w:tcPr>
          <w:p>
            <w:pPr>
              <w:spacing w:after="0"/>
              <w:rPr>
                <w:sz w:val="21"/>
                <w:szCs w:val="21"/>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14,184</w:t>
            </w:r>
          </w:p>
        </w:tc>
        <w:tc>
          <w:tcPr>
            <w:tcW w:w="100" w:type="dxa"/>
            <w:vAlign w:val="bottom"/>
            <w:shd w:val="clear" w:color="auto" w:fill="D1EBF3"/>
          </w:tcPr>
          <w:p>
            <w:pPr>
              <w:spacing w:after="0"/>
              <w:rPr>
                <w:sz w:val="21"/>
                <w:szCs w:val="21"/>
                <w:color w:val="auto"/>
              </w:rPr>
            </w:pP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Net increase (decrease) in cash</w:t>
            </w: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15,926</w:t>
            </w:r>
          </w:p>
        </w:tc>
        <w:tc>
          <w:tcPr>
            <w:tcW w:w="260" w:type="dxa"/>
            <w:vAlign w:val="bottom"/>
          </w:tcPr>
          <w:p>
            <w:pPr>
              <w:spacing w:after="0"/>
              <w:rPr>
                <w:sz w:val="20"/>
                <w:szCs w:val="20"/>
                <w:color w:val="auto"/>
              </w:rPr>
            </w:pPr>
          </w:p>
        </w:tc>
        <w:tc>
          <w:tcPr>
            <w:tcW w:w="30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(10,152)</w:t>
            </w:r>
          </w:p>
        </w:tc>
        <w:tc>
          <w:tcPr>
            <w:tcW w:w="100" w:type="dxa"/>
            <w:vAlign w:val="bottom"/>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Operating Activities</w:t>
      </w:r>
    </w:p>
    <w:p>
      <w:pPr>
        <w:spacing w:after="0" w:line="11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Cash used in operating activities was $12.7 million during the year ended December 31, 2025, primarily due to our net loss of $19.4 million, partially offset by our non-cash charges of $ 5.7 million. Non-cash charges consisted primarily of $3.2 million in stock-based compensation for the year, $1.5 million in amortization of operating and financing leases, and $1.0 million in depreciation expense.</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10240"/>
          </w:cols>
          <w:pgMar w:left="820" w:top="750" w:right="820" w:bottom="0" w:gutter="0" w:footer="0" w:header="0"/>
          <w:type w:val="continuous"/>
        </w:sectPr>
      </w:pPr>
    </w:p>
    <w:bookmarkStart w:id="108" w:name="page109"/>
    <w:bookmarkEnd w:id="108"/>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Cash used in operating activities was $24.1 million during the year ended December 31, 2024, primarily due to our net loss of $30.4 million, partially offset by our non-cash charges of $7.7 million. Non-cash charges consisted primarily of $5.0 million in stock-based compensation due to increased employee headcount resulting from growth in our business, $1.7 million in amortization of operating and financing leases, and $1.0 million in depreciation expense. The non-cash charges were offset by a decrease of $1.4 million in changes in operating assets and liabilities.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Investing Activities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Cash used in investing activities was nil during the year ended December 31, 2025.</w:t>
      </w:r>
    </w:p>
    <w:p>
      <w:pPr>
        <w:spacing w:after="0" w:line="12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Cash used in investing activities was $0.2 million during the year ended December 31, 2024, primarily due to purchases of property and equipment and construction in progress activity in relation to leasehold improvements to the leased space located in Alabama.</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231F20"/>
        </w:rPr>
        <w:t>Financing Activities</w:t>
      </w:r>
    </w:p>
    <w:p>
      <w:pPr>
        <w:spacing w:after="0" w:line="113"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Cash provided by financing activities was $28.6 million during the year ended December 31, 2025, primarily due to $18.5 million in net proceeds received from the 2025 Private Placement, $8.6 million in net proceeds received from our ATM program, and $2.3 million in proceeds received from the exercise of warrants, partially offset by $0.7 million in principal payments on finance leases.</w:t>
      </w:r>
    </w:p>
    <w:p>
      <w:pPr>
        <w:spacing w:after="0" w:line="75"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20"/>
          <w:szCs w:val="20"/>
          <w:color w:val="231F20"/>
        </w:rPr>
        <w:t>Cash provided by financing activities was $14.2 million during the year ended December 31, 2024, primarily due to $11.2 million in proceeds received from the 2024 Private Placement and $3.8 million in proceeds received from our ATM program, partially offset by $0.8 million in principal payments of finance leases.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Estimates</w:t>
      </w:r>
    </w:p>
    <w:p>
      <w:pPr>
        <w:spacing w:after="0" w:line="119" w:lineRule="exact"/>
        <w:rPr>
          <w:sz w:val="20"/>
          <w:szCs w:val="20"/>
          <w:color w:val="auto"/>
        </w:rPr>
      </w:pPr>
    </w:p>
    <w:p>
      <w:pPr>
        <w:jc w:val="both"/>
        <w:ind w:firstLine="403"/>
        <w:spacing w:after="0"/>
        <w:rPr>
          <w:sz w:val="20"/>
          <w:szCs w:val="20"/>
          <w:color w:val="auto"/>
        </w:rPr>
      </w:pPr>
      <w:r>
        <w:rPr>
          <w:rFonts w:ascii="Times New Roman" w:cs="Times New Roman" w:eastAsia="Times New Roman" w:hAnsi="Times New Roman"/>
          <w:sz w:val="20"/>
          <w:szCs w:val="20"/>
          <w:color w:val="231F20"/>
        </w:rPr>
        <w:t>This Management’s Discussion and Analysis of Financial Condition and Results of Operations is based on our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w:t>
      </w:r>
    </w:p>
    <w:p>
      <w:pPr>
        <w:spacing w:after="0" w:line="8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20"/>
          <w:szCs w:val="20"/>
          <w:color w:val="231F20"/>
        </w:rPr>
        <w:t>We have listed below our critical accounting policies that we believe to have the greatest potential impact on our financial statements. Historically, our assumptions, judgments and estimates relative to our critical accounting estimates have not differed materially from actual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w:t>
      </w:r>
    </w:p>
    <w:p>
      <w:pPr>
        <w:spacing w:after="0" w:line="119" w:lineRule="exact"/>
        <w:rPr>
          <w:sz w:val="20"/>
          <w:szCs w:val="20"/>
          <w:color w:val="auto"/>
        </w:rPr>
      </w:pPr>
    </w:p>
    <w:p>
      <w:pPr>
        <w:jc w:val="both"/>
        <w:ind w:firstLine="403"/>
        <w:spacing w:after="0" w:line="241" w:lineRule="auto"/>
        <w:rPr>
          <w:sz w:val="20"/>
          <w:szCs w:val="20"/>
          <w:color w:val="auto"/>
        </w:rPr>
      </w:pPr>
      <w:r>
        <w:rPr>
          <w:rFonts w:ascii="Times New Roman" w:cs="Times New Roman" w:eastAsia="Times New Roman" w:hAnsi="Times New Roman"/>
          <w:sz w:val="20"/>
          <w:szCs w:val="20"/>
          <w:color w:val="231F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financial statements located elsewhere in this Annual Report on Form 10-K. We have listed below our critical accounting estimates and accounting policies that we believe to have the greatest potential impact on our financial statements. Historically, our assumptions, judgments and estimates relative to our critical accounting estimates have not differed materially from actual results.</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Costs</w:t>
      </w:r>
    </w:p>
    <w:p>
      <w:pPr>
        <w:spacing w:after="0" w:line="115"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spacing w:after="0" w:line="81"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As part of the process of preparing our financial statements, we are required to estimate our accrued research and development expenses. We make estimates of our accrued expenses as of each balance sheet date in the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w:t>
      </w:r>
    </w:p>
    <w:p>
      <w:pPr>
        <w:sectPr>
          <w:pgSz w:w="11880" w:h="15480" w:orient="portrait"/>
          <w:cols w:equalWidth="0" w:num="1">
            <w:col w:w="10240"/>
          </w:cols>
          <w:pgMar w:left="820" w:top="750" w:right="820" w:bottom="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10240"/>
          </w:cols>
          <w:pgMar w:left="820" w:top="750" w:right="820" w:bottom="0" w:gutter="0" w:footer="0" w:header="0"/>
          <w:type w:val="continuous"/>
        </w:sectPr>
      </w:pPr>
    </w:p>
    <w:bookmarkStart w:id="109" w:name="page110"/>
    <w:bookmarkEnd w:id="109"/>
    <w:p>
      <w:pPr>
        <w:jc w:val="both"/>
        <w:spacing w:after="0" w:line="244" w:lineRule="auto"/>
        <w:rPr>
          <w:sz w:val="20"/>
          <w:szCs w:val="20"/>
          <w:color w:val="auto"/>
        </w:rPr>
      </w:pPr>
      <w:r>
        <w:rPr>
          <w:rFonts w:ascii="Times New Roman" w:cs="Times New Roman" w:eastAsia="Times New Roman" w:hAnsi="Times New Roman"/>
          <w:sz w:val="20"/>
          <w:szCs w:val="20"/>
          <w:color w:val="231F20"/>
        </w:rPr>
        <w:t>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115" w:lineRule="exact"/>
        <w:rPr>
          <w:sz w:val="20"/>
          <w:szCs w:val="20"/>
          <w:color w:val="auto"/>
        </w:rPr>
      </w:pPr>
    </w:p>
    <w:p>
      <w:pPr>
        <w:jc w:val="both"/>
        <w:ind w:firstLine="403"/>
        <w:spacing w:after="0" w:line="237" w:lineRule="auto"/>
        <w:rPr>
          <w:sz w:val="20"/>
          <w:szCs w:val="20"/>
          <w:color w:val="auto"/>
        </w:rPr>
      </w:pPr>
      <w:r>
        <w:rPr>
          <w:rFonts w:ascii="Times New Roman" w:cs="Times New Roman" w:eastAsia="Times New Roman" w:hAnsi="Times New Roman"/>
          <w:sz w:val="20"/>
          <w:szCs w:val="20"/>
          <w:color w:val="231F20"/>
        </w:rPr>
        <w:t>We measure all stock-based awards granted to employees, nonemployees and directors based on the fair value on the date of the grant and recognize compensation expense for those awards over the requisite service period, which is generally the vesting period of the respective award. We account for our stock-based compensation as an expense in the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 (b) 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119"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In December 2023, the Financial Accounting Standards Board ("FASB") issued Accounting Standards Update ("ASU") 2023-09, Income Taxes (Topic 740): Improvements to Income Tax Disclosures, which expands the disclosures required for income taxes. This ASU is effective for fiscal years beginning after December 15, 2024, with early adoption permitted. We adopted the standard effective January 1, 2025 on a retrospective basis. See Note 10, Income Taxes, for further disclosure.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Emerging Growth Company and Smaller Reporting Company Status</w:t>
      </w:r>
    </w:p>
    <w:p>
      <w:pPr>
        <w:spacing w:after="0" w:line="119"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We qualify as an emerging growth company ("EGC") as defined in the Jumpstart Our Business Startups Act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78"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spacing w:after="0" w:line="81" w:lineRule="exact"/>
        <w:rPr>
          <w:sz w:val="20"/>
          <w:szCs w:val="20"/>
          <w:color w:val="auto"/>
        </w:rPr>
      </w:pPr>
    </w:p>
    <w:p>
      <w:pPr>
        <w:jc w:val="both"/>
        <w:ind w:firstLine="403"/>
        <w:spacing w:after="0"/>
        <w:rPr>
          <w:sz w:val="20"/>
          <w:szCs w:val="20"/>
          <w:color w:val="auto"/>
        </w:rPr>
      </w:pPr>
      <w:r>
        <w:rPr>
          <w:rFonts w:ascii="Times New Roman" w:cs="Times New Roman" w:eastAsia="Times New Roman" w:hAnsi="Times New Roman"/>
          <w:sz w:val="20"/>
          <w:szCs w:val="20"/>
          <w:color w:val="231F20"/>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w:t>
      </w:r>
    </w:p>
    <w:p>
      <w:pPr>
        <w:spacing w:after="0" w:line="83"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We are also a "smaller reporting company," and we may continue to be a smaller reporting company until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10240"/>
          </w:cols>
          <w:pgMar w:left="820" w:top="746" w:right="820" w:bottom="0" w:gutter="0" w:footer="0" w:header="0"/>
          <w:type w:val="continuous"/>
        </w:sectPr>
      </w:pPr>
    </w:p>
    <w:bookmarkStart w:id="110" w:name="page111"/>
    <w:bookmarkEnd w:id="110"/>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24"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We are a smaller reporting company as defined by Item 10 of Regulation S-K and are not required to provide the information otherwise required under this item.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124" w:lineRule="exact"/>
        <w:rPr>
          <w:sz w:val="20"/>
          <w:szCs w:val="20"/>
          <w:color w:val="auto"/>
        </w:rPr>
      </w:pPr>
    </w:p>
    <w:p>
      <w:pPr>
        <w:jc w:val="both"/>
        <w:ind w:firstLine="403"/>
        <w:spacing w:after="0" w:line="321" w:lineRule="auto"/>
        <w:rPr>
          <w:sz w:val="20"/>
          <w:szCs w:val="20"/>
          <w:color w:val="auto"/>
        </w:rPr>
      </w:pPr>
      <w:r>
        <w:rPr>
          <w:rFonts w:ascii="Times New Roman" w:cs="Times New Roman" w:eastAsia="Times New Roman" w:hAnsi="Times New Roman"/>
          <w:sz w:val="20"/>
          <w:szCs w:val="20"/>
          <w:color w:val="231F20"/>
        </w:rPr>
        <w:t>Our financial statements required by this item, together with the report of our independent registered public accounting firm, appear beginning on page 107 of this Annual Report on Form 10-K.</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10240"/>
          </w:cols>
          <w:pgMar w:left="820" w:top="746" w:right="820" w:bottom="0" w:gutter="0" w:footer="0" w:header="0"/>
          <w:type w:val="continuous"/>
        </w:sectPr>
      </w:pPr>
    </w:p>
    <w:bookmarkStart w:id="111" w:name="page112"/>
    <w:bookmarkEnd w:id="111"/>
    <w:p>
      <w:pPr>
        <w:jc w:val="center"/>
        <w:ind w:left="1040"/>
        <w:spacing w:after="0"/>
        <w:rPr>
          <w:sz w:val="20"/>
          <w:szCs w:val="20"/>
          <w:color w:val="auto"/>
        </w:rPr>
      </w:pPr>
      <w:r>
        <w:rPr>
          <w:rFonts w:ascii="Times New Roman" w:cs="Times New Roman" w:eastAsia="Times New Roman" w:hAnsi="Times New Roman"/>
          <w:sz w:val="20"/>
          <w:szCs w:val="20"/>
          <w:b w:val="1"/>
          <w:bCs w:val="1"/>
          <w:color w:val="231F20"/>
        </w:rPr>
        <w:t>INDEX TO FINANCIAL STATEMENTS</w:t>
      </w:r>
    </w:p>
    <w:p>
      <w:pPr>
        <w:spacing w:after="0" w:line="2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Report of Independent Registered Public Accounting Firm (CohnReznick LLP New York, New York, PCAOB ID 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492240" cy="1079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6492240" cy="10795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231F20"/>
        </w:rPr>
        <w:t>Balance Sheets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Statements of Operations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Statements of Changes in Stockholders’ Equity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Statements of Cash Flows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Notes to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107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108</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109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110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111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113</w:t>
      </w:r>
    </w:p>
    <w:p>
      <w:pPr>
        <w:spacing w:after="0" w:line="200" w:lineRule="exact"/>
        <w:rPr>
          <w:sz w:val="20"/>
          <w:szCs w:val="20"/>
          <w:color w:val="auto"/>
        </w:rPr>
      </w:pPr>
    </w:p>
    <w:p>
      <w:pPr>
        <w:sectPr>
          <w:pgSz w:w="11880" w:h="15480" w:orient="portrait"/>
          <w:cols w:equalWidth="0" w:num="2">
            <w:col w:w="9200" w:space="720"/>
            <w:col w:w="300"/>
          </w:cols>
          <w:pgMar w:left="820" w:top="74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10220"/>
          </w:cols>
          <w:pgMar w:left="820" w:top="746" w:right="840" w:bottom="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Board of Directors and Stockholders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IN8bio,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Opinion on the Financial Statements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have audited the accompanying balance sheets of IN8bio, Inc. (the “Company”) as of December 31, 2025 and 2024, and the related statements of operations,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The Company's Ability to Continue as a Going Concern</w:t>
      </w:r>
    </w:p>
    <w:p>
      <w:pPr>
        <w:spacing w:after="0" w:line="2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accompanying financial statements have been prepared assuming that the Company will continue as a going concern. As discussed in Note 1 to the financial statements, the Company has incurred recurring losses from operations since inception and has stated that substantial doubt exists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Basis for Opinion</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from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CohnReznick LLP</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2017</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12, 2026</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107</w:t>
      </w:r>
    </w:p>
    <w:p>
      <w:pPr>
        <w:sectPr>
          <w:pgSz w:w="11880" w:h="15480" w:orient="portrait"/>
          <w:cols w:equalWidth="0" w:num="1">
            <w:col w:w="10240"/>
          </w:cols>
          <w:pgMar w:left="820" w:top="746" w:right="820"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231F20"/>
        </w:rPr>
        <w:t>IN8BIO,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Balance Sheets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D1EBF3"/>
            </w:tcBorders>
          </w:tcPr>
          <w:p>
            <w:pPr>
              <w:spacing w:after="0"/>
              <w:rPr>
                <w:sz w:val="17"/>
                <w:szCs w:val="17"/>
                <w:color w:val="auto"/>
              </w:rPr>
            </w:pPr>
          </w:p>
        </w:tc>
        <w:tc>
          <w:tcPr>
            <w:tcW w:w="24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bottom w:val="single" w:sz="8" w:color="D1EBF3"/>
            </w:tcBorders>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D1EBF3"/>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240" w:type="dxa"/>
            <w:vAlign w:val="bottom"/>
            <w:shd w:val="clear" w:color="auto" w:fill="D1EBF3"/>
          </w:tcPr>
          <w:p>
            <w:pPr>
              <w:spacing w:after="0"/>
              <w:rPr>
                <w:sz w:val="20"/>
                <w:szCs w:val="20"/>
                <w:color w:val="auto"/>
              </w:rPr>
            </w:pPr>
          </w:p>
        </w:tc>
        <w:tc>
          <w:tcPr>
            <w:tcW w:w="180" w:type="dxa"/>
            <w:vAlign w:val="bottom"/>
            <w:shd w:val="clear" w:color="auto" w:fill="D1EBF3"/>
          </w:tcPr>
          <w:p>
            <w:pPr>
              <w:spacing w:after="0"/>
              <w:rPr>
                <w:sz w:val="20"/>
                <w:szCs w:val="20"/>
                <w:color w:val="auto"/>
              </w:rPr>
            </w:pPr>
          </w:p>
        </w:tc>
        <w:tc>
          <w:tcPr>
            <w:tcW w:w="128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28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Current assets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Cash</w:t>
            </w:r>
          </w:p>
        </w:tc>
        <w:tc>
          <w:tcPr>
            <w:tcW w:w="4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27,092</w:t>
            </w:r>
          </w:p>
        </w:tc>
        <w:tc>
          <w:tcPr>
            <w:tcW w:w="160" w:type="dxa"/>
            <w:vAlign w:val="bottom"/>
            <w:shd w:val="clear" w:color="auto" w:fill="D1EBF3"/>
          </w:tcPr>
          <w:p>
            <w:pPr>
              <w:spacing w:after="0"/>
              <w:rPr>
                <w:sz w:val="21"/>
                <w:szCs w:val="21"/>
                <w:color w:val="auto"/>
              </w:rPr>
            </w:pPr>
          </w:p>
        </w:tc>
        <w:tc>
          <w:tcPr>
            <w:tcW w:w="26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11,120</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Prepaid expenses and other current assets</w:t>
            </w:r>
          </w:p>
        </w:tc>
        <w:tc>
          <w:tcPr>
            <w:tcW w:w="240" w:type="dxa"/>
            <w:vAlign w:val="bottom"/>
            <w:tcBorders>
              <w:bottom w:val="single" w:sz="8" w:color="D1EBF3"/>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788</w:t>
            </w:r>
          </w:p>
        </w:tc>
        <w:tc>
          <w:tcPr>
            <w:tcW w:w="16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1,458</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Current Assets</w:t>
            </w:r>
          </w:p>
        </w:tc>
        <w:tc>
          <w:tcPr>
            <w:tcW w:w="240" w:type="dxa"/>
            <w:vAlign w:val="bottom"/>
            <w:shd w:val="clear" w:color="auto" w:fill="D1EBF3"/>
          </w:tcPr>
          <w:p>
            <w:pPr>
              <w:spacing w:after="0"/>
              <w:rPr>
                <w:sz w:val="20"/>
                <w:szCs w:val="20"/>
                <w:color w:val="auto"/>
              </w:rPr>
            </w:pPr>
          </w:p>
        </w:tc>
        <w:tc>
          <w:tcPr>
            <w:tcW w:w="180" w:type="dxa"/>
            <w:vAlign w:val="bottom"/>
            <w:tcBorders>
              <w:bottom w:val="single" w:sz="8" w:color="231F20"/>
            </w:tcBorders>
            <w:shd w:val="clear" w:color="auto" w:fill="D1EBF3"/>
          </w:tcPr>
          <w:p>
            <w:pPr>
              <w:spacing w:after="0"/>
              <w:rPr>
                <w:sz w:val="20"/>
                <w:szCs w:val="20"/>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27,880</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160" w:type="dxa"/>
            <w:vAlign w:val="bottom"/>
            <w:tcBorders>
              <w:bottom w:val="single" w:sz="8" w:color="231F20"/>
            </w:tcBorders>
            <w:shd w:val="clear" w:color="auto" w:fill="D1EBF3"/>
          </w:tcPr>
          <w:p>
            <w:pPr>
              <w:spacing w:after="0"/>
              <w:rPr>
                <w:sz w:val="20"/>
                <w:szCs w:val="20"/>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12,578</w:t>
            </w: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Non-current assets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24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1,858</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2,858</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Restricted cash</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Right-of-use assets - finance leases</w:t>
            </w:r>
          </w:p>
        </w:tc>
        <w:tc>
          <w:tcPr>
            <w:tcW w:w="24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296</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1,068</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Right-of-use assets - operating leases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1,882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 non-current assets</w:t>
            </w:r>
          </w:p>
        </w:tc>
        <w:tc>
          <w:tcPr>
            <w:tcW w:w="240" w:type="dxa"/>
            <w:vAlign w:val="bottom"/>
            <w:shd w:val="clear" w:color="auto" w:fill="D1EBF3"/>
          </w:tcPr>
          <w:p>
            <w:pPr>
              <w:spacing w:after="0"/>
              <w:rPr>
                <w:sz w:val="21"/>
                <w:szCs w:val="21"/>
                <w:color w:val="auto"/>
              </w:rPr>
            </w:pPr>
          </w:p>
        </w:tc>
        <w:tc>
          <w:tcPr>
            <w:tcW w:w="180" w:type="dxa"/>
            <w:vAlign w:val="bottom"/>
            <w:tcBorders>
              <w:bottom w:val="single" w:sz="8" w:color="231F20"/>
            </w:tcBorders>
            <w:shd w:val="clear" w:color="auto" w:fill="D1EBF3"/>
          </w:tcPr>
          <w:p>
            <w:pPr>
              <w:spacing w:after="0"/>
              <w:rPr>
                <w:sz w:val="21"/>
                <w:szCs w:val="21"/>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60" w:type="dxa"/>
            <w:vAlign w:val="bottom"/>
            <w:tcBorders>
              <w:bottom w:val="single" w:sz="8" w:color="231F20"/>
            </w:tcBorders>
            <w:shd w:val="clear" w:color="auto" w:fill="D1EBF3"/>
          </w:tcPr>
          <w:p>
            <w:pPr>
              <w:spacing w:after="0"/>
              <w:rPr>
                <w:sz w:val="21"/>
                <w:szCs w:val="21"/>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275</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4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Non-Current Assets</w:t>
            </w:r>
          </w:p>
        </w:tc>
        <w:tc>
          <w:tcPr>
            <w:tcW w:w="240" w:type="dxa"/>
            <w:vAlign w:val="bottom"/>
            <w:tcBorders>
              <w:bottom w:val="single" w:sz="8" w:color="D1EBF3"/>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4,402</w:t>
            </w:r>
          </w:p>
        </w:tc>
        <w:tc>
          <w:tcPr>
            <w:tcW w:w="16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8,366</w:t>
            </w:r>
          </w:p>
        </w:tc>
        <w:tc>
          <w:tcPr>
            <w:tcW w:w="100" w:type="dxa"/>
            <w:vAlign w:val="bottom"/>
            <w:tcBorders>
              <w:bottom w:val="single" w:sz="8" w:color="D1EBF3"/>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74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Assets</w:t>
            </w:r>
          </w:p>
        </w:tc>
        <w:tc>
          <w:tcPr>
            <w:tcW w:w="240" w:type="dxa"/>
            <w:vAlign w:val="bottom"/>
            <w:tcBorders>
              <w:bottom w:val="single" w:sz="8" w:color="D1EBF3"/>
            </w:tcBorders>
            <w:shd w:val="clear" w:color="auto" w:fill="D1EBF3"/>
          </w:tcPr>
          <w:p>
            <w:pPr>
              <w:spacing w:after="0"/>
              <w:rPr>
                <w:sz w:val="22"/>
                <w:szCs w:val="22"/>
                <w:color w:val="auto"/>
              </w:rPr>
            </w:pPr>
          </w:p>
        </w:tc>
        <w:tc>
          <w:tcPr>
            <w:tcW w:w="1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32,282</w:t>
            </w:r>
          </w:p>
        </w:tc>
        <w:tc>
          <w:tcPr>
            <w:tcW w:w="16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D1EBF3"/>
            </w:tcBorders>
            <w:shd w:val="clear" w:color="auto" w:fill="D1EBF3"/>
          </w:tcPr>
          <w:p>
            <w:pPr>
              <w:spacing w:after="0"/>
              <w:rPr>
                <w:sz w:val="22"/>
                <w:szCs w:val="22"/>
                <w:color w:val="auto"/>
              </w:rPr>
            </w:pPr>
          </w:p>
        </w:tc>
        <w:tc>
          <w:tcPr>
            <w:tcW w:w="1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20,944</w:t>
            </w:r>
          </w:p>
        </w:tc>
        <w:tc>
          <w:tcPr>
            <w:tcW w:w="10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 and Stockholders' Equity</w:t>
            </w: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24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28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Current liabilities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Accounts payable</w:t>
            </w:r>
          </w:p>
        </w:tc>
        <w:tc>
          <w:tcPr>
            <w:tcW w:w="4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309</w:t>
            </w:r>
          </w:p>
        </w:tc>
        <w:tc>
          <w:tcPr>
            <w:tcW w:w="160" w:type="dxa"/>
            <w:vAlign w:val="bottom"/>
            <w:shd w:val="clear" w:color="auto" w:fill="D1EBF3"/>
          </w:tcPr>
          <w:p>
            <w:pPr>
              <w:spacing w:after="0"/>
              <w:rPr>
                <w:sz w:val="21"/>
                <w:szCs w:val="21"/>
                <w:color w:val="auto"/>
              </w:rPr>
            </w:pPr>
          </w:p>
        </w:tc>
        <w:tc>
          <w:tcPr>
            <w:tcW w:w="26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389</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Accrued expenses and other current liabilities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Short-term finance lease liability</w:t>
            </w:r>
          </w:p>
        </w:tc>
        <w:tc>
          <w:tcPr>
            <w:tcW w:w="24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295</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694</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Short-term operating lease liability</w:t>
            </w:r>
          </w:p>
        </w:tc>
        <w:tc>
          <w:tcPr>
            <w:tcW w:w="240" w:type="dxa"/>
            <w:vAlign w:val="bottom"/>
            <w:tcBorders>
              <w:bottom w:val="single" w:sz="8" w:color="D1EBF3"/>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924</w:t>
            </w:r>
          </w:p>
        </w:tc>
        <w:tc>
          <w:tcPr>
            <w:tcW w:w="16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953</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74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Current Liabilities</w:t>
            </w:r>
          </w:p>
        </w:tc>
        <w:tc>
          <w:tcPr>
            <w:tcW w:w="240" w:type="dxa"/>
            <w:vAlign w:val="bottom"/>
            <w:tcBorders>
              <w:bottom w:val="single" w:sz="8" w:color="D1EBF3"/>
            </w:tcBorders>
            <w:shd w:val="clear" w:color="auto" w:fill="D1EBF3"/>
          </w:tcPr>
          <w:p>
            <w:pPr>
              <w:spacing w:after="0"/>
              <w:rPr>
                <w:sz w:val="22"/>
                <w:szCs w:val="22"/>
                <w:color w:val="auto"/>
              </w:rPr>
            </w:pPr>
          </w:p>
        </w:tc>
        <w:tc>
          <w:tcPr>
            <w:tcW w:w="180" w:type="dxa"/>
            <w:vAlign w:val="bottom"/>
            <w:tcBorders>
              <w:bottom w:val="single" w:sz="8" w:color="231F20"/>
            </w:tcBorders>
            <w:shd w:val="clear" w:color="auto" w:fill="D1EBF3"/>
          </w:tcPr>
          <w:p>
            <w:pPr>
              <w:spacing w:after="0"/>
              <w:rPr>
                <w:sz w:val="22"/>
                <w:szCs w:val="22"/>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3,161</w:t>
            </w:r>
          </w:p>
        </w:tc>
        <w:tc>
          <w:tcPr>
            <w:tcW w:w="16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D1EBF3"/>
            </w:tcBorders>
            <w:shd w:val="clear" w:color="auto" w:fill="D1EBF3"/>
          </w:tcPr>
          <w:p>
            <w:pPr>
              <w:spacing w:after="0"/>
              <w:rPr>
                <w:sz w:val="22"/>
                <w:szCs w:val="22"/>
                <w:color w:val="auto"/>
              </w:rPr>
            </w:pPr>
          </w:p>
        </w:tc>
        <w:tc>
          <w:tcPr>
            <w:tcW w:w="160" w:type="dxa"/>
            <w:vAlign w:val="bottom"/>
            <w:tcBorders>
              <w:bottom w:val="single" w:sz="8" w:color="231F20"/>
            </w:tcBorders>
            <w:shd w:val="clear" w:color="auto" w:fill="D1EBF3"/>
          </w:tcPr>
          <w:p>
            <w:pPr>
              <w:spacing w:after="0"/>
              <w:rPr>
                <w:sz w:val="22"/>
                <w:szCs w:val="22"/>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3,083</w:t>
            </w:r>
          </w:p>
        </w:tc>
        <w:tc>
          <w:tcPr>
            <w:tcW w:w="10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231F20"/>
              </w:rPr>
              <w:t>Long-term finance lease liability</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Long-term operating lease liability</w:t>
            </w:r>
          </w:p>
        </w:tc>
        <w:tc>
          <w:tcPr>
            <w:tcW w:w="240" w:type="dxa"/>
            <w:vAlign w:val="bottom"/>
            <w:tcBorders>
              <w:bottom w:val="single" w:sz="8" w:color="D1EBF3"/>
            </w:tcBorders>
            <w:shd w:val="clear" w:color="auto" w:fill="D1EBF3"/>
          </w:tcPr>
          <w:p>
            <w:pPr>
              <w:spacing w:after="0"/>
              <w:rPr>
                <w:sz w:val="22"/>
                <w:szCs w:val="22"/>
                <w:color w:val="auto"/>
              </w:rPr>
            </w:pPr>
          </w:p>
        </w:tc>
        <w:tc>
          <w:tcPr>
            <w:tcW w:w="180" w:type="dxa"/>
            <w:vAlign w:val="bottom"/>
            <w:tcBorders>
              <w:bottom w:val="single" w:sz="8" w:color="231F20"/>
            </w:tcBorders>
            <w:shd w:val="clear" w:color="auto" w:fill="D1EBF3"/>
          </w:tcPr>
          <w:p>
            <w:pPr>
              <w:spacing w:after="0"/>
              <w:rPr>
                <w:sz w:val="22"/>
                <w:szCs w:val="22"/>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1,563</w:t>
            </w:r>
          </w:p>
        </w:tc>
        <w:tc>
          <w:tcPr>
            <w:tcW w:w="16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D1EBF3"/>
            </w:tcBorders>
            <w:shd w:val="clear" w:color="auto" w:fill="D1EBF3"/>
          </w:tcPr>
          <w:p>
            <w:pPr>
              <w:spacing w:after="0"/>
              <w:rPr>
                <w:sz w:val="22"/>
                <w:szCs w:val="22"/>
                <w:color w:val="auto"/>
              </w:rPr>
            </w:pPr>
          </w:p>
        </w:tc>
        <w:tc>
          <w:tcPr>
            <w:tcW w:w="160" w:type="dxa"/>
            <w:vAlign w:val="bottom"/>
            <w:tcBorders>
              <w:bottom w:val="single" w:sz="8" w:color="231F20"/>
            </w:tcBorders>
            <w:shd w:val="clear" w:color="auto" w:fill="D1EBF3"/>
          </w:tcPr>
          <w:p>
            <w:pPr>
              <w:spacing w:after="0"/>
              <w:rPr>
                <w:sz w:val="22"/>
                <w:szCs w:val="22"/>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3,088</w:t>
            </w:r>
          </w:p>
        </w:tc>
        <w:tc>
          <w:tcPr>
            <w:tcW w:w="10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D1EBF3"/>
            </w:tcBorders>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231F20"/>
              </w:rPr>
              <w:t>Total Non-Current Liabilities</w:t>
            </w:r>
          </w:p>
        </w:tc>
        <w:tc>
          <w:tcPr>
            <w:tcW w:w="240" w:type="dxa"/>
            <w:vAlign w:val="bottom"/>
            <w:tcBorders>
              <w:bottom w:val="single" w:sz="8" w:color="D1EBF3"/>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2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1,563</w:t>
            </w:r>
          </w:p>
        </w:tc>
        <w:tc>
          <w:tcPr>
            <w:tcW w:w="16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2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3,383</w:t>
            </w:r>
          </w:p>
        </w:tc>
        <w:tc>
          <w:tcPr>
            <w:tcW w:w="100" w:type="dxa"/>
            <w:vAlign w:val="bottom"/>
            <w:tcBorders>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74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Liabilities</w:t>
            </w:r>
          </w:p>
        </w:tc>
        <w:tc>
          <w:tcPr>
            <w:tcW w:w="240" w:type="dxa"/>
            <w:vAlign w:val="bottom"/>
            <w:tcBorders>
              <w:bottom w:val="single" w:sz="8" w:color="D1EBF3"/>
            </w:tcBorders>
            <w:shd w:val="clear" w:color="auto" w:fill="D1EBF3"/>
          </w:tcPr>
          <w:p>
            <w:pPr>
              <w:spacing w:after="0"/>
              <w:rPr>
                <w:sz w:val="22"/>
                <w:szCs w:val="22"/>
                <w:color w:val="auto"/>
              </w:rPr>
            </w:pPr>
          </w:p>
        </w:tc>
        <w:tc>
          <w:tcPr>
            <w:tcW w:w="180" w:type="dxa"/>
            <w:vAlign w:val="bottom"/>
            <w:tcBorders>
              <w:bottom w:val="single" w:sz="8" w:color="231F20"/>
            </w:tcBorders>
            <w:shd w:val="clear" w:color="auto" w:fill="D1EBF3"/>
          </w:tcPr>
          <w:p>
            <w:pPr>
              <w:spacing w:after="0"/>
              <w:rPr>
                <w:sz w:val="22"/>
                <w:szCs w:val="22"/>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4,724</w:t>
            </w:r>
          </w:p>
        </w:tc>
        <w:tc>
          <w:tcPr>
            <w:tcW w:w="16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D1EBF3"/>
            </w:tcBorders>
            <w:shd w:val="clear" w:color="auto" w:fill="D1EBF3"/>
          </w:tcPr>
          <w:p>
            <w:pPr>
              <w:spacing w:after="0"/>
              <w:rPr>
                <w:sz w:val="22"/>
                <w:szCs w:val="22"/>
                <w:color w:val="auto"/>
              </w:rPr>
            </w:pPr>
          </w:p>
        </w:tc>
        <w:tc>
          <w:tcPr>
            <w:tcW w:w="160" w:type="dxa"/>
            <w:vAlign w:val="bottom"/>
            <w:tcBorders>
              <w:bottom w:val="single" w:sz="8" w:color="231F20"/>
            </w:tcBorders>
            <w:shd w:val="clear" w:color="auto" w:fill="D1EBF3"/>
          </w:tcPr>
          <w:p>
            <w:pPr>
              <w:spacing w:after="0"/>
              <w:rPr>
                <w:sz w:val="22"/>
                <w:szCs w:val="22"/>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6,466</w:t>
            </w:r>
          </w:p>
        </w:tc>
        <w:tc>
          <w:tcPr>
            <w:tcW w:w="10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74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231F20"/>
              </w:rPr>
              <w:t>Commitments and Contingencies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Stockholders' Equity</w:t>
            </w:r>
          </w:p>
        </w:tc>
        <w:tc>
          <w:tcPr>
            <w:tcW w:w="24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28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Preferred stock, par value $0.0001 per share; 10,000,000 shares authorized at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2"/>
                <w:szCs w:val="22"/>
                <w:color w:val="231F20"/>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2"/>
                <w:szCs w:val="22"/>
                <w:color w:val="231F20"/>
              </w:rPr>
              <w:t>—</w:t>
            </w:r>
          </w:p>
        </w:tc>
        <w:tc>
          <w:tcPr>
            <w:tcW w:w="0" w:type="dxa"/>
            <w:vAlign w:val="bottom"/>
          </w:tcPr>
          <w:p>
            <w:pPr>
              <w:spacing w:after="0"/>
              <w:rPr>
                <w:sz w:val="1"/>
                <w:szCs w:val="1"/>
                <w:color w:val="auto"/>
              </w:rPr>
            </w:pPr>
          </w:p>
        </w:tc>
      </w:tr>
      <w:tr>
        <w:trPr>
          <w:trHeight w:val="250"/>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December 31, 2025 and 2024. No shares issued and outstanding</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Common stock, par value $0.0001 per share; 490,000,000 shares authorized at</w:t>
            </w:r>
          </w:p>
        </w:tc>
        <w:tc>
          <w:tcPr>
            <w:tcW w:w="24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28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28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December 31, 2025 and 2024; 9,766,132 and 2,416,066 shares issued and</w:t>
            </w:r>
          </w:p>
        </w:tc>
        <w:tc>
          <w:tcPr>
            <w:tcW w:w="240" w:type="dxa"/>
            <w:vAlign w:val="bottom"/>
            <w:shd w:val="clear" w:color="auto" w:fill="D1EBF3"/>
          </w:tcPr>
          <w:p>
            <w:pPr>
              <w:spacing w:after="0"/>
              <w:rPr>
                <w:sz w:val="20"/>
                <w:szCs w:val="20"/>
                <w:color w:val="auto"/>
              </w:rPr>
            </w:pPr>
          </w:p>
        </w:tc>
        <w:tc>
          <w:tcPr>
            <w:tcW w:w="180" w:type="dxa"/>
            <w:vAlign w:val="bottom"/>
            <w:shd w:val="clear" w:color="auto" w:fill="D1EBF3"/>
          </w:tcPr>
          <w:p>
            <w:pPr>
              <w:spacing w:after="0"/>
              <w:rPr>
                <w:sz w:val="20"/>
                <w:szCs w:val="20"/>
                <w:color w:val="auto"/>
              </w:rPr>
            </w:pPr>
          </w:p>
        </w:tc>
        <w:tc>
          <w:tcPr>
            <w:tcW w:w="128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28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40" w:type="dxa"/>
            <w:vAlign w:val="bottom"/>
            <w:shd w:val="clear" w:color="auto" w:fill="D1EBF3"/>
          </w:tcPr>
          <w:p>
            <w:pPr>
              <w:ind w:left="200"/>
              <w:spacing w:after="0" w:line="250" w:lineRule="exact"/>
              <w:rPr>
                <w:sz w:val="20"/>
                <w:szCs w:val="20"/>
                <w:color w:val="auto"/>
              </w:rPr>
            </w:pPr>
            <w:r>
              <w:rPr>
                <w:rFonts w:ascii="Times New Roman" w:cs="Times New Roman" w:eastAsia="Times New Roman" w:hAnsi="Times New Roman"/>
                <w:sz w:val="20"/>
                <w:szCs w:val="20"/>
                <w:color w:val="231F20"/>
              </w:rPr>
              <w:t>outstanding at December 31, 2025 and 2024, respectively</w:t>
            </w:r>
            <w:r>
              <w:rPr>
                <w:rFonts w:ascii="Times New Roman" w:cs="Times New Roman" w:eastAsia="Times New Roman" w:hAnsi="Times New Roman"/>
                <w:sz w:val="26"/>
                <w:szCs w:val="26"/>
                <w:color w:val="231F20"/>
                <w:vertAlign w:val="superscript"/>
              </w:rPr>
              <w:t>(1)</w:t>
            </w:r>
          </w:p>
        </w:tc>
        <w:tc>
          <w:tcPr>
            <w:tcW w:w="24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Additional paid-in capital</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168,644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136,127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Accumulated deficit</w:t>
            </w:r>
          </w:p>
        </w:tc>
        <w:tc>
          <w:tcPr>
            <w:tcW w:w="240" w:type="dxa"/>
            <w:vAlign w:val="bottom"/>
            <w:shd w:val="clear" w:color="auto" w:fill="D1EBF3"/>
          </w:tcPr>
          <w:p>
            <w:pPr>
              <w:spacing w:after="0"/>
              <w:rPr>
                <w:sz w:val="22"/>
                <w:szCs w:val="22"/>
                <w:color w:val="auto"/>
              </w:rPr>
            </w:pPr>
          </w:p>
        </w:tc>
        <w:tc>
          <w:tcPr>
            <w:tcW w:w="180" w:type="dxa"/>
            <w:vAlign w:val="bottom"/>
            <w:shd w:val="clear" w:color="auto" w:fill="D1EBF3"/>
          </w:tcPr>
          <w:p>
            <w:pPr>
              <w:spacing w:after="0"/>
              <w:rPr>
                <w:sz w:val="22"/>
                <w:szCs w:val="22"/>
                <w:color w:val="auto"/>
              </w:rPr>
            </w:pPr>
          </w:p>
        </w:tc>
        <w:tc>
          <w:tcPr>
            <w:tcW w:w="14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(141,096)</w:t>
            </w:r>
          </w:p>
        </w:tc>
        <w:tc>
          <w:tcPr>
            <w:tcW w:w="100" w:type="dxa"/>
            <w:vAlign w:val="bottom"/>
            <w:shd w:val="clear" w:color="auto" w:fill="D1EBF3"/>
          </w:tcPr>
          <w:p>
            <w:pPr>
              <w:spacing w:after="0"/>
              <w:rPr>
                <w:sz w:val="22"/>
                <w:szCs w:val="22"/>
                <w:color w:val="auto"/>
              </w:rPr>
            </w:pPr>
          </w:p>
        </w:tc>
        <w:tc>
          <w:tcPr>
            <w:tcW w:w="160" w:type="dxa"/>
            <w:vAlign w:val="bottom"/>
            <w:shd w:val="clear" w:color="auto" w:fill="D1EBF3"/>
          </w:tcPr>
          <w:p>
            <w:pPr>
              <w:spacing w:after="0"/>
              <w:rPr>
                <w:sz w:val="22"/>
                <w:szCs w:val="22"/>
                <w:color w:val="auto"/>
              </w:rPr>
            </w:pPr>
          </w:p>
        </w:tc>
        <w:tc>
          <w:tcPr>
            <w:tcW w:w="138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(121,656)</w:t>
            </w:r>
          </w:p>
        </w:tc>
        <w:tc>
          <w:tcPr>
            <w:tcW w:w="0" w:type="dxa"/>
            <w:vAlign w:val="bottom"/>
          </w:tcPr>
          <w:p>
            <w:pPr>
              <w:spacing w:after="0"/>
              <w:rPr>
                <w:sz w:val="1"/>
                <w:szCs w:val="1"/>
                <w:color w:val="auto"/>
              </w:rPr>
            </w:pPr>
          </w:p>
        </w:tc>
      </w:tr>
      <w:tr>
        <w:trPr>
          <w:trHeight w:val="219"/>
        </w:trPr>
        <w:tc>
          <w:tcPr>
            <w:tcW w:w="6740" w:type="dxa"/>
            <w:vAlign w:val="bottom"/>
            <w:tcBorders>
              <w:top w:val="single" w:sz="8" w:color="D1EBF3"/>
              <w:bottom w:val="single" w:sz="8" w:color="D1EBF3"/>
            </w:tcBorders>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231F20"/>
              </w:rPr>
              <w:t>Total Stockholders' Equity</w:t>
            </w:r>
          </w:p>
        </w:tc>
        <w:tc>
          <w:tcPr>
            <w:tcW w:w="240" w:type="dxa"/>
            <w:vAlign w:val="bottom"/>
            <w:tcBorders>
              <w:top w:val="single" w:sz="8" w:color="D1EBF3"/>
              <w:bottom w:val="single" w:sz="8" w:color="D1EBF3"/>
            </w:tcBorders>
          </w:tcPr>
          <w:p>
            <w:pPr>
              <w:spacing w:after="0"/>
              <w:rPr>
                <w:sz w:val="19"/>
                <w:szCs w:val="19"/>
                <w:color w:val="auto"/>
              </w:rPr>
            </w:pPr>
          </w:p>
        </w:tc>
        <w:tc>
          <w:tcPr>
            <w:tcW w:w="180" w:type="dxa"/>
            <w:vAlign w:val="bottom"/>
            <w:tcBorders>
              <w:top w:val="single" w:sz="8" w:color="231F20"/>
              <w:bottom w:val="single" w:sz="8" w:color="231F20"/>
            </w:tcBorders>
          </w:tcPr>
          <w:p>
            <w:pPr>
              <w:spacing w:after="0"/>
              <w:rPr>
                <w:sz w:val="19"/>
                <w:szCs w:val="19"/>
                <w:color w:val="auto"/>
              </w:rPr>
            </w:pPr>
          </w:p>
        </w:tc>
        <w:tc>
          <w:tcPr>
            <w:tcW w:w="12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27,558</w:t>
            </w:r>
          </w:p>
        </w:tc>
        <w:tc>
          <w:tcPr>
            <w:tcW w:w="160" w:type="dxa"/>
            <w:vAlign w:val="bottom"/>
            <w:tcBorders>
              <w:top w:val="single" w:sz="8" w:color="D1EBF3"/>
              <w:bottom w:val="single" w:sz="8" w:color="D1EBF3"/>
            </w:tcBorders>
          </w:tcPr>
          <w:p>
            <w:pPr>
              <w:spacing w:after="0"/>
              <w:rPr>
                <w:sz w:val="19"/>
                <w:szCs w:val="19"/>
                <w:color w:val="auto"/>
              </w:rPr>
            </w:pPr>
          </w:p>
        </w:tc>
        <w:tc>
          <w:tcPr>
            <w:tcW w:w="100" w:type="dxa"/>
            <w:vAlign w:val="bottom"/>
            <w:tcBorders>
              <w:top w:val="single" w:sz="8" w:color="D1EBF3"/>
              <w:bottom w:val="single" w:sz="8" w:color="D1EBF3"/>
            </w:tcBorders>
          </w:tcPr>
          <w:p>
            <w:pPr>
              <w:spacing w:after="0"/>
              <w:rPr>
                <w:sz w:val="19"/>
                <w:szCs w:val="19"/>
                <w:color w:val="auto"/>
              </w:rPr>
            </w:pPr>
          </w:p>
        </w:tc>
        <w:tc>
          <w:tcPr>
            <w:tcW w:w="160" w:type="dxa"/>
            <w:vAlign w:val="bottom"/>
            <w:tcBorders>
              <w:top w:val="single" w:sz="8" w:color="231F20"/>
              <w:bottom w:val="single" w:sz="8" w:color="231F20"/>
            </w:tcBorders>
          </w:tcPr>
          <w:p>
            <w:pPr>
              <w:spacing w:after="0"/>
              <w:rPr>
                <w:sz w:val="19"/>
                <w:szCs w:val="19"/>
                <w:color w:val="auto"/>
              </w:rPr>
            </w:pPr>
          </w:p>
        </w:tc>
        <w:tc>
          <w:tcPr>
            <w:tcW w:w="12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14,478</w:t>
            </w:r>
          </w:p>
        </w:tc>
        <w:tc>
          <w:tcPr>
            <w:tcW w:w="100" w:type="dxa"/>
            <w:vAlign w:val="bottom"/>
            <w:tcBorders>
              <w:top w:val="single" w:sz="8" w:color="D1EBF3"/>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74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Liabilities and Stockholders' Equity</w:t>
            </w:r>
          </w:p>
        </w:tc>
        <w:tc>
          <w:tcPr>
            <w:tcW w:w="240" w:type="dxa"/>
            <w:vAlign w:val="bottom"/>
            <w:tcBorders>
              <w:bottom w:val="single" w:sz="8" w:color="D1EBF3"/>
            </w:tcBorders>
            <w:shd w:val="clear" w:color="auto" w:fill="D1EBF3"/>
          </w:tcPr>
          <w:p>
            <w:pPr>
              <w:spacing w:after="0"/>
              <w:rPr>
                <w:sz w:val="22"/>
                <w:szCs w:val="22"/>
                <w:color w:val="auto"/>
              </w:rPr>
            </w:pPr>
          </w:p>
        </w:tc>
        <w:tc>
          <w:tcPr>
            <w:tcW w:w="1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32,282</w:t>
            </w:r>
          </w:p>
        </w:tc>
        <w:tc>
          <w:tcPr>
            <w:tcW w:w="16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D1EBF3"/>
            </w:tcBorders>
            <w:shd w:val="clear" w:color="auto" w:fill="D1EBF3"/>
          </w:tcPr>
          <w:p>
            <w:pPr>
              <w:spacing w:after="0"/>
              <w:rPr>
                <w:sz w:val="22"/>
                <w:szCs w:val="22"/>
                <w:color w:val="auto"/>
              </w:rPr>
            </w:pPr>
          </w:p>
        </w:tc>
        <w:tc>
          <w:tcPr>
            <w:tcW w:w="1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20,944</w:t>
            </w:r>
          </w:p>
        </w:tc>
        <w:tc>
          <w:tcPr>
            <w:tcW w:w="10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231F20"/>
          <w:vertAlign w:val="superscript"/>
        </w:rPr>
        <w:t>(1)</w:t>
      </w:r>
      <w:r>
        <w:rPr>
          <w:rFonts w:ascii="Times New Roman" w:cs="Times New Roman" w:eastAsia="Times New Roman" w:hAnsi="Times New Roman"/>
          <w:sz w:val="16"/>
          <w:szCs w:val="16"/>
          <w:color w:val="231F20"/>
        </w:rPr>
        <w:t>All share amounts and per share amounts disclosed in this Annual Report on Form 10-K have been restated to reflect a one-for-thirty reverse stock split effected in June 2025. See Note 1, Organization and Nature of Operations, for details.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financial statements.</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108</w:t>
      </w:r>
    </w:p>
    <w:p>
      <w:pPr>
        <w:sectPr>
          <w:pgSz w:w="11880" w:h="15480" w:orient="portrait"/>
          <w:cols w:equalWidth="0" w:num="1">
            <w:col w:w="10240"/>
          </w:cols>
          <w:pgMar w:left="820" w:top="746" w:right="820" w:bottom="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231F20"/>
        </w:rPr>
        <w:t>IN8BIO,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data)</w:t>
      </w:r>
    </w:p>
    <w:p>
      <w:pPr>
        <w:spacing w:after="0" w:line="26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231F20"/>
        </w:rPr>
        <w:t>Year Ended</w:t>
      </w:r>
    </w:p>
    <w:p>
      <w:pPr>
        <w:spacing w:after="0" w:line="2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4434205</wp:posOffset>
                </wp:positionH>
                <wp:positionV relativeFrom="paragraph">
                  <wp:posOffset>0</wp:posOffset>
                </wp:positionV>
                <wp:extent cx="200850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85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15pt,0pt" to="507.3pt,0pt" o:allowincell="f" strokecolor="#231F20" strokeweight="0.75pt"/>
            </w:pict>
          </mc:Fallback>
        </mc:AlternateContent>
      </w:r>
    </w:p>
    <w:tbl>
      <w:tblPr>
        <w:tblLayout w:type="fixed"/>
        <w:tblInd w:w="0" w:type="dxa"/>
        <w:tblCellMar>
          <w:top w:w="0" w:type="dxa"/>
          <w:left w:w="0" w:type="dxa"/>
          <w:bottom w:w="0" w:type="dxa"/>
          <w:right w:w="0" w:type="dxa"/>
        </w:tblCellMar>
      </w:tblPr>
      <w:tr>
        <w:trPr>
          <w:trHeight w:val="196"/>
        </w:trPr>
        <w:tc>
          <w:tcPr>
            <w:tcW w:w="6880" w:type="dxa"/>
            <w:vAlign w:val="bottom"/>
            <w:tcBorders>
              <w:bottom w:val="single" w:sz="8" w:color="D1EBF3"/>
            </w:tcBorders>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D1EBF3"/>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D1EBF3"/>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8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100" w:type="dxa"/>
            <w:vAlign w:val="bottom"/>
            <w:shd w:val="clear" w:color="auto" w:fill="D1EBF3"/>
          </w:tcPr>
          <w:p>
            <w:pPr>
              <w:spacing w:after="0"/>
              <w:rPr>
                <w:sz w:val="20"/>
                <w:szCs w:val="20"/>
                <w:color w:val="auto"/>
              </w:rPr>
            </w:pPr>
          </w:p>
        </w:tc>
        <w:tc>
          <w:tcPr>
            <w:tcW w:w="340" w:type="dxa"/>
            <w:vAlign w:val="bottom"/>
            <w:shd w:val="clear" w:color="auto" w:fill="D1EBF3"/>
          </w:tcPr>
          <w:p>
            <w:pPr>
              <w:spacing w:after="0"/>
              <w:rPr>
                <w:sz w:val="20"/>
                <w:szCs w:val="20"/>
                <w:color w:val="auto"/>
              </w:rPr>
            </w:pPr>
          </w:p>
        </w:tc>
        <w:tc>
          <w:tcPr>
            <w:tcW w:w="1120" w:type="dxa"/>
            <w:vAlign w:val="bottom"/>
            <w:shd w:val="clear" w:color="auto" w:fill="D1EBF3"/>
          </w:tcPr>
          <w:p>
            <w:pPr>
              <w:spacing w:after="0"/>
              <w:rPr>
                <w:sz w:val="20"/>
                <w:szCs w:val="20"/>
                <w:color w:val="auto"/>
              </w:rPr>
            </w:pPr>
          </w:p>
        </w:tc>
        <w:tc>
          <w:tcPr>
            <w:tcW w:w="26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2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0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10,211</w:t>
            </w:r>
          </w:p>
        </w:tc>
        <w:tc>
          <w:tcPr>
            <w:tcW w:w="26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100" w:type="dxa"/>
            <w:vAlign w:val="bottom"/>
            <w:shd w:val="clear" w:color="auto" w:fill="D1EBF3"/>
          </w:tcPr>
          <w:p>
            <w:pPr>
              <w:spacing w:after="0"/>
              <w:rPr>
                <w:sz w:val="21"/>
                <w:szCs w:val="21"/>
                <w:color w:val="auto"/>
              </w:rPr>
            </w:pPr>
          </w:p>
        </w:tc>
        <w:tc>
          <w:tcPr>
            <w:tcW w:w="340" w:type="dxa"/>
            <w:vAlign w:val="bottom"/>
            <w:shd w:val="clear" w:color="auto" w:fill="D1EBF3"/>
          </w:tcPr>
          <w:p>
            <w:pPr>
              <w:spacing w:after="0"/>
              <w:rPr>
                <w:sz w:val="21"/>
                <w:szCs w:val="21"/>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9,650</w:t>
            </w:r>
          </w:p>
        </w:tc>
        <w:tc>
          <w:tcPr>
            <w:tcW w:w="26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12,637</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Severance and related charges</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8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100" w:type="dxa"/>
            <w:vAlign w:val="bottom"/>
            <w:tcBorders>
              <w:top w:val="single" w:sz="8" w:color="D1EBF3"/>
            </w:tcBorders>
            <w:shd w:val="clear" w:color="auto" w:fill="D1EBF3"/>
          </w:tcPr>
          <w:p>
            <w:pPr>
              <w:spacing w:after="0"/>
              <w:rPr>
                <w:sz w:val="20"/>
                <w:szCs w:val="20"/>
                <w:color w:val="auto"/>
              </w:rPr>
            </w:pPr>
          </w:p>
        </w:tc>
        <w:tc>
          <w:tcPr>
            <w:tcW w:w="340" w:type="dxa"/>
            <w:vAlign w:val="bottom"/>
            <w:tcBorders>
              <w:top w:val="single" w:sz="8" w:color="231F20"/>
              <w:bottom w:val="single" w:sz="8" w:color="231F20"/>
            </w:tcBorders>
            <w:shd w:val="clear" w:color="auto" w:fill="D1EBF3"/>
          </w:tcPr>
          <w:p>
            <w:pPr>
              <w:spacing w:after="0"/>
              <w:rPr>
                <w:sz w:val="20"/>
                <w:szCs w:val="20"/>
                <w:color w:val="auto"/>
              </w:rPr>
            </w:pPr>
          </w:p>
        </w:tc>
        <w:tc>
          <w:tcPr>
            <w:tcW w:w="11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19,861</w:t>
            </w:r>
          </w:p>
        </w:tc>
        <w:tc>
          <w:tcPr>
            <w:tcW w:w="260" w:type="dxa"/>
            <w:vAlign w:val="bottom"/>
            <w:tcBorders>
              <w:top w:val="single" w:sz="8" w:color="D1EBF3"/>
            </w:tcBorders>
            <w:shd w:val="clear" w:color="auto" w:fill="D1EBF3"/>
          </w:tcPr>
          <w:p>
            <w:pPr>
              <w:spacing w:after="0"/>
              <w:rPr>
                <w:sz w:val="20"/>
                <w:szCs w:val="20"/>
                <w:color w:val="auto"/>
              </w:rPr>
            </w:pPr>
          </w:p>
        </w:tc>
        <w:tc>
          <w:tcPr>
            <w:tcW w:w="320" w:type="dxa"/>
            <w:vAlign w:val="bottom"/>
            <w:tcBorders>
              <w:top w:val="single" w:sz="8" w:color="231F20"/>
              <w:bottom w:val="single" w:sz="8" w:color="231F20"/>
            </w:tcBorders>
            <w:shd w:val="clear" w:color="auto" w:fill="D1EBF3"/>
          </w:tcPr>
          <w:p>
            <w:pPr>
              <w:spacing w:after="0"/>
              <w:rPr>
                <w:sz w:val="20"/>
                <w:szCs w:val="20"/>
                <w:color w:val="auto"/>
              </w:rPr>
            </w:pPr>
          </w:p>
        </w:tc>
        <w:tc>
          <w:tcPr>
            <w:tcW w:w="11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30,667</w:t>
            </w:r>
          </w:p>
        </w:tc>
        <w:tc>
          <w:tcPr>
            <w:tcW w:w="10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231F20"/>
              </w:rPr>
              <w:t>Interest income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Loss from operations</w:t>
            </w:r>
          </w:p>
        </w:tc>
        <w:tc>
          <w:tcPr>
            <w:tcW w:w="100" w:type="dxa"/>
            <w:vAlign w:val="bottom"/>
            <w:shd w:val="clear" w:color="auto" w:fill="D1EBF3"/>
          </w:tcPr>
          <w:p>
            <w:pPr>
              <w:spacing w:after="0"/>
              <w:rPr>
                <w:sz w:val="21"/>
                <w:szCs w:val="21"/>
                <w:color w:val="auto"/>
              </w:rPr>
            </w:pPr>
          </w:p>
        </w:tc>
        <w:tc>
          <w:tcPr>
            <w:tcW w:w="340" w:type="dxa"/>
            <w:vAlign w:val="bottom"/>
            <w:shd w:val="clear" w:color="auto" w:fill="D1EBF3"/>
          </w:tcPr>
          <w:p>
            <w:pPr>
              <w:spacing w:after="0"/>
              <w:rPr>
                <w:sz w:val="21"/>
                <w:szCs w:val="21"/>
                <w:color w:val="auto"/>
              </w:rPr>
            </w:pPr>
          </w:p>
        </w:tc>
        <w:tc>
          <w:tcPr>
            <w:tcW w:w="138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(19,440)</w:t>
            </w:r>
          </w:p>
        </w:tc>
        <w:tc>
          <w:tcPr>
            <w:tcW w:w="320" w:type="dxa"/>
            <w:vAlign w:val="bottom"/>
            <w:shd w:val="clear" w:color="auto" w:fill="D1EBF3"/>
          </w:tcPr>
          <w:p>
            <w:pPr>
              <w:spacing w:after="0"/>
              <w:rPr>
                <w:sz w:val="21"/>
                <w:szCs w:val="21"/>
                <w:color w:val="auto"/>
              </w:rPr>
            </w:pPr>
          </w:p>
        </w:tc>
        <w:tc>
          <w:tcPr>
            <w:tcW w:w="122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(30,437)</w:t>
            </w:r>
          </w:p>
        </w:tc>
        <w:tc>
          <w:tcPr>
            <w:tcW w:w="0" w:type="dxa"/>
            <w:vAlign w:val="bottom"/>
          </w:tcPr>
          <w:p>
            <w:pPr>
              <w:spacing w:after="0"/>
              <w:rPr>
                <w:sz w:val="1"/>
                <w:szCs w:val="1"/>
                <w:color w:val="auto"/>
              </w:rPr>
            </w:pPr>
          </w:p>
        </w:tc>
      </w:tr>
      <w:tr>
        <w:trPr>
          <w:trHeight w:val="279"/>
        </w:trPr>
        <w:tc>
          <w:tcPr>
            <w:tcW w:w="68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Net loss</w:t>
            </w:r>
          </w:p>
        </w:tc>
        <w:tc>
          <w:tcPr>
            <w:tcW w:w="100" w:type="dxa"/>
            <w:vAlign w:val="bottom"/>
            <w:tcBorders>
              <w:bottom w:val="single" w:sz="8" w:color="D1EBF3"/>
            </w:tcBorders>
          </w:tcPr>
          <w:p>
            <w:pPr>
              <w:spacing w:after="0"/>
              <w:rPr>
                <w:sz w:val="24"/>
                <w:szCs w:val="24"/>
                <w:color w:val="auto"/>
              </w:rPr>
            </w:pPr>
          </w:p>
        </w:tc>
        <w:tc>
          <w:tcPr>
            <w:tcW w:w="340" w:type="dxa"/>
            <w:vAlign w:val="bottom"/>
            <w:tcBorders>
              <w:top w:val="single" w:sz="8" w:color="231F20"/>
              <w:bottom w:val="single" w:sz="8" w:color="231F20"/>
            </w:tcBorders>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(19,440)</w:t>
            </w:r>
          </w:p>
        </w:tc>
        <w:tc>
          <w:tcPr>
            <w:tcW w:w="260" w:type="dxa"/>
            <w:vAlign w:val="bottom"/>
            <w:tcBorders>
              <w:bottom w:val="single" w:sz="8" w:color="D1EBF3"/>
            </w:tcBorders>
          </w:tcPr>
          <w:p>
            <w:pPr>
              <w:spacing w:after="0"/>
              <w:rPr>
                <w:sz w:val="24"/>
                <w:szCs w:val="24"/>
                <w:color w:val="auto"/>
              </w:rPr>
            </w:pPr>
          </w:p>
        </w:tc>
        <w:tc>
          <w:tcPr>
            <w:tcW w:w="320" w:type="dxa"/>
            <w:vAlign w:val="bottom"/>
            <w:tcBorders>
              <w:top w:val="single" w:sz="8" w:color="231F20"/>
              <w:bottom w:val="single" w:sz="8" w:color="231F20"/>
            </w:tcBorders>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(30,437)</w:t>
            </w:r>
          </w:p>
        </w:tc>
        <w:tc>
          <w:tcPr>
            <w:tcW w:w="100" w:type="dxa"/>
            <w:vAlign w:val="bottom"/>
            <w:tcBorders>
              <w:bottom w:val="single" w:sz="8" w:color="D1EBF3"/>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loss per share – basic and diluted</w:t>
            </w:r>
          </w:p>
        </w:tc>
        <w:tc>
          <w:tcPr>
            <w:tcW w:w="100" w:type="dxa"/>
            <w:vAlign w:val="bottom"/>
            <w:shd w:val="clear" w:color="auto" w:fill="D1EBF3"/>
          </w:tcPr>
          <w:p>
            <w:pPr>
              <w:spacing w:after="0"/>
              <w:rPr>
                <w:sz w:val="19"/>
                <w:szCs w:val="19"/>
                <w:color w:val="auto"/>
              </w:rPr>
            </w:pPr>
          </w:p>
        </w:tc>
        <w:tc>
          <w:tcPr>
            <w:tcW w:w="340" w:type="dxa"/>
            <w:vAlign w:val="bottom"/>
            <w:tcBorders>
              <w:bottom w:val="single" w:sz="8" w:color="231F20"/>
            </w:tcBorders>
            <w:shd w:val="clear" w:color="auto" w:fill="D1EBF3"/>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(4.44)</w:t>
            </w:r>
          </w:p>
        </w:tc>
        <w:tc>
          <w:tcPr>
            <w:tcW w:w="260" w:type="dxa"/>
            <w:vAlign w:val="bottom"/>
            <w:shd w:val="clear" w:color="auto" w:fill="D1EBF3"/>
          </w:tcPr>
          <w:p>
            <w:pPr>
              <w:spacing w:after="0"/>
              <w:rPr>
                <w:sz w:val="19"/>
                <w:szCs w:val="19"/>
                <w:color w:val="auto"/>
              </w:rPr>
            </w:pPr>
          </w:p>
        </w:tc>
        <w:tc>
          <w:tcPr>
            <w:tcW w:w="320" w:type="dxa"/>
            <w:vAlign w:val="bottom"/>
            <w:tcBorders>
              <w:bottom w:val="single" w:sz="8" w:color="231F20"/>
            </w:tcBorders>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(17.05)</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Weighted-average number of shares used in computing net loss per common share –</w:t>
            </w:r>
          </w:p>
        </w:tc>
        <w:tc>
          <w:tcPr>
            <w:tcW w:w="1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8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31F20"/>
              </w:rPr>
              <w:t>basic and diluted</w:t>
            </w:r>
            <w:r>
              <w:rPr>
                <w:rFonts w:ascii="Times New Roman" w:cs="Times New Roman" w:eastAsia="Times New Roman" w:hAnsi="Times New Roman"/>
                <w:sz w:val="26"/>
                <w:szCs w:val="26"/>
                <w:color w:val="231F20"/>
                <w:vertAlign w:val="superscript"/>
              </w:rPr>
              <w:t>(1)</w:t>
            </w:r>
          </w:p>
        </w:tc>
        <w:tc>
          <w:tcPr>
            <w:tcW w:w="100" w:type="dxa"/>
            <w:vAlign w:val="bottom"/>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4,374,328</w:t>
            </w:r>
          </w:p>
        </w:tc>
        <w:tc>
          <w:tcPr>
            <w:tcW w:w="26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1,784,890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231F20"/>
          <w:vertAlign w:val="superscript"/>
        </w:rPr>
        <w:t>(1)</w:t>
      </w:r>
      <w:r>
        <w:rPr>
          <w:rFonts w:ascii="Times New Roman" w:cs="Times New Roman" w:eastAsia="Times New Roman" w:hAnsi="Times New Roman"/>
          <w:sz w:val="16"/>
          <w:szCs w:val="16"/>
          <w:color w:val="231F20"/>
        </w:rPr>
        <w:t>All share amounts and per share amounts disclosed in this Annual Report on Form 10-K have been restated to reflect a one-for-thirty reverse stock split effected in June 2025. See Note 1, Organization and Nature of Operations, for details.</w:t>
      </w:r>
    </w:p>
    <w:p>
      <w:pPr>
        <w:spacing w:after="0" w:line="24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financial statements.</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109</w:t>
      </w:r>
    </w:p>
    <w:p>
      <w:pPr>
        <w:sectPr>
          <w:pgSz w:w="11880" w:h="15480" w:orient="portrait"/>
          <w:cols w:equalWidth="0" w:num="1">
            <w:col w:w="10240"/>
          </w:cols>
          <w:pgMar w:left="820" w:top="746" w:right="82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231F20"/>
        </w:rPr>
        <w:t>IN8BIO,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Statements of Changes in Stockholders’ Equity</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231F20"/>
              </w:rPr>
              <w:t>Additional</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177"/>
        </w:trPr>
        <w:tc>
          <w:tcPr>
            <w:tcW w:w="4360" w:type="dxa"/>
            <w:vAlign w:val="bottom"/>
          </w:tcPr>
          <w:p>
            <w:pPr>
              <w:spacing w:after="0"/>
              <w:rPr>
                <w:sz w:val="15"/>
                <w:szCs w:val="15"/>
                <w:color w:val="auto"/>
              </w:rPr>
            </w:pPr>
          </w:p>
        </w:tc>
        <w:tc>
          <w:tcPr>
            <w:tcW w:w="1880" w:type="dxa"/>
            <w:vAlign w:val="bottom"/>
            <w:tcBorders>
              <w:bottom w:val="single" w:sz="8" w:color="231F20"/>
            </w:tcBorders>
            <w:gridSpan w:val="4"/>
          </w:tcPr>
          <w:p>
            <w:pPr>
              <w:jc w:val="right"/>
              <w:ind w:right="370"/>
              <w:spacing w:after="0" w:line="177" w:lineRule="exact"/>
              <w:rPr>
                <w:sz w:val="20"/>
                <w:szCs w:val="20"/>
                <w:color w:val="auto"/>
              </w:rPr>
            </w:pPr>
            <w:r>
              <w:rPr>
                <w:rFonts w:ascii="Times New Roman" w:cs="Times New Roman" w:eastAsia="Times New Roman" w:hAnsi="Times New Roman"/>
                <w:sz w:val="14"/>
                <w:szCs w:val="14"/>
                <w:b w:val="1"/>
                <w:bCs w:val="1"/>
                <w:color w:val="231F20"/>
              </w:rPr>
              <w:t>Common Stock</w:t>
            </w:r>
            <w:r>
              <w:rPr>
                <w:rFonts w:ascii="Times New Roman" w:cs="Times New Roman" w:eastAsia="Times New Roman" w:hAnsi="Times New Roman"/>
                <w:sz w:val="18"/>
                <w:szCs w:val="18"/>
                <w:b w:val="1"/>
                <w:bCs w:val="1"/>
                <w:color w:val="231F20"/>
                <w:vertAlign w:val="superscript"/>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231F20"/>
              </w:rPr>
              <w:t>Paid-In</w:t>
            </w:r>
          </w:p>
        </w:tc>
        <w:tc>
          <w:tcPr>
            <w:tcW w:w="100" w:type="dxa"/>
            <w:vAlign w:val="bottom"/>
          </w:tcPr>
          <w:p>
            <w:pPr>
              <w:spacing w:after="0"/>
              <w:rPr>
                <w:sz w:val="15"/>
                <w:szCs w:val="15"/>
                <w:color w:val="auto"/>
              </w:rPr>
            </w:pPr>
          </w:p>
        </w:tc>
        <w:tc>
          <w:tcPr>
            <w:tcW w:w="11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w w:val="99"/>
              </w:rPr>
              <w:t>Stockholders’</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231F20"/>
              </w:rPr>
              <w:t>Capital</w:t>
            </w:r>
          </w:p>
        </w:tc>
        <w:tc>
          <w:tcPr>
            <w:tcW w:w="100" w:type="dxa"/>
            <w:vAlign w:val="bottom"/>
          </w:tcPr>
          <w:p>
            <w:pPr>
              <w:spacing w:after="0"/>
              <w:rPr>
                <w:sz w:val="14"/>
                <w:szCs w:val="14"/>
                <w:color w:val="auto"/>
              </w:rPr>
            </w:pPr>
          </w:p>
        </w:tc>
        <w:tc>
          <w:tcPr>
            <w:tcW w:w="116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231F20"/>
              </w:rPr>
              <w:t>Deficit</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Equity</w:t>
            </w:r>
          </w:p>
        </w:tc>
        <w:tc>
          <w:tcPr>
            <w:tcW w:w="0" w:type="dxa"/>
            <w:vAlign w:val="bottom"/>
          </w:tcPr>
          <w:p>
            <w:pPr>
              <w:spacing w:after="0"/>
              <w:rPr>
                <w:sz w:val="1"/>
                <w:szCs w:val="1"/>
                <w:color w:val="auto"/>
              </w:rPr>
            </w:pPr>
          </w:p>
        </w:tc>
      </w:tr>
      <w:tr>
        <w:trPr>
          <w:trHeight w:val="170"/>
        </w:trPr>
        <w:tc>
          <w:tcPr>
            <w:tcW w:w="436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14"/>
                <w:szCs w:val="14"/>
                <w:b w:val="1"/>
                <w:bCs w:val="1"/>
                <w:color w:val="231F20"/>
              </w:rPr>
              <w:t>Balance at December 31, 2023</w:t>
            </w: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1,442,929</w:t>
            </w:r>
          </w:p>
        </w:tc>
        <w:tc>
          <w:tcPr>
            <w:tcW w:w="140" w:type="dxa"/>
            <w:vAlign w:val="bottom"/>
            <w:tcBorders>
              <w:top w:val="single" w:sz="8" w:color="D1EBF3"/>
            </w:tcBorders>
            <w:shd w:val="clear" w:color="auto" w:fill="D1EBF3"/>
          </w:tcPr>
          <w:p>
            <w:pPr>
              <w:spacing w:after="0"/>
              <w:rPr>
                <w:sz w:val="14"/>
                <w:szCs w:val="14"/>
                <w:color w:val="auto"/>
              </w:rPr>
            </w:pPr>
          </w:p>
        </w:tc>
        <w:tc>
          <w:tcPr>
            <w:tcW w:w="12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74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40" w:type="dxa"/>
            <w:vAlign w:val="bottom"/>
            <w:tcBorders>
              <w:top w:val="single" w:sz="8" w:color="D1EBF3"/>
            </w:tcBorders>
            <w:shd w:val="clear" w:color="auto" w:fill="D1EBF3"/>
          </w:tcPr>
          <w:p>
            <w:pPr>
              <w:spacing w:after="0"/>
              <w:rPr>
                <w:sz w:val="14"/>
                <w:szCs w:val="14"/>
                <w:color w:val="auto"/>
              </w:rPr>
            </w:pPr>
          </w:p>
        </w:tc>
        <w:tc>
          <w:tcPr>
            <w:tcW w:w="160" w:type="dxa"/>
            <w:vAlign w:val="bottom"/>
            <w:tcBorders>
              <w:top w:val="single" w:sz="8" w:color="231F20"/>
            </w:tcBorders>
            <w:shd w:val="clear" w:color="auto" w:fill="D1EBF3"/>
          </w:tcPr>
          <w:p>
            <w:pPr>
              <w:jc w:val="right"/>
              <w:ind w:right="10"/>
              <w:spacing w:after="0"/>
              <w:rPr>
                <w:sz w:val="20"/>
                <w:szCs w:val="20"/>
                <w:color w:val="auto"/>
              </w:rPr>
            </w:pPr>
            <w:r>
              <w:rPr>
                <w:rFonts w:ascii="Times New Roman" w:cs="Times New Roman" w:eastAsia="Times New Roman" w:hAnsi="Times New Roman"/>
                <w:sz w:val="14"/>
                <w:szCs w:val="14"/>
                <w:color w:val="231F20"/>
                <w:w w:val="85"/>
              </w:rPr>
              <w:t>$</w:t>
            </w:r>
          </w:p>
        </w:tc>
        <w:tc>
          <w:tcPr>
            <w:tcW w:w="9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116,152</w:t>
            </w:r>
          </w:p>
        </w:tc>
        <w:tc>
          <w:tcPr>
            <w:tcW w:w="200" w:type="dxa"/>
            <w:vAlign w:val="bottom"/>
            <w:tcBorders>
              <w:top w:val="single" w:sz="8" w:color="D1EBF3"/>
            </w:tcBorders>
            <w:shd w:val="clear" w:color="auto" w:fill="D1EBF3"/>
          </w:tcPr>
          <w:p>
            <w:pPr>
              <w:spacing w:after="0"/>
              <w:rPr>
                <w:sz w:val="14"/>
                <w:szCs w:val="14"/>
                <w:color w:val="auto"/>
              </w:rPr>
            </w:pPr>
          </w:p>
        </w:tc>
        <w:tc>
          <w:tcPr>
            <w:tcW w:w="10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(91,219</w:t>
            </w:r>
          </w:p>
        </w:tc>
        <w:tc>
          <w:tcPr>
            <w:tcW w:w="200" w:type="dxa"/>
            <w:vAlign w:val="bottom"/>
            <w:tcBorders>
              <w:top w:val="single" w:sz="8" w:color="D1EBF3"/>
            </w:tcBorders>
            <w:shd w:val="clear" w:color="auto" w:fill="D1EBF3"/>
          </w:tcPr>
          <w:p>
            <w:pPr>
              <w:jc w:val="right"/>
              <w:ind w:right="70"/>
              <w:spacing w:after="0"/>
              <w:rPr>
                <w:sz w:val="20"/>
                <w:szCs w:val="20"/>
                <w:color w:val="auto"/>
              </w:rPr>
            </w:pPr>
            <w:r>
              <w:rPr>
                <w:rFonts w:ascii="Times New Roman" w:cs="Times New Roman" w:eastAsia="Times New Roman" w:hAnsi="Times New Roman"/>
                <w:sz w:val="14"/>
                <w:szCs w:val="14"/>
                <w:color w:val="231F20"/>
                <w:w w:val="84"/>
              </w:rPr>
              <w:t>)</w:t>
            </w:r>
          </w:p>
        </w:tc>
        <w:tc>
          <w:tcPr>
            <w:tcW w:w="12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24,937</w:t>
            </w:r>
          </w:p>
        </w:tc>
        <w:tc>
          <w:tcPr>
            <w:tcW w:w="60" w:type="dxa"/>
            <w:vAlign w:val="bottom"/>
            <w:tcBorders>
              <w:top w:val="single" w:sz="8" w:color="D1EBF3"/>
            </w:tcBorders>
            <w:shd w:val="clear" w:color="auto" w:fill="D1EBF3"/>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Issuance of common stock, net of issuance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115,972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3,816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Issuance of private placement common stock, net of issuance costs</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666</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25</w:t>
            </w:r>
          </w:p>
        </w:tc>
        <w:tc>
          <w:tcPr>
            <w:tcW w:w="2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25</w:t>
            </w: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Issuance of common stock, net of issuance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856,499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6,124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6,127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Issuance of private placement common stock, net of issuance costs</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5,099</w:t>
            </w:r>
          </w:p>
        </w:tc>
        <w:tc>
          <w:tcPr>
            <w:tcW w:w="2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5,099</w:t>
            </w: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Issuance of private placement warrants, net of issuance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(89 )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(89 )</w:t>
            </w:r>
          </w:p>
        </w:tc>
        <w:tc>
          <w:tcPr>
            <w:tcW w:w="0" w:type="dxa"/>
            <w:vAlign w:val="bottom"/>
          </w:tcPr>
          <w:p>
            <w:pPr>
              <w:spacing w:after="0"/>
              <w:rPr>
                <w:sz w:val="1"/>
                <w:szCs w:val="1"/>
                <w:color w:val="auto"/>
              </w:rPr>
            </w:pPr>
          </w:p>
        </w:tc>
      </w:tr>
      <w:tr>
        <w:trPr>
          <w:trHeight w:val="175"/>
        </w:trPr>
        <w:tc>
          <w:tcPr>
            <w:tcW w:w="43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Stock-based compensation expense</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5,000</w:t>
            </w:r>
          </w:p>
        </w:tc>
        <w:tc>
          <w:tcPr>
            <w:tcW w:w="2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5,000</w:t>
            </w: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231F20"/>
              </w:rPr>
              <w:t>(30,437 )</w:t>
            </w: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(30,437 )</w:t>
            </w:r>
          </w:p>
        </w:tc>
        <w:tc>
          <w:tcPr>
            <w:tcW w:w="0" w:type="dxa"/>
            <w:vAlign w:val="bottom"/>
          </w:tcPr>
          <w:p>
            <w:pPr>
              <w:spacing w:after="0"/>
              <w:rPr>
                <w:sz w:val="1"/>
                <w:szCs w:val="1"/>
                <w:color w:val="auto"/>
              </w:rPr>
            </w:pPr>
          </w:p>
        </w:tc>
      </w:tr>
      <w:tr>
        <w:trPr>
          <w:trHeight w:val="170"/>
        </w:trPr>
        <w:tc>
          <w:tcPr>
            <w:tcW w:w="436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14"/>
                <w:szCs w:val="14"/>
                <w:b w:val="1"/>
                <w:bCs w:val="1"/>
                <w:color w:val="231F20"/>
              </w:rPr>
              <w:t>Balance at December 31, 2024</w:t>
            </w:r>
          </w:p>
        </w:tc>
        <w:tc>
          <w:tcPr>
            <w:tcW w:w="8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2,416,066</w:t>
            </w:r>
          </w:p>
        </w:tc>
        <w:tc>
          <w:tcPr>
            <w:tcW w:w="140" w:type="dxa"/>
            <w:vAlign w:val="bottom"/>
            <w:tcBorders>
              <w:top w:val="single" w:sz="8" w:color="D1EBF3"/>
            </w:tcBorders>
            <w:shd w:val="clear" w:color="auto" w:fill="D1EBF3"/>
          </w:tcPr>
          <w:p>
            <w:pPr>
              <w:spacing w:after="0"/>
              <w:rPr>
                <w:sz w:val="14"/>
                <w:szCs w:val="14"/>
                <w:color w:val="auto"/>
              </w:rPr>
            </w:pPr>
          </w:p>
        </w:tc>
        <w:tc>
          <w:tcPr>
            <w:tcW w:w="1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7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7</w:t>
            </w:r>
          </w:p>
        </w:tc>
        <w:tc>
          <w:tcPr>
            <w:tcW w:w="140" w:type="dxa"/>
            <w:vAlign w:val="bottom"/>
            <w:tcBorders>
              <w:top w:val="single" w:sz="8" w:color="D1EBF3"/>
            </w:tcBorders>
            <w:shd w:val="clear" w:color="auto" w:fill="D1EBF3"/>
          </w:tcPr>
          <w:p>
            <w:pPr>
              <w:spacing w:after="0"/>
              <w:rPr>
                <w:sz w:val="14"/>
                <w:szCs w:val="14"/>
                <w:color w:val="auto"/>
              </w:rPr>
            </w:pPr>
          </w:p>
        </w:tc>
        <w:tc>
          <w:tcPr>
            <w:tcW w:w="160" w:type="dxa"/>
            <w:vAlign w:val="bottom"/>
            <w:tcBorders>
              <w:top w:val="single" w:sz="8" w:color="231F20"/>
              <w:bottom w:val="single" w:sz="8" w:color="231F20"/>
            </w:tcBorders>
            <w:shd w:val="clear" w:color="auto" w:fill="D1EBF3"/>
          </w:tcPr>
          <w:p>
            <w:pPr>
              <w:jc w:val="right"/>
              <w:ind w:right="10"/>
              <w:spacing w:after="0"/>
              <w:rPr>
                <w:sz w:val="20"/>
                <w:szCs w:val="20"/>
                <w:color w:val="auto"/>
              </w:rPr>
            </w:pPr>
            <w:r>
              <w:rPr>
                <w:rFonts w:ascii="Times New Roman" w:cs="Times New Roman" w:eastAsia="Times New Roman" w:hAnsi="Times New Roman"/>
                <w:sz w:val="14"/>
                <w:szCs w:val="14"/>
                <w:color w:val="231F20"/>
                <w:w w:val="85"/>
              </w:rPr>
              <w:t>$</w:t>
            </w:r>
          </w:p>
        </w:tc>
        <w:tc>
          <w:tcPr>
            <w:tcW w:w="9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136,127</w:t>
            </w:r>
          </w:p>
        </w:tc>
        <w:tc>
          <w:tcPr>
            <w:tcW w:w="200" w:type="dxa"/>
            <w:vAlign w:val="bottom"/>
            <w:tcBorders>
              <w:top w:val="single" w:sz="8" w:color="D1EBF3"/>
            </w:tcBorders>
            <w:shd w:val="clear" w:color="auto" w:fill="D1EBF3"/>
          </w:tcPr>
          <w:p>
            <w:pPr>
              <w:spacing w:after="0"/>
              <w:rPr>
                <w:sz w:val="14"/>
                <w:szCs w:val="14"/>
                <w:color w:val="auto"/>
              </w:rPr>
            </w:pPr>
          </w:p>
        </w:tc>
        <w:tc>
          <w:tcPr>
            <w:tcW w:w="1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(121,656</w:t>
            </w:r>
          </w:p>
        </w:tc>
        <w:tc>
          <w:tcPr>
            <w:tcW w:w="200" w:type="dxa"/>
            <w:vAlign w:val="bottom"/>
            <w:tcBorders>
              <w:top w:val="single" w:sz="8" w:color="D1EBF3"/>
            </w:tcBorders>
            <w:shd w:val="clear" w:color="auto" w:fill="D1EBF3"/>
          </w:tcPr>
          <w:p>
            <w:pPr>
              <w:jc w:val="right"/>
              <w:ind w:right="70"/>
              <w:spacing w:after="0"/>
              <w:rPr>
                <w:sz w:val="20"/>
                <w:szCs w:val="20"/>
                <w:color w:val="auto"/>
              </w:rPr>
            </w:pPr>
            <w:r>
              <w:rPr>
                <w:rFonts w:ascii="Times New Roman" w:cs="Times New Roman" w:eastAsia="Times New Roman" w:hAnsi="Times New Roman"/>
                <w:sz w:val="14"/>
                <w:szCs w:val="14"/>
                <w:color w:val="231F20"/>
                <w:w w:val="84"/>
              </w:rPr>
              <w:t>)</w:t>
            </w:r>
          </w:p>
        </w:tc>
        <w:tc>
          <w:tcPr>
            <w:tcW w:w="1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14,478</w:t>
            </w:r>
          </w:p>
        </w:tc>
        <w:tc>
          <w:tcPr>
            <w:tcW w:w="60" w:type="dxa"/>
            <w:vAlign w:val="bottom"/>
            <w:tcBorders>
              <w:top w:val="single" w:sz="8" w:color="D1EBF3"/>
            </w:tcBorders>
            <w:shd w:val="clear" w:color="auto" w:fill="D1EBF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231F20"/>
              </w:rPr>
              <w:t>Issuance of common stock, net of issuance costs</w:t>
            </w:r>
          </w:p>
        </w:tc>
        <w:tc>
          <w:tcPr>
            <w:tcW w:w="8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60" w:type="dxa"/>
            <w:vAlign w:val="bottom"/>
            <w:vMerge w:val="continue"/>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1,865,253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8,563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8,566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Issuance of common stock upon exercise of Series A, B and C</w:t>
            </w:r>
          </w:p>
        </w:tc>
        <w:tc>
          <w:tcPr>
            <w:tcW w:w="88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74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98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96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10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warrants, net of issuance costs</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357,784</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2,264</w:t>
            </w:r>
          </w:p>
        </w:tc>
        <w:tc>
          <w:tcPr>
            <w:tcW w:w="2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2,264</w:t>
            </w: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Issuance of private placement common stock, net of issuance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5,127,029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18,501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18,501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Stock-based compensation expense</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3,189</w:t>
            </w:r>
          </w:p>
        </w:tc>
        <w:tc>
          <w:tcPr>
            <w:tcW w:w="2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3,189</w:t>
            </w: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231F20"/>
              </w:rPr>
              <w:t>(19,440 )</w:t>
            </w: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(19,440 )</w:t>
            </w:r>
          </w:p>
        </w:tc>
        <w:tc>
          <w:tcPr>
            <w:tcW w:w="0" w:type="dxa"/>
            <w:vAlign w:val="bottom"/>
          </w:tcPr>
          <w:p>
            <w:pPr>
              <w:spacing w:after="0"/>
              <w:rPr>
                <w:sz w:val="1"/>
                <w:szCs w:val="1"/>
                <w:color w:val="auto"/>
              </w:rPr>
            </w:pPr>
          </w:p>
        </w:tc>
      </w:tr>
      <w:tr>
        <w:trPr>
          <w:trHeight w:val="190"/>
        </w:trPr>
        <w:tc>
          <w:tcPr>
            <w:tcW w:w="4360" w:type="dxa"/>
            <w:vAlign w:val="bottom"/>
            <w:tcBorders>
              <w:top w:val="single" w:sz="8" w:color="D1EBF3"/>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14"/>
                <w:szCs w:val="14"/>
                <w:b w:val="1"/>
                <w:bCs w:val="1"/>
                <w:color w:val="231F20"/>
              </w:rPr>
              <w:t>Balance at December 31, 2025</w:t>
            </w:r>
          </w:p>
        </w:tc>
        <w:tc>
          <w:tcPr>
            <w:tcW w:w="8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9,766,132</w:t>
            </w:r>
          </w:p>
        </w:tc>
        <w:tc>
          <w:tcPr>
            <w:tcW w:w="140" w:type="dxa"/>
            <w:vAlign w:val="bottom"/>
            <w:tcBorders>
              <w:top w:val="single" w:sz="8" w:color="D1EBF3"/>
              <w:bottom w:val="single" w:sz="8" w:color="D1EBF3"/>
            </w:tcBorders>
            <w:shd w:val="clear" w:color="auto" w:fill="D1EBF3"/>
          </w:tcPr>
          <w:p>
            <w:pPr>
              <w:spacing w:after="0"/>
              <w:rPr>
                <w:sz w:val="16"/>
                <w:szCs w:val="16"/>
                <w:color w:val="auto"/>
              </w:rPr>
            </w:pPr>
          </w:p>
        </w:tc>
        <w:tc>
          <w:tcPr>
            <w:tcW w:w="1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7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10</w:t>
            </w:r>
          </w:p>
        </w:tc>
        <w:tc>
          <w:tcPr>
            <w:tcW w:w="140" w:type="dxa"/>
            <w:vAlign w:val="bottom"/>
            <w:tcBorders>
              <w:top w:val="single" w:sz="8" w:color="D1EBF3"/>
              <w:bottom w:val="single" w:sz="8" w:color="D1EBF3"/>
            </w:tcBorders>
            <w:shd w:val="clear" w:color="auto" w:fill="D1EBF3"/>
          </w:tcPr>
          <w:p>
            <w:pPr>
              <w:spacing w:after="0"/>
              <w:rPr>
                <w:sz w:val="16"/>
                <w:szCs w:val="16"/>
                <w:color w:val="auto"/>
              </w:rPr>
            </w:pPr>
          </w:p>
        </w:tc>
        <w:tc>
          <w:tcPr>
            <w:tcW w:w="160" w:type="dxa"/>
            <w:vAlign w:val="bottom"/>
            <w:tcBorders>
              <w:top w:val="single" w:sz="8" w:color="231F20"/>
              <w:bottom w:val="single" w:sz="8" w:color="231F20"/>
            </w:tcBorders>
            <w:shd w:val="clear" w:color="auto" w:fill="D1EBF3"/>
          </w:tcPr>
          <w:p>
            <w:pPr>
              <w:jc w:val="right"/>
              <w:ind w:right="10"/>
              <w:spacing w:after="0"/>
              <w:rPr>
                <w:sz w:val="20"/>
                <w:szCs w:val="20"/>
                <w:color w:val="auto"/>
              </w:rPr>
            </w:pPr>
            <w:r>
              <w:rPr>
                <w:rFonts w:ascii="Times New Roman" w:cs="Times New Roman" w:eastAsia="Times New Roman" w:hAnsi="Times New Roman"/>
                <w:sz w:val="14"/>
                <w:szCs w:val="14"/>
                <w:color w:val="231F20"/>
                <w:w w:val="85"/>
              </w:rPr>
              <w:t>$</w:t>
            </w:r>
          </w:p>
        </w:tc>
        <w:tc>
          <w:tcPr>
            <w:tcW w:w="9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168,644</w:t>
            </w:r>
          </w:p>
        </w:tc>
        <w:tc>
          <w:tcPr>
            <w:tcW w:w="200" w:type="dxa"/>
            <w:vAlign w:val="bottom"/>
            <w:tcBorders>
              <w:top w:val="single" w:sz="8" w:color="D1EBF3"/>
              <w:bottom w:val="single" w:sz="8" w:color="D1EBF3"/>
            </w:tcBorders>
            <w:shd w:val="clear" w:color="auto" w:fill="D1EBF3"/>
          </w:tcPr>
          <w:p>
            <w:pPr>
              <w:spacing w:after="0"/>
              <w:rPr>
                <w:sz w:val="16"/>
                <w:szCs w:val="16"/>
                <w:color w:val="auto"/>
              </w:rPr>
            </w:pPr>
          </w:p>
        </w:tc>
        <w:tc>
          <w:tcPr>
            <w:tcW w:w="1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(141,096</w:t>
            </w:r>
          </w:p>
        </w:tc>
        <w:tc>
          <w:tcPr>
            <w:tcW w:w="200" w:type="dxa"/>
            <w:vAlign w:val="bottom"/>
            <w:tcBorders>
              <w:top w:val="single" w:sz="8" w:color="D1EBF3"/>
              <w:bottom w:val="single" w:sz="8" w:color="D1EBF3"/>
            </w:tcBorders>
            <w:shd w:val="clear" w:color="auto" w:fill="D1EBF3"/>
          </w:tcPr>
          <w:p>
            <w:pPr>
              <w:jc w:val="right"/>
              <w:ind w:right="70"/>
              <w:spacing w:after="0"/>
              <w:rPr>
                <w:sz w:val="20"/>
                <w:szCs w:val="20"/>
                <w:color w:val="auto"/>
              </w:rPr>
            </w:pPr>
            <w:r>
              <w:rPr>
                <w:rFonts w:ascii="Times New Roman" w:cs="Times New Roman" w:eastAsia="Times New Roman" w:hAnsi="Times New Roman"/>
                <w:sz w:val="14"/>
                <w:szCs w:val="14"/>
                <w:color w:val="231F20"/>
                <w:w w:val="84"/>
              </w:rPr>
              <w:t>)</w:t>
            </w:r>
          </w:p>
        </w:tc>
        <w:tc>
          <w:tcPr>
            <w:tcW w:w="1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27,558</w:t>
            </w:r>
          </w:p>
        </w:tc>
        <w:tc>
          <w:tcPr>
            <w:tcW w:w="60" w:type="dxa"/>
            <w:vAlign w:val="bottom"/>
            <w:tcBorders>
              <w:top w:val="single" w:sz="8" w:color="D1EBF3"/>
              <w:bottom w:val="single" w:sz="8" w:color="D1EBF3"/>
            </w:tcBorders>
            <w:shd w:val="clear" w:color="auto" w:fill="D1EBF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231F20"/>
          <w:vertAlign w:val="superscript"/>
        </w:rPr>
        <w:t>(1)</w:t>
      </w:r>
      <w:r>
        <w:rPr>
          <w:rFonts w:ascii="Times New Roman" w:cs="Times New Roman" w:eastAsia="Times New Roman" w:hAnsi="Times New Roman"/>
          <w:sz w:val="16"/>
          <w:szCs w:val="16"/>
          <w:color w:val="231F20"/>
        </w:rPr>
        <w:t>All share amounts and per share amounts disclosed in this Annual Report on Form 10-K have been restated to reflect a one-for-thirty reverse stock split effected in June 2025. See Note 1, Organization and Nature of Operations, for details.</w:t>
      </w:r>
    </w:p>
    <w:p>
      <w:pPr>
        <w:spacing w:after="0" w:line="24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financial statements.</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110</w:t>
      </w:r>
    </w:p>
    <w:p>
      <w:pPr>
        <w:sectPr>
          <w:pgSz w:w="11880" w:h="15480" w:orient="portrait"/>
          <w:cols w:equalWidth="0" w:num="1">
            <w:col w:w="10240"/>
          </w:cols>
          <w:pgMar w:left="820" w:top="746" w:right="820" w:bottom="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231F20"/>
        </w:rPr>
        <w:t>IN8BIO,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25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20"/>
          <w:szCs w:val="20"/>
          <w:b w:val="1"/>
          <w:bCs w:val="1"/>
          <w:color w:val="231F20"/>
        </w:rPr>
        <w:t>Year Ended</w:t>
      </w:r>
    </w:p>
    <w:p>
      <w:pPr>
        <w:spacing w:after="0" w:line="3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4434205</wp:posOffset>
                </wp:positionH>
                <wp:positionV relativeFrom="paragraph">
                  <wp:posOffset>0</wp:posOffset>
                </wp:positionV>
                <wp:extent cx="200850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85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15pt,0pt" to="507.3pt,0pt" o:allowincell="f" strokecolor="#231F20" strokeweight="0.75pt"/>
            </w:pict>
          </mc:Fallback>
        </mc:AlternateContent>
      </w:r>
    </w:p>
    <w:tbl>
      <w:tblPr>
        <w:tblLayout w:type="fixed"/>
        <w:tblInd w:w="0" w:type="dxa"/>
        <w:tblCellMar>
          <w:top w:w="0" w:type="dxa"/>
          <w:left w:w="0" w:type="dxa"/>
          <w:bottom w:w="0" w:type="dxa"/>
          <w:right w:w="0" w:type="dxa"/>
        </w:tblCellMar>
      </w:tblPr>
      <w:tr>
        <w:trPr>
          <w:trHeight w:val="238"/>
        </w:trPr>
        <w:tc>
          <w:tcPr>
            <w:tcW w:w="6760" w:type="dxa"/>
            <w:vAlign w:val="bottom"/>
            <w:tcBorders>
              <w:bottom w:val="single" w:sz="8" w:color="D1EBF3"/>
            </w:tcBorders>
          </w:tcPr>
          <w:p>
            <w:pPr>
              <w:spacing w:after="0"/>
              <w:rPr>
                <w:sz w:val="20"/>
                <w:szCs w:val="20"/>
                <w:color w:val="auto"/>
              </w:rPr>
            </w:pPr>
          </w:p>
        </w:tc>
        <w:tc>
          <w:tcPr>
            <w:tcW w:w="220" w:type="dxa"/>
            <w:vAlign w:val="bottom"/>
            <w:tcBorders>
              <w:bottom w:val="single" w:sz="8" w:color="D1EBF3"/>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6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00" w:type="dxa"/>
            <w:vAlign w:val="bottom"/>
            <w:tcBorders>
              <w:bottom w:val="single" w:sz="8" w:color="D1EBF3"/>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Operating activities</w:t>
            </w:r>
          </w:p>
        </w:tc>
        <w:tc>
          <w:tcPr>
            <w:tcW w:w="22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30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231F20"/>
              </w:rPr>
              <w:t>Net loss</w:t>
            </w:r>
          </w:p>
        </w:tc>
        <w:tc>
          <w:tcPr>
            <w:tcW w:w="22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(19,440)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(30,437)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Adjustments to reconcile net loss to net cash used in operating activities:</w:t>
            </w:r>
          </w:p>
        </w:tc>
        <w:tc>
          <w:tcPr>
            <w:tcW w:w="2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14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Non-cash stock-based compensation</w:t>
            </w:r>
          </w:p>
        </w:tc>
        <w:tc>
          <w:tcPr>
            <w:tcW w:w="2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3,189</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5,000</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 of finance lease right-of-use assets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Amortization of operating lease right-of-use assets</w:t>
            </w:r>
          </w:p>
        </w:tc>
        <w:tc>
          <w:tcPr>
            <w:tcW w:w="2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730</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820</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Loss on disposal of construction in progress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Changes in operating assets and liabilities:</w:t>
            </w:r>
          </w:p>
        </w:tc>
        <w:tc>
          <w:tcPr>
            <w:tcW w:w="2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14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Prepaid expenses and other current assets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Other non-current assets</w:t>
            </w:r>
          </w:p>
        </w:tc>
        <w:tc>
          <w:tcPr>
            <w:tcW w:w="2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24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244"/>
        </w:trPr>
        <w:tc>
          <w:tcPr>
            <w:tcW w:w="67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Accounts payable</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(535)</w:t>
            </w: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Accrued expenses and other current liabilities</w:t>
            </w:r>
          </w:p>
        </w:tc>
        <w:tc>
          <w:tcPr>
            <w:tcW w:w="2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586</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24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(1,908)</w:t>
            </w:r>
          </w:p>
        </w:tc>
        <w:tc>
          <w:tcPr>
            <w:tcW w:w="0" w:type="dxa"/>
            <w:vAlign w:val="bottom"/>
          </w:tcPr>
          <w:p>
            <w:pPr>
              <w:spacing w:after="0"/>
              <w:rPr>
                <w:sz w:val="1"/>
                <w:szCs w:val="1"/>
                <w:color w:val="auto"/>
              </w:rPr>
            </w:pPr>
          </w:p>
        </w:tc>
      </w:tr>
      <w:tr>
        <w:trPr>
          <w:trHeight w:val="244"/>
        </w:trPr>
        <w:tc>
          <w:tcPr>
            <w:tcW w:w="67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Short-term operating lease liabilities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Long-term operating lease liabilities</w:t>
            </w:r>
          </w:p>
        </w:tc>
        <w:tc>
          <w:tcPr>
            <w:tcW w:w="220" w:type="dxa"/>
            <w:vAlign w:val="bottom"/>
            <w:shd w:val="clear" w:color="auto" w:fill="D1EBF3"/>
          </w:tcPr>
          <w:p>
            <w:pPr>
              <w:spacing w:after="0"/>
              <w:rPr>
                <w:sz w:val="22"/>
                <w:szCs w:val="22"/>
                <w:color w:val="auto"/>
              </w:rPr>
            </w:pPr>
          </w:p>
        </w:tc>
        <w:tc>
          <w:tcPr>
            <w:tcW w:w="320" w:type="dxa"/>
            <w:vAlign w:val="bottom"/>
            <w:shd w:val="clear" w:color="auto" w:fill="D1EBF3"/>
          </w:tcPr>
          <w:p>
            <w:pPr>
              <w:spacing w:after="0"/>
              <w:rPr>
                <w:sz w:val="22"/>
                <w:szCs w:val="22"/>
                <w:color w:val="auto"/>
              </w:rPr>
            </w:pPr>
          </w:p>
        </w:tc>
        <w:tc>
          <w:tcPr>
            <w:tcW w:w="130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(879)</w:t>
            </w:r>
          </w:p>
        </w:tc>
        <w:tc>
          <w:tcPr>
            <w:tcW w:w="100" w:type="dxa"/>
            <w:vAlign w:val="bottom"/>
            <w:shd w:val="clear" w:color="auto" w:fill="D1EBF3"/>
          </w:tcPr>
          <w:p>
            <w:pPr>
              <w:spacing w:after="0"/>
              <w:rPr>
                <w:sz w:val="22"/>
                <w:szCs w:val="22"/>
                <w:color w:val="auto"/>
              </w:rPr>
            </w:pPr>
          </w:p>
        </w:tc>
        <w:tc>
          <w:tcPr>
            <w:tcW w:w="300" w:type="dxa"/>
            <w:vAlign w:val="bottom"/>
            <w:shd w:val="clear" w:color="auto" w:fill="D1EBF3"/>
          </w:tcPr>
          <w:p>
            <w:pPr>
              <w:spacing w:after="0"/>
              <w:rPr>
                <w:sz w:val="22"/>
                <w:szCs w:val="22"/>
                <w:color w:val="auto"/>
              </w:rPr>
            </w:pPr>
          </w:p>
        </w:tc>
        <w:tc>
          <w:tcPr>
            <w:tcW w:w="124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(972)</w:t>
            </w:r>
          </w:p>
        </w:tc>
        <w:tc>
          <w:tcPr>
            <w:tcW w:w="0" w:type="dxa"/>
            <w:vAlign w:val="bottom"/>
          </w:tcPr>
          <w:p>
            <w:pPr>
              <w:spacing w:after="0"/>
              <w:rPr>
                <w:sz w:val="1"/>
                <w:szCs w:val="1"/>
                <w:color w:val="auto"/>
              </w:rPr>
            </w:pPr>
          </w:p>
        </w:tc>
      </w:tr>
      <w:tr>
        <w:trPr>
          <w:trHeight w:val="219"/>
        </w:trPr>
        <w:tc>
          <w:tcPr>
            <w:tcW w:w="6760" w:type="dxa"/>
            <w:vAlign w:val="bottom"/>
            <w:tcBorders>
              <w:top w:val="single" w:sz="8" w:color="D1EBF3"/>
              <w:bottom w:val="single" w:sz="8" w:color="D1EBF3"/>
            </w:tcBorders>
          </w:tcPr>
          <w:p>
            <w:pPr>
              <w:spacing w:after="0" w:line="219" w:lineRule="exact"/>
              <w:rPr>
                <w:sz w:val="20"/>
                <w:szCs w:val="20"/>
                <w:color w:val="auto"/>
              </w:rPr>
            </w:pPr>
            <w:r>
              <w:rPr>
                <w:rFonts w:ascii="Times New Roman" w:cs="Times New Roman" w:eastAsia="Times New Roman" w:hAnsi="Times New Roman"/>
                <w:sz w:val="20"/>
                <w:szCs w:val="20"/>
                <w:color w:val="231F20"/>
              </w:rPr>
              <w:t>Net cash used in operating activities</w:t>
            </w:r>
          </w:p>
        </w:tc>
        <w:tc>
          <w:tcPr>
            <w:tcW w:w="220" w:type="dxa"/>
            <w:vAlign w:val="bottom"/>
            <w:tcBorders>
              <w:top w:val="single" w:sz="8" w:color="D1EBF3"/>
              <w:bottom w:val="single" w:sz="8" w:color="D1EBF3"/>
            </w:tcBorders>
          </w:tcPr>
          <w:p>
            <w:pPr>
              <w:spacing w:after="0"/>
              <w:rPr>
                <w:sz w:val="19"/>
                <w:szCs w:val="19"/>
                <w:color w:val="auto"/>
              </w:rPr>
            </w:pPr>
          </w:p>
        </w:tc>
        <w:tc>
          <w:tcPr>
            <w:tcW w:w="320" w:type="dxa"/>
            <w:vAlign w:val="bottom"/>
            <w:tcBorders>
              <w:top w:val="single" w:sz="8" w:color="231F20"/>
              <w:bottom w:val="single" w:sz="8" w:color="231F20"/>
            </w:tcBorders>
          </w:tcPr>
          <w:p>
            <w:pPr>
              <w:spacing w:after="0"/>
              <w:rPr>
                <w:sz w:val="19"/>
                <w:szCs w:val="19"/>
                <w:color w:val="auto"/>
              </w:rPr>
            </w:pPr>
          </w:p>
        </w:tc>
        <w:tc>
          <w:tcPr>
            <w:tcW w:w="11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(12,712)</w:t>
            </w:r>
          </w:p>
        </w:tc>
        <w:tc>
          <w:tcPr>
            <w:tcW w:w="160" w:type="dxa"/>
            <w:vAlign w:val="bottom"/>
            <w:tcBorders>
              <w:top w:val="single" w:sz="8" w:color="D1EBF3"/>
              <w:bottom w:val="single" w:sz="8" w:color="D1EBF3"/>
            </w:tcBorders>
          </w:tcPr>
          <w:p>
            <w:pPr>
              <w:spacing w:after="0"/>
              <w:rPr>
                <w:sz w:val="19"/>
                <w:szCs w:val="19"/>
                <w:color w:val="auto"/>
              </w:rPr>
            </w:pPr>
          </w:p>
        </w:tc>
        <w:tc>
          <w:tcPr>
            <w:tcW w:w="100" w:type="dxa"/>
            <w:vAlign w:val="bottom"/>
            <w:tcBorders>
              <w:top w:val="single" w:sz="8" w:color="D1EBF3"/>
              <w:bottom w:val="single" w:sz="8" w:color="D1EBF3"/>
            </w:tcBorders>
          </w:tcPr>
          <w:p>
            <w:pPr>
              <w:spacing w:after="0"/>
              <w:rPr>
                <w:sz w:val="19"/>
                <w:szCs w:val="19"/>
                <w:color w:val="auto"/>
              </w:rPr>
            </w:pPr>
          </w:p>
        </w:tc>
        <w:tc>
          <w:tcPr>
            <w:tcW w:w="300" w:type="dxa"/>
            <w:vAlign w:val="bottom"/>
            <w:tcBorders>
              <w:top w:val="single" w:sz="8" w:color="231F20"/>
              <w:bottom w:val="single" w:sz="8" w:color="231F20"/>
            </w:tcBorders>
          </w:tcPr>
          <w:p>
            <w:pPr>
              <w:spacing w:after="0"/>
              <w:rPr>
                <w:sz w:val="19"/>
                <w:szCs w:val="19"/>
                <w:color w:val="auto"/>
              </w:rPr>
            </w:pPr>
          </w:p>
        </w:tc>
        <w:tc>
          <w:tcPr>
            <w:tcW w:w="11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(24,149)</w:t>
            </w:r>
          </w:p>
        </w:tc>
        <w:tc>
          <w:tcPr>
            <w:tcW w:w="100" w:type="dxa"/>
            <w:vAlign w:val="bottom"/>
            <w:tcBorders>
              <w:top w:val="single" w:sz="8" w:color="D1EBF3"/>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Investing activities</w:t>
            </w:r>
          </w:p>
        </w:tc>
        <w:tc>
          <w:tcPr>
            <w:tcW w:w="22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30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Purchases of property and equipment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Construction in progress</w:t>
            </w:r>
          </w:p>
        </w:tc>
        <w:tc>
          <w:tcPr>
            <w:tcW w:w="220" w:type="dxa"/>
            <w:vAlign w:val="bottom"/>
            <w:shd w:val="clear" w:color="auto" w:fill="D1EBF3"/>
          </w:tcPr>
          <w:p>
            <w:pPr>
              <w:spacing w:after="0"/>
              <w:rPr>
                <w:sz w:val="22"/>
                <w:szCs w:val="22"/>
                <w:color w:val="auto"/>
              </w:rPr>
            </w:pPr>
          </w:p>
        </w:tc>
        <w:tc>
          <w:tcPr>
            <w:tcW w:w="320" w:type="dxa"/>
            <w:vAlign w:val="bottom"/>
            <w:shd w:val="clear" w:color="auto" w:fill="D1EBF3"/>
          </w:tcPr>
          <w:p>
            <w:pPr>
              <w:spacing w:after="0"/>
              <w:rPr>
                <w:sz w:val="22"/>
                <w:szCs w:val="22"/>
                <w:color w:val="auto"/>
              </w:rPr>
            </w:pPr>
          </w:p>
        </w:tc>
        <w:tc>
          <w:tcPr>
            <w:tcW w:w="130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22"/>
                <w:szCs w:val="22"/>
                <w:color w:val="auto"/>
              </w:rPr>
            </w:pPr>
          </w:p>
        </w:tc>
        <w:tc>
          <w:tcPr>
            <w:tcW w:w="300" w:type="dxa"/>
            <w:vAlign w:val="bottom"/>
            <w:shd w:val="clear" w:color="auto" w:fill="D1EBF3"/>
          </w:tcPr>
          <w:p>
            <w:pPr>
              <w:spacing w:after="0"/>
              <w:rPr>
                <w:sz w:val="22"/>
                <w:szCs w:val="22"/>
                <w:color w:val="auto"/>
              </w:rPr>
            </w:pPr>
          </w:p>
        </w:tc>
        <w:tc>
          <w:tcPr>
            <w:tcW w:w="124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(83)</w:t>
            </w:r>
          </w:p>
        </w:tc>
        <w:tc>
          <w:tcPr>
            <w:tcW w:w="0" w:type="dxa"/>
            <w:vAlign w:val="bottom"/>
          </w:tcPr>
          <w:p>
            <w:pPr>
              <w:spacing w:after="0"/>
              <w:rPr>
                <w:sz w:val="1"/>
                <w:szCs w:val="1"/>
                <w:color w:val="auto"/>
              </w:rPr>
            </w:pPr>
          </w:p>
        </w:tc>
      </w:tr>
      <w:tr>
        <w:trPr>
          <w:trHeight w:val="219"/>
        </w:trPr>
        <w:tc>
          <w:tcPr>
            <w:tcW w:w="6760" w:type="dxa"/>
            <w:vAlign w:val="bottom"/>
            <w:tcBorders>
              <w:top w:val="single" w:sz="8" w:color="D1EBF3"/>
              <w:bottom w:val="single" w:sz="8" w:color="D1EBF3"/>
            </w:tcBorders>
          </w:tcPr>
          <w:p>
            <w:pPr>
              <w:spacing w:after="0" w:line="219" w:lineRule="exact"/>
              <w:rPr>
                <w:sz w:val="20"/>
                <w:szCs w:val="20"/>
                <w:color w:val="auto"/>
              </w:rPr>
            </w:pPr>
            <w:r>
              <w:rPr>
                <w:rFonts w:ascii="Times New Roman" w:cs="Times New Roman" w:eastAsia="Times New Roman" w:hAnsi="Times New Roman"/>
                <w:sz w:val="20"/>
                <w:szCs w:val="20"/>
                <w:color w:val="231F20"/>
              </w:rPr>
              <w:t>Net cash used in investing activities</w:t>
            </w:r>
          </w:p>
        </w:tc>
        <w:tc>
          <w:tcPr>
            <w:tcW w:w="220" w:type="dxa"/>
            <w:vAlign w:val="bottom"/>
            <w:tcBorders>
              <w:top w:val="single" w:sz="8" w:color="D1EBF3"/>
              <w:bottom w:val="single" w:sz="8" w:color="D1EBF3"/>
            </w:tcBorders>
          </w:tcPr>
          <w:p>
            <w:pPr>
              <w:spacing w:after="0"/>
              <w:rPr>
                <w:sz w:val="19"/>
                <w:szCs w:val="19"/>
                <w:color w:val="auto"/>
              </w:rPr>
            </w:pPr>
          </w:p>
        </w:tc>
        <w:tc>
          <w:tcPr>
            <w:tcW w:w="320" w:type="dxa"/>
            <w:vAlign w:val="bottom"/>
            <w:tcBorders>
              <w:top w:val="single" w:sz="8" w:color="231F20"/>
              <w:bottom w:val="single" w:sz="8" w:color="231F20"/>
            </w:tcBorders>
          </w:tcPr>
          <w:p>
            <w:pPr>
              <w:spacing w:after="0"/>
              <w:rPr>
                <w:sz w:val="19"/>
                <w:szCs w:val="19"/>
                <w:color w:val="auto"/>
              </w:rPr>
            </w:pPr>
          </w:p>
        </w:tc>
        <w:tc>
          <w:tcPr>
            <w:tcW w:w="11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top w:val="single" w:sz="8" w:color="D1EBF3"/>
              <w:bottom w:val="single" w:sz="8" w:color="D1EBF3"/>
            </w:tcBorders>
          </w:tcPr>
          <w:p>
            <w:pPr>
              <w:spacing w:after="0"/>
              <w:rPr>
                <w:sz w:val="19"/>
                <w:szCs w:val="19"/>
                <w:color w:val="auto"/>
              </w:rPr>
            </w:pPr>
          </w:p>
        </w:tc>
        <w:tc>
          <w:tcPr>
            <w:tcW w:w="100" w:type="dxa"/>
            <w:vAlign w:val="bottom"/>
            <w:tcBorders>
              <w:top w:val="single" w:sz="8" w:color="D1EBF3"/>
              <w:bottom w:val="single" w:sz="8" w:color="D1EBF3"/>
            </w:tcBorders>
          </w:tcPr>
          <w:p>
            <w:pPr>
              <w:spacing w:after="0"/>
              <w:rPr>
                <w:sz w:val="19"/>
                <w:szCs w:val="19"/>
                <w:color w:val="auto"/>
              </w:rPr>
            </w:pPr>
          </w:p>
        </w:tc>
        <w:tc>
          <w:tcPr>
            <w:tcW w:w="300" w:type="dxa"/>
            <w:vAlign w:val="bottom"/>
            <w:tcBorders>
              <w:top w:val="single" w:sz="8" w:color="231F20"/>
              <w:bottom w:val="single" w:sz="8" w:color="231F20"/>
            </w:tcBorders>
          </w:tcPr>
          <w:p>
            <w:pPr>
              <w:spacing w:after="0"/>
              <w:rPr>
                <w:sz w:val="19"/>
                <w:szCs w:val="19"/>
                <w:color w:val="auto"/>
              </w:rPr>
            </w:pPr>
          </w:p>
        </w:tc>
        <w:tc>
          <w:tcPr>
            <w:tcW w:w="11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(187)</w:t>
            </w:r>
          </w:p>
        </w:tc>
        <w:tc>
          <w:tcPr>
            <w:tcW w:w="100" w:type="dxa"/>
            <w:vAlign w:val="bottom"/>
            <w:tcBorders>
              <w:top w:val="single" w:sz="8" w:color="D1EBF3"/>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Financing activities</w:t>
            </w:r>
          </w:p>
        </w:tc>
        <w:tc>
          <w:tcPr>
            <w:tcW w:w="22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30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Payment of issuance costs from December 2023 issuance of common stock</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Proceeds from the issuance of common stock, net of issuance costs</w:t>
            </w:r>
          </w:p>
        </w:tc>
        <w:tc>
          <w:tcPr>
            <w:tcW w:w="2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8,566</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3,816</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Proceeds from the exercise of Series A, B and C warrants, net of issuance costs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Proceeds from private placement common stock, net of issuance costs</w:t>
            </w:r>
          </w:p>
        </w:tc>
        <w:tc>
          <w:tcPr>
            <w:tcW w:w="2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18,501</w:t>
            </w:r>
          </w:p>
        </w:tc>
        <w:tc>
          <w:tcPr>
            <w:tcW w:w="1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6,127</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Proceeds from private placement warrants, net of issuance costs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Principal payments on finance leases</w:t>
            </w:r>
          </w:p>
        </w:tc>
        <w:tc>
          <w:tcPr>
            <w:tcW w:w="220" w:type="dxa"/>
            <w:vAlign w:val="bottom"/>
            <w:shd w:val="clear" w:color="auto" w:fill="D1EBF3"/>
          </w:tcPr>
          <w:p>
            <w:pPr>
              <w:spacing w:after="0"/>
              <w:rPr>
                <w:sz w:val="22"/>
                <w:szCs w:val="22"/>
                <w:color w:val="auto"/>
              </w:rPr>
            </w:pPr>
          </w:p>
        </w:tc>
        <w:tc>
          <w:tcPr>
            <w:tcW w:w="320" w:type="dxa"/>
            <w:vAlign w:val="bottom"/>
            <w:shd w:val="clear" w:color="auto" w:fill="D1EBF3"/>
          </w:tcPr>
          <w:p>
            <w:pPr>
              <w:spacing w:after="0"/>
              <w:rPr>
                <w:sz w:val="22"/>
                <w:szCs w:val="22"/>
                <w:color w:val="auto"/>
              </w:rPr>
            </w:pPr>
          </w:p>
        </w:tc>
        <w:tc>
          <w:tcPr>
            <w:tcW w:w="130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(693)</w:t>
            </w:r>
          </w:p>
        </w:tc>
        <w:tc>
          <w:tcPr>
            <w:tcW w:w="100" w:type="dxa"/>
            <w:vAlign w:val="bottom"/>
            <w:shd w:val="clear" w:color="auto" w:fill="D1EBF3"/>
          </w:tcPr>
          <w:p>
            <w:pPr>
              <w:spacing w:after="0"/>
              <w:rPr>
                <w:sz w:val="22"/>
                <w:szCs w:val="22"/>
                <w:color w:val="auto"/>
              </w:rPr>
            </w:pPr>
          </w:p>
        </w:tc>
        <w:tc>
          <w:tcPr>
            <w:tcW w:w="300" w:type="dxa"/>
            <w:vAlign w:val="bottom"/>
            <w:shd w:val="clear" w:color="auto" w:fill="D1EBF3"/>
          </w:tcPr>
          <w:p>
            <w:pPr>
              <w:spacing w:after="0"/>
              <w:rPr>
                <w:sz w:val="22"/>
                <w:szCs w:val="22"/>
                <w:color w:val="auto"/>
              </w:rPr>
            </w:pPr>
          </w:p>
        </w:tc>
        <w:tc>
          <w:tcPr>
            <w:tcW w:w="124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(794)</w:t>
            </w:r>
          </w:p>
        </w:tc>
        <w:tc>
          <w:tcPr>
            <w:tcW w:w="0" w:type="dxa"/>
            <w:vAlign w:val="bottom"/>
          </w:tcPr>
          <w:p>
            <w:pPr>
              <w:spacing w:after="0"/>
              <w:rPr>
                <w:sz w:val="1"/>
                <w:szCs w:val="1"/>
                <w:color w:val="auto"/>
              </w:rPr>
            </w:pPr>
          </w:p>
        </w:tc>
      </w:tr>
      <w:tr>
        <w:trPr>
          <w:trHeight w:val="219"/>
        </w:trPr>
        <w:tc>
          <w:tcPr>
            <w:tcW w:w="6760" w:type="dxa"/>
            <w:vAlign w:val="bottom"/>
            <w:tcBorders>
              <w:top w:val="single" w:sz="8" w:color="D1EBF3"/>
              <w:bottom w:val="single" w:sz="8" w:color="D1EBF3"/>
            </w:tcBorders>
          </w:tcPr>
          <w:p>
            <w:pPr>
              <w:spacing w:after="0" w:line="219" w:lineRule="exact"/>
              <w:rPr>
                <w:sz w:val="20"/>
                <w:szCs w:val="20"/>
                <w:color w:val="auto"/>
              </w:rPr>
            </w:pPr>
            <w:r>
              <w:rPr>
                <w:rFonts w:ascii="Times New Roman" w:cs="Times New Roman" w:eastAsia="Times New Roman" w:hAnsi="Times New Roman"/>
                <w:sz w:val="20"/>
                <w:szCs w:val="20"/>
                <w:color w:val="231F20"/>
              </w:rPr>
              <w:t>Net cash provided by financing activities</w:t>
            </w:r>
          </w:p>
        </w:tc>
        <w:tc>
          <w:tcPr>
            <w:tcW w:w="220" w:type="dxa"/>
            <w:vAlign w:val="bottom"/>
            <w:tcBorders>
              <w:top w:val="single" w:sz="8" w:color="D1EBF3"/>
              <w:bottom w:val="single" w:sz="8" w:color="D1EBF3"/>
            </w:tcBorders>
          </w:tcPr>
          <w:p>
            <w:pPr>
              <w:spacing w:after="0"/>
              <w:rPr>
                <w:sz w:val="19"/>
                <w:szCs w:val="19"/>
                <w:color w:val="auto"/>
              </w:rPr>
            </w:pPr>
          </w:p>
        </w:tc>
        <w:tc>
          <w:tcPr>
            <w:tcW w:w="320" w:type="dxa"/>
            <w:vAlign w:val="bottom"/>
            <w:tcBorders>
              <w:top w:val="single" w:sz="8" w:color="231F20"/>
              <w:bottom w:val="single" w:sz="8" w:color="231F20"/>
            </w:tcBorders>
          </w:tcPr>
          <w:p>
            <w:pPr>
              <w:spacing w:after="0"/>
              <w:rPr>
                <w:sz w:val="19"/>
                <w:szCs w:val="19"/>
                <w:color w:val="auto"/>
              </w:rPr>
            </w:pPr>
          </w:p>
        </w:tc>
        <w:tc>
          <w:tcPr>
            <w:tcW w:w="11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28,638</w:t>
            </w:r>
          </w:p>
        </w:tc>
        <w:tc>
          <w:tcPr>
            <w:tcW w:w="160" w:type="dxa"/>
            <w:vAlign w:val="bottom"/>
            <w:tcBorders>
              <w:top w:val="single" w:sz="8" w:color="D1EBF3"/>
              <w:bottom w:val="single" w:sz="8" w:color="D1EBF3"/>
            </w:tcBorders>
          </w:tcPr>
          <w:p>
            <w:pPr>
              <w:spacing w:after="0"/>
              <w:rPr>
                <w:sz w:val="19"/>
                <w:szCs w:val="19"/>
                <w:color w:val="auto"/>
              </w:rPr>
            </w:pPr>
          </w:p>
        </w:tc>
        <w:tc>
          <w:tcPr>
            <w:tcW w:w="100" w:type="dxa"/>
            <w:vAlign w:val="bottom"/>
            <w:tcBorders>
              <w:top w:val="single" w:sz="8" w:color="D1EBF3"/>
              <w:bottom w:val="single" w:sz="8" w:color="D1EBF3"/>
            </w:tcBorders>
          </w:tcPr>
          <w:p>
            <w:pPr>
              <w:spacing w:after="0"/>
              <w:rPr>
                <w:sz w:val="19"/>
                <w:szCs w:val="19"/>
                <w:color w:val="auto"/>
              </w:rPr>
            </w:pPr>
          </w:p>
        </w:tc>
        <w:tc>
          <w:tcPr>
            <w:tcW w:w="300" w:type="dxa"/>
            <w:vAlign w:val="bottom"/>
            <w:tcBorders>
              <w:top w:val="single" w:sz="8" w:color="231F20"/>
              <w:bottom w:val="single" w:sz="8" w:color="231F20"/>
            </w:tcBorders>
          </w:tcPr>
          <w:p>
            <w:pPr>
              <w:spacing w:after="0"/>
              <w:rPr>
                <w:sz w:val="19"/>
                <w:szCs w:val="19"/>
                <w:color w:val="auto"/>
              </w:rPr>
            </w:pPr>
          </w:p>
        </w:tc>
        <w:tc>
          <w:tcPr>
            <w:tcW w:w="11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14,184</w:t>
            </w:r>
          </w:p>
        </w:tc>
        <w:tc>
          <w:tcPr>
            <w:tcW w:w="100" w:type="dxa"/>
            <w:vAlign w:val="bottom"/>
            <w:tcBorders>
              <w:top w:val="single" w:sz="8" w:color="D1EBF3"/>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increase (decrease) in cash and restricted cash</w:t>
            </w:r>
          </w:p>
        </w:tc>
        <w:tc>
          <w:tcPr>
            <w:tcW w:w="22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15,926</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300" w:type="dxa"/>
            <w:vAlign w:val="bottom"/>
            <w:shd w:val="clear" w:color="auto" w:fill="D1EBF3"/>
          </w:tcPr>
          <w:p>
            <w:pPr>
              <w:spacing w:after="0"/>
              <w:rPr>
                <w:sz w:val="20"/>
                <w:szCs w:val="20"/>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(10,152)</w:t>
            </w: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Cash and restricted cash at beginning of year</w:t>
            </w:r>
          </w:p>
        </w:tc>
        <w:tc>
          <w:tcPr>
            <w:tcW w:w="220" w:type="dxa"/>
            <w:vAlign w:val="bottom"/>
            <w:tcBorders>
              <w:bottom w:val="single" w:sz="8" w:color="D1EBF3"/>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11,386</w:t>
            </w:r>
          </w:p>
        </w:tc>
        <w:tc>
          <w:tcPr>
            <w:tcW w:w="16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21,538</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76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 and restricted cash at end of year</w:t>
            </w:r>
          </w:p>
        </w:tc>
        <w:tc>
          <w:tcPr>
            <w:tcW w:w="22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27,312</w:t>
            </w:r>
          </w:p>
        </w:tc>
        <w:tc>
          <w:tcPr>
            <w:tcW w:w="16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D1EBF3"/>
            </w:tcBorders>
            <w:shd w:val="clear" w:color="auto" w:fill="D1EBF3"/>
          </w:tcPr>
          <w:p>
            <w:pPr>
              <w:spacing w:after="0"/>
              <w:rPr>
                <w:sz w:val="22"/>
                <w:szCs w:val="22"/>
                <w:color w:val="auto"/>
              </w:rPr>
            </w:pPr>
          </w:p>
        </w:tc>
        <w:tc>
          <w:tcPr>
            <w:tcW w:w="300" w:type="dxa"/>
            <w:vAlign w:val="bottom"/>
            <w:tcBorders>
              <w:bottom w:val="single" w:sz="8" w:color="231F20"/>
            </w:tcBorders>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11,386</w:t>
            </w:r>
          </w:p>
        </w:tc>
        <w:tc>
          <w:tcPr>
            <w:tcW w:w="10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line="226" w:lineRule="exact"/>
              <w:rPr>
                <w:sz w:val="20"/>
                <w:szCs w:val="20"/>
                <w:color w:val="auto"/>
              </w:rPr>
            </w:pPr>
            <w:r>
              <w:rPr>
                <w:rFonts w:ascii="Times New Roman" w:cs="Times New Roman" w:eastAsia="Times New Roman" w:hAnsi="Times New Roman"/>
                <w:sz w:val="20"/>
                <w:szCs w:val="20"/>
                <w:b w:val="1"/>
                <w:bCs w:val="1"/>
                <w:color w:val="231F20"/>
              </w:rPr>
              <w:t>Supplemental disclosure of non-cash operating, financing and investing</w:t>
            </w:r>
          </w:p>
        </w:tc>
        <w:tc>
          <w:tcPr>
            <w:tcW w:w="2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67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information:</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Initial measurement of operating lease right-of-use assets and liabilities</w:t>
            </w:r>
          </w:p>
        </w:tc>
        <w:tc>
          <w:tcPr>
            <w:tcW w:w="54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714</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231F20"/>
              </w:rPr>
              <w:t>Initial measurement of finance lease right-of-use assets and liabilities</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Lease modification of operating lease right-of-use assets and liabilities</w:t>
            </w:r>
          </w:p>
        </w:tc>
        <w:tc>
          <w:tcPr>
            <w:tcW w:w="54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(1,287)</w:t>
            </w:r>
          </w:p>
        </w:tc>
        <w:tc>
          <w:tcPr>
            <w:tcW w:w="40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492</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231F20"/>
              </w:rPr>
              <w:t>Lease modification of finance lease right-of-use assets and liabilities</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67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Transfer of construction in progress to property and equipment</w:t>
            </w:r>
          </w:p>
        </w:tc>
        <w:tc>
          <w:tcPr>
            <w:tcW w:w="54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221</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financial statements.</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111</w:t>
      </w:r>
    </w:p>
    <w:p>
      <w:pPr>
        <w:sectPr>
          <w:pgSz w:w="11880" w:h="15480" w:orient="portrait"/>
          <w:cols w:equalWidth="0" w:num="1">
            <w:col w:w="10240"/>
          </w:cols>
          <w:pgMar w:left="820" w:top="746" w:right="820" w:bottom="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231F20"/>
        </w:rPr>
        <w:t>IN8BIO,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Statements of Cash Flows Continued</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56" w:lineRule="exact"/>
        <w:rPr>
          <w:sz w:val="20"/>
          <w:szCs w:val="20"/>
          <w:color w:val="auto"/>
        </w:rPr>
      </w:pPr>
    </w:p>
    <w:p>
      <w:pPr>
        <w:ind w:firstLine="403"/>
        <w:spacing w:after="0" w:line="277" w:lineRule="auto"/>
        <w:rPr>
          <w:sz w:val="20"/>
          <w:szCs w:val="20"/>
          <w:color w:val="auto"/>
        </w:rPr>
      </w:pPr>
      <w:r>
        <w:rPr>
          <w:rFonts w:ascii="Times New Roman" w:cs="Times New Roman" w:eastAsia="Times New Roman" w:hAnsi="Times New Roman"/>
          <w:sz w:val="20"/>
          <w:szCs w:val="20"/>
          <w:color w:val="231F20"/>
        </w:rPr>
        <w:t>The following table provides a reconciliation of cash and restricted cash reported within the balance sheets that sum to the total of the same such amounts shown in the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Year Ended</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6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6980" w:type="dxa"/>
            <w:vAlign w:val="bottom"/>
            <w:tcBorders>
              <w:bottom w:val="single" w:sz="8" w:color="D1EBF3"/>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60" w:type="dxa"/>
            <w:vAlign w:val="bottom"/>
            <w:tcBorders>
              <w:bottom w:val="single" w:sz="8" w:color="D1EBF3"/>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D1EBF3"/>
            </w:tcBorders>
          </w:tcPr>
          <w:p>
            <w:pPr>
              <w:spacing w:after="0"/>
              <w:rPr>
                <w:sz w:val="22"/>
                <w:szCs w:val="22"/>
                <w:color w:val="auto"/>
              </w:rPr>
            </w:pPr>
          </w:p>
        </w:tc>
      </w:tr>
      <w:tr>
        <w:trPr>
          <w:trHeight w:val="239"/>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 end of year</w:t>
            </w:r>
          </w:p>
        </w:tc>
        <w:tc>
          <w:tcPr>
            <w:tcW w:w="300" w:type="dxa"/>
            <w:vAlign w:val="bottom"/>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27,092</w:t>
            </w:r>
          </w:p>
        </w:tc>
        <w:tc>
          <w:tcPr>
            <w:tcW w:w="260" w:type="dxa"/>
            <w:vAlign w:val="bottom"/>
            <w:shd w:val="clear" w:color="auto" w:fill="D1EBF3"/>
          </w:tcPr>
          <w:p>
            <w:pPr>
              <w:spacing w:after="0"/>
              <w:rPr>
                <w:sz w:val="20"/>
                <w:szCs w:val="20"/>
                <w:color w:val="auto"/>
              </w:rPr>
            </w:pPr>
          </w:p>
        </w:tc>
        <w:tc>
          <w:tcPr>
            <w:tcW w:w="480" w:type="dxa"/>
            <w:vAlign w:val="bottom"/>
            <w:shd w:val="clear" w:color="auto" w:fill="D1EBF3"/>
          </w:tcPr>
          <w:p>
            <w:pPr>
              <w:jc w:val="right"/>
              <w:ind w:right="28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11,120</w:t>
            </w:r>
          </w:p>
        </w:tc>
        <w:tc>
          <w:tcPr>
            <w:tcW w:w="80" w:type="dxa"/>
            <w:vAlign w:val="bottom"/>
            <w:shd w:val="clear" w:color="auto" w:fill="D1EBF3"/>
          </w:tcPr>
          <w:p>
            <w:pPr>
              <w:spacing w:after="0"/>
              <w:rPr>
                <w:sz w:val="20"/>
                <w:szCs w:val="20"/>
                <w:color w:val="auto"/>
              </w:rPr>
            </w:pPr>
          </w:p>
        </w:tc>
      </w:tr>
      <w:tr>
        <w:trPr>
          <w:trHeight w:val="244"/>
        </w:trPr>
        <w:tc>
          <w:tcPr>
            <w:tcW w:w="69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Restricted cash, end of year</w:t>
            </w:r>
          </w:p>
        </w:tc>
        <w:tc>
          <w:tcPr>
            <w:tcW w:w="30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220</w:t>
            </w:r>
          </w:p>
        </w:tc>
        <w:tc>
          <w:tcPr>
            <w:tcW w:w="260" w:type="dxa"/>
            <w:vAlign w:val="bottom"/>
            <w:tcBorders>
              <w:bottom w:val="single" w:sz="8" w:color="D1EBF3"/>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80" w:type="dxa"/>
            <w:vAlign w:val="bottom"/>
            <w:tcBorders>
              <w:bottom w:val="single" w:sz="8" w:color="D1EBF3"/>
            </w:tcBorders>
          </w:tcPr>
          <w:p>
            <w:pPr>
              <w:spacing w:after="0"/>
              <w:rPr>
                <w:sz w:val="21"/>
                <w:szCs w:val="21"/>
                <w:color w:val="auto"/>
              </w:rPr>
            </w:pPr>
          </w:p>
        </w:tc>
      </w:tr>
      <w:tr>
        <w:trPr>
          <w:trHeight w:val="239"/>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 and restricted cash, end of year</w:t>
            </w:r>
          </w:p>
        </w:tc>
        <w:tc>
          <w:tcPr>
            <w:tcW w:w="300" w:type="dxa"/>
            <w:vAlign w:val="bottom"/>
            <w:tcBorders>
              <w:bottom w:val="single" w:sz="8" w:color="231F20"/>
            </w:tcBorders>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27,312</w:t>
            </w:r>
          </w:p>
        </w:tc>
        <w:tc>
          <w:tcPr>
            <w:tcW w:w="260" w:type="dxa"/>
            <w:vAlign w:val="bottom"/>
            <w:shd w:val="clear" w:color="auto" w:fill="D1EBF3"/>
          </w:tcPr>
          <w:p>
            <w:pPr>
              <w:spacing w:after="0"/>
              <w:rPr>
                <w:sz w:val="20"/>
                <w:szCs w:val="20"/>
                <w:color w:val="auto"/>
              </w:rPr>
            </w:pPr>
          </w:p>
        </w:tc>
        <w:tc>
          <w:tcPr>
            <w:tcW w:w="480" w:type="dxa"/>
            <w:vAlign w:val="bottom"/>
            <w:tcBorders>
              <w:bottom w:val="single" w:sz="8" w:color="231F20"/>
            </w:tcBorders>
            <w:shd w:val="clear" w:color="auto" w:fill="D1EBF3"/>
          </w:tcPr>
          <w:p>
            <w:pPr>
              <w:jc w:val="right"/>
              <w:ind w:right="28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11,386</w:t>
            </w:r>
          </w:p>
        </w:tc>
        <w:tc>
          <w:tcPr>
            <w:tcW w:w="80" w:type="dxa"/>
            <w:vAlign w:val="bottom"/>
            <w:shd w:val="clear" w:color="auto" w:fill="D1EBF3"/>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financial statements.</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112</w:t>
      </w:r>
    </w:p>
    <w:p>
      <w:pPr>
        <w:sectPr>
          <w:pgSz w:w="11880" w:h="15480" w:orient="portrait"/>
          <w:cols w:equalWidth="0" w:num="1">
            <w:col w:w="10240"/>
          </w:cols>
          <w:pgMar w:left="820" w:top="746" w:right="820" w:bottom="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231F20"/>
        </w:rPr>
        <w:t>IN8BIO,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Financial Statements</w:t>
      </w:r>
    </w:p>
    <w:p>
      <w:pPr>
        <w:spacing w:after="0" w:line="106" w:lineRule="exact"/>
        <w:rPr>
          <w:sz w:val="20"/>
          <w:szCs w:val="20"/>
          <w:color w:val="auto"/>
        </w:rPr>
      </w:pPr>
    </w:p>
    <w:p>
      <w:pPr>
        <w:ind w:right="5340" w:firstLine="8"/>
        <w:spacing w:after="0" w:line="367" w:lineRule="auto"/>
        <w:tabs>
          <w:tab w:leader="none" w:pos="200" w:val="left"/>
        </w:tabs>
        <w:numPr>
          <w:ilvl w:val="0"/>
          <w:numId w:val="4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ORGANIZATION AND NATURE OF OPERATIONS </w:t>
      </w:r>
      <w:r>
        <w:rPr>
          <w:rFonts w:ascii="Times New Roman" w:cs="Times New Roman" w:eastAsia="Times New Roman" w:hAnsi="Times New Roman"/>
          <w:sz w:val="20"/>
          <w:szCs w:val="20"/>
          <w:b w:val="1"/>
          <w:bCs w:val="1"/>
          <w:i w:val="1"/>
          <w:iCs w:val="1"/>
          <w:color w:val="231F20"/>
        </w:rPr>
        <w:t>Organization and Business</w:t>
      </w:r>
    </w:p>
    <w:p>
      <w:pPr>
        <w:spacing w:after="0" w:line="1"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IN8bio, Inc. (the "Company" "our" or "we") is a leading clinical-stage biopharmaceutical company focused on the discovery, development and commercialization of gamma-delta T cell product candidates for cancer and autoimmune diseases. The Company’s lead product candidates, INB-100, currently in an ongoing investigator-sponsored Phase 1 clinical trial of acute myeloid leukemia ("AML"), and INB-200/400, evaluating its DeltEx Drug Resistant Immunotherapy (“DRI”) in patients with newly diagnosed glioblastoma (“GBM”). Most recently the Company introduced INB-600, its proprietary, internally developed T cell engager ("TCE") platform. In addition, the Company’s DeltEx platform has yielded a broad portfolio of preclinical programs, including INB-300 and INB-500, focused on addressing a range of potential applications, from solid tumors to autoimmune diseases and hematological cancers.</w:t>
      </w:r>
    </w:p>
    <w:p>
      <w:pPr>
        <w:spacing w:after="0" w:line="8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Incysus, Inc. ("Incysus") was a corporation formed in the State of Delaware on November 23, 2015 and Incysus, Ltd. was incorporated in Bermuda on February 8, 2016. Incysus was the wholly 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Pipeline Prioritization and Workforce Reduction</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In September 2024, the Company announced a plan to optimize its resource allocation through a pipeline prioritization by suspending further development on INB-400 while seeking partnership opportunities and focusing on development of INB-100 and a workforce reduction of approximately 49%, across all functions. The Company incurred one-time costs of $1.1 million, consisting of stock-based compensation expense of $0.8 million resulting from acceleration in full of outstanding unvested stock options at the separation date for the impacted employees, and $0.3 million related to severance payments during the year ended December 31, 2024. In combination with this reduction, the executive management team and the Board agreed to a 11% reduction in their cash compensation, effective as of September 1, 2024. No costs related to these initiatives were incurred during the year ended December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Reverse Stock Split</w:t>
      </w:r>
    </w:p>
    <w:p>
      <w:pPr>
        <w:spacing w:after="0" w:line="12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On June 5, 2025, the Company effected a reverse stock split at a ratio of one -for-thirty (the "Reverse Stock Split"). Pursuant to their terms, a proportionate adjustment was made to the per share exercise price and the number of shares issuable upon the exercise or vesting of all outstanding stock options and warrants, and the number of shares of the Company’s common stock authorized for issuance pursuant to the Company’s equity incentive plans was reduced proportionally. The Reverse Stock Split did not reduce the number of authorized shares of common stock and did not alter the par value.</w:t>
      </w:r>
    </w:p>
    <w:p>
      <w:pPr>
        <w:spacing w:after="0" w:line="77"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 All share and per share amounts of common stock disclosed in this Annual Report on Form 10-K have been restated to reflect the Reverse Stock Split on a retroactive basis in all periods presented.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Liquidity and Going Concern</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To date, the Company has funded its operations primarily with proceeds from various public and private offerings of its common stock, preferred stock and warrants. The Company has incurred recurring losses and negative operating cash flows since its inception, including net losses of $19.4 million and $30.4 million for the years ended December 31, 2025 and 2024, respectively. As of December 31, 2025, the Company had an accumulated deficit of $ 141.1 million. The Company continues to deploy cash preservation measures to defer or reduce costs in the near term in order to preserve capital and increase financial flexibility given the ongoing market environment for biotechnology stocks. These cash preservation measures may impact the Company's ability and the timing to execute its strategy. This includes the Company's ability to achieve the anticipated milestones and the timing of data releases and/or regulatory filings for its preclinical and clinical programs.</w:t>
      </w:r>
    </w:p>
    <w:p>
      <w:pPr>
        <w:spacing w:after="0" w:line="82"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Company has not yet generated product sales and as a result has experienced operating losses since inception. The Company expects to incur additional losses in the future as it advances its product candidates through clinical trials, seeks to</w:t>
      </w:r>
    </w:p>
    <w:p>
      <w:pPr>
        <w:sectPr>
          <w:pgSz w:w="11880" w:h="15480" w:orient="portrait"/>
          <w:cols w:equalWidth="0" w:num="1">
            <w:col w:w="10240"/>
          </w:cols>
          <w:pgMar w:left="820" w:top="746" w:right="820" w:bottom="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113</w:t>
      </w:r>
    </w:p>
    <w:p>
      <w:pPr>
        <w:sectPr>
          <w:pgSz w:w="11880" w:h="15480" w:orient="portrait"/>
          <w:cols w:equalWidth="0" w:num="1">
            <w:col w:w="10240"/>
          </w:cols>
          <w:pgMar w:left="820" w:top="746" w:right="820" w:bottom="0" w:gutter="0" w:footer="0" w:header="0"/>
          <w:type w:val="continuous"/>
        </w:sectPr>
      </w:pPr>
    </w:p>
    <w:bookmarkStart w:id="119" w:name="page120"/>
    <w:bookmarkEnd w:id="119"/>
    <w:p>
      <w:pPr>
        <w:jc w:val="both"/>
        <w:spacing w:after="0" w:line="247" w:lineRule="auto"/>
        <w:rPr>
          <w:sz w:val="20"/>
          <w:szCs w:val="20"/>
          <w:color w:val="auto"/>
        </w:rPr>
      </w:pPr>
      <w:r>
        <w:rPr>
          <w:rFonts w:ascii="Times New Roman" w:cs="Times New Roman" w:eastAsia="Times New Roman" w:hAnsi="Times New Roman"/>
          <w:sz w:val="20"/>
          <w:szCs w:val="20"/>
          <w:color w:val="231F20"/>
        </w:rPr>
        <w:t>expand its product candidate portfolio through developing additional product candidates, grows its clinical, regulatory and quality capabilities, and incurs costs associated with operating as a public company. The actual amount of cash that the Company will need to operate is subject to many factors. Based on the Company’s business strategy, its existing cash of $27.1 million as of December 31, 2025 is not anticipated to fund the Company’s projected operating expenses and capital expenditure requirements beyond April 2027, and accordingly, there is substantial doubt about the Company’s ability to continue to operate as a going concern.</w:t>
      </w:r>
    </w:p>
    <w:p>
      <w:pPr>
        <w:spacing w:after="0" w:line="8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The Company continues to maintain cash preservation measures to defer or reduce costs in the near term in order to preserve capital and increase financial flexibility. To continue to fund the operations of the Company beyond this time period, management has developed plans, which primarily consist of pipeline prioritization,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 During the year ended December 31, 2025, the Company sold an aggregate of 5,127,029 shares of common stock and 9,452,677 Pre-Funded Warrants for net proceeds of $18.5 million after deducting placement agent fees and other estimated private placement expenses, along with an aggregate of 1,865,253 shares of its common stock under the ATM program, resulting in net proceeds of $8.6 million after deducting commissions and offering expenses.</w:t>
      </w:r>
    </w:p>
    <w:p>
      <w:pPr>
        <w:spacing w:after="0" w:line="86"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In addition, the Company may receive aggregate proceeds of up to $2.3 million from the exercise of its outstanding Series B ordinary warrants ("Series B warrants") if not otherwise redeemed by the Company and up to $6.7 million from the exercise of its outstanding Series C common stock purchase warrants (“Series C warrants”). See Note 7, Warrants, for additional information. There is no assurance, however, that the Company will receive any additional proceeds from these warrants or that any additional financing or any revenue-generating collaboration will be available when needed, that management of the Company will be able to obtain financing or enter into a collaboration on terms acceptable to the Company, or that any additional financing or revenue generated through third-party collaborations will be sufficient to fund our operations through this time period. If additional capital is not available on a timely basis, or at all, the Company will have to significantly delay, scale back or discontinue its research and development programs. If the Company becomes unable to continue as a going concern, it may have to terminate its operations and dispose of its assets and might realize significantly less than the values at which they are carried on its financial statements. These actions may cause the Company’s stockholders to lose all or part of their investment in the Company’s common stock. The accompanying financial statements have been prepared on the basis that the Company will continue as a going concern and do not include adjustments that might result from the outcome of this uncertainty.</w:t>
      </w:r>
    </w:p>
    <w:p>
      <w:pPr>
        <w:spacing w:after="0" w:line="209" w:lineRule="exact"/>
        <w:rPr>
          <w:sz w:val="20"/>
          <w:szCs w:val="20"/>
          <w:color w:val="auto"/>
        </w:rPr>
      </w:pPr>
    </w:p>
    <w:p>
      <w:pPr>
        <w:ind w:right="4820" w:firstLine="8"/>
        <w:spacing w:after="0" w:line="367" w:lineRule="auto"/>
        <w:tabs>
          <w:tab w:leader="none" w:pos="200" w:val="left"/>
        </w:tabs>
        <w:numPr>
          <w:ilvl w:val="0"/>
          <w:numId w:val="4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SUMMARY OF SIGNIFICANT ACCOUNTING POLICIES </w:t>
      </w:r>
      <w:r>
        <w:rPr>
          <w:rFonts w:ascii="Times New Roman" w:cs="Times New Roman" w:eastAsia="Times New Roman" w:hAnsi="Times New Roman"/>
          <w:sz w:val="20"/>
          <w:szCs w:val="20"/>
          <w:b w:val="1"/>
          <w:bCs w:val="1"/>
          <w:i w:val="1"/>
          <w:iCs w:val="1"/>
          <w:color w:val="231F20"/>
        </w:rPr>
        <w:t>Basis of Presentation</w:t>
      </w:r>
    </w:p>
    <w:p>
      <w:pPr>
        <w:spacing w:after="0" w:line="1"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20"/>
          <w:szCs w:val="20"/>
          <w:color w:val="231F20"/>
        </w:rPr>
        <w:t>The Company has prepared the accompanying financial statements in conformity with generally accepted accounting principles in the United States (“U.S. GAAP”).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Use of Estimates</w:t>
      </w:r>
    </w:p>
    <w:p>
      <w:pPr>
        <w:spacing w:after="0" w:line="12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expenses during the reporting periods presented. Such estimates and assumptions are used for, but are not limited to, the accrual of research and development expenses, deferred tax assets and liabilities and the related valuation allowance, stock-based compensation, the useful lives of property and equipment and the valuation of warrants. The Company bases its estimates on historical experience, known trends and other market-specific or other relevant factors that it believes to be reasonable under the circumstances. Actual results could differ from those estimates.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Concentration of Credit Risk</w:t>
      </w:r>
    </w:p>
    <w:p>
      <w:pPr>
        <w:spacing w:after="0" w:line="120" w:lineRule="exact"/>
        <w:rPr>
          <w:sz w:val="20"/>
          <w:szCs w:val="20"/>
          <w:color w:val="auto"/>
        </w:rPr>
      </w:pPr>
    </w:p>
    <w:p>
      <w:pPr>
        <w:jc w:val="both"/>
        <w:ind w:firstLine="400"/>
        <w:spacing w:after="0" w:line="258" w:lineRule="auto"/>
        <w:rPr>
          <w:sz w:val="20"/>
          <w:szCs w:val="20"/>
          <w:color w:val="auto"/>
        </w:rPr>
      </w:pPr>
      <w:r>
        <w:rPr>
          <w:rFonts w:ascii="Times New Roman" w:cs="Times New Roman" w:eastAsia="Times New Roman" w:hAnsi="Times New Roman"/>
          <w:sz w:val="20"/>
          <w:szCs w:val="20"/>
          <w:color w:val="231F20"/>
        </w:rPr>
        <w:t>Financial instruments that potentially expose the Company to significant concentrations of credit risk consist primarily of cash and restricted cash. All of the Company’s cash and restricted cash is deposited in accounts with major financial institutions. Such deposits are in excess of the federally insured limits.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1880" w:h="15480" w:orient="portrait"/>
          <w:cols w:equalWidth="0" w:num="1">
            <w:col w:w="10240"/>
          </w:cols>
          <w:pgMar w:left="820" w:top="750" w:right="82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w:t>
      </w:r>
    </w:p>
    <w:p>
      <w:pPr>
        <w:spacing w:after="0" w:line="12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231F20"/>
        </w:rPr>
        <w:t>Property and equipment are stated at cost, less accumulated depreciation and amortization. Depreciation and amortization of property and equipment is calculated using 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Furniture</w:t>
            </w:r>
          </w:p>
        </w:tc>
        <w:tc>
          <w:tcPr>
            <w:tcW w:w="3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Estimated Useful Life</w:t>
            </w:r>
          </w:p>
        </w:tc>
        <w:tc>
          <w:tcPr>
            <w:tcW w:w="0" w:type="dxa"/>
            <w:vAlign w:val="bottom"/>
          </w:tcPr>
          <w:p>
            <w:pPr>
              <w:spacing w:after="0"/>
              <w:rPr>
                <w:sz w:val="1"/>
                <w:szCs w:val="1"/>
                <w:color w:val="auto"/>
              </w:rPr>
            </w:pPr>
          </w:p>
        </w:tc>
      </w:tr>
      <w:tr>
        <w:trPr>
          <w:trHeight w:val="206"/>
        </w:trPr>
        <w:tc>
          <w:tcPr>
            <w:tcW w:w="4700" w:type="dxa"/>
            <w:vAlign w:val="bottom"/>
            <w:vMerge w:val="continue"/>
          </w:tcPr>
          <w:p>
            <w:pPr>
              <w:spacing w:after="0"/>
              <w:rPr>
                <w:sz w:val="17"/>
                <w:szCs w:val="17"/>
                <w:color w:val="auto"/>
              </w:rPr>
            </w:pPr>
          </w:p>
        </w:tc>
        <w:tc>
          <w:tcPr>
            <w:tcW w:w="3060" w:type="dxa"/>
            <w:vAlign w:val="bottom"/>
          </w:tcPr>
          <w:p>
            <w:pPr>
              <w:jc w:val="center"/>
              <w:spacing w:after="0" w:line="206" w:lineRule="exact"/>
              <w:rPr>
                <w:sz w:val="20"/>
                <w:szCs w:val="20"/>
                <w:color w:val="auto"/>
              </w:rPr>
            </w:pPr>
            <w:r>
              <w:rPr>
                <w:rFonts w:ascii="Times New Roman" w:cs="Times New Roman" w:eastAsia="Times New Roman" w:hAnsi="Times New Roman"/>
                <w:sz w:val="20"/>
                <w:szCs w:val="20"/>
                <w:color w:val="231F20"/>
              </w:rPr>
              <w:t>5 years</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Machinery and equipment</w:t>
            </w: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3-5 years</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Software</w:t>
            </w: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 years</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The shorter of the useful life of the</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leasehold improvement or the</w:t>
            </w:r>
          </w:p>
        </w:tc>
        <w:tc>
          <w:tcPr>
            <w:tcW w:w="0" w:type="dxa"/>
            <w:vAlign w:val="bottom"/>
          </w:tcPr>
          <w:p>
            <w:pPr>
              <w:spacing w:after="0"/>
              <w:rPr>
                <w:sz w:val="1"/>
                <w:szCs w:val="1"/>
                <w:color w:val="auto"/>
              </w:rPr>
            </w:pPr>
          </w:p>
        </w:tc>
      </w:tr>
      <w:tr>
        <w:trPr>
          <w:trHeight w:val="266"/>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remaining term of the lease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5652770</wp:posOffset>
                </wp:positionH>
                <wp:positionV relativeFrom="paragraph">
                  <wp:posOffset>-891540</wp:posOffset>
                </wp:positionV>
                <wp:extent cx="1301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4763"/>
                        </a:xfrm>
                        <a:prstGeom prst="line">
                          <a:avLst/>
                        </a:prstGeom>
                        <a:solidFill>
                          <a:srgbClr val="FFFFFF"/>
                        </a:solidFill>
                        <a:ln w="9525">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1pt,-70.1999pt" to="455.35pt,-70.1999pt" o:allowincell="f" strokecolor="#FFFFFF" strokeweight="0.75pt"/>
            </w:pict>
          </mc:Fallback>
        </mc:AlternateContent>
      </w:r>
    </w:p>
    <w:p>
      <w:pPr>
        <w:spacing w:after="0" w:line="220"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20"/>
          <w:szCs w:val="20"/>
          <w:color w:val="231F20"/>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balance sheet and any gain or loss is reflected in the statements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12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231F20"/>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future undiscounted cash flows expected to be generated by the asset. Impairment losses are then measured by comparing the fair value of assets to their carrying amounts. There were no impairments recorded for the years ended December 31, 2025 and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Costs</w:t>
      </w:r>
    </w:p>
    <w:p>
      <w:pPr>
        <w:spacing w:after="0" w:line="12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231F20"/>
        </w:rPr>
        <w:t>Research and development costs are generally expensed as incurred and consist primarily of salaries and benefits, stock-based compensation expense, lab supplies and facility costs, as well as fees paid to nonemployees and entities that conduct certain research and development activities on the Company’s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spacing w:after="0" w:line="8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The Company analyzes the progress of clinical trials, invoices received and contracted costs when evaluating the adequacy of the amount expensed and the related prepaid asset and accrued liability. The Company makes significant judgments and estimates in determining the accrued balance and expense in each accounting period. As actual costs become known, the Company adjusts the accrued estimates. Although the Company does not expect the estimates to be materially different from amounts actually incurred, the status and timing of services performed, the number of patients enrolled and the rate of patient enrollment may vary from the Company’s estimates and could result in the Company reporting amounts that are too high or too low in any particular period. The Company’s research and development costs are dependent, in part, upon the receipt of timely and accurate reporting from clinical research organizations and other third-party service providers.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2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231F20"/>
        </w:rPr>
        <w:t xml:space="preserve">The Company accounts for its lease obligations in accordance with Financial Accounting Standards Board (“FASB”) Accounting Standards Update (“ASU”) No. 2016-02,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xml:space="preserve"> (Topic 842) (“ASU 2016-02” or “ASC 842”). At the inception of an arrangement, the Company determines whether the arrangement is or contains a lease based on the unique facts and circumstances present in the arrangement. Leases with a term greater than one year are recognized on the balance sheet as right-of-use assets and current and non-current lease liabilities, as applicable.</w:t>
      </w:r>
    </w:p>
    <w:p>
      <w:pPr>
        <w:spacing w:after="0" w:line="7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231F20"/>
        </w:rPr>
        <w:t>Operating and finance lease liabilities and their corresponding right-of-use assets are initially recorded based on the present value of lease payments over the expected remaining lease term.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and remeasure the lease liability at the net present value using the same incremental borrowing rate that was in effect as of the lease commencement date.</w:t>
      </w:r>
    </w:p>
    <w:p>
      <w:pPr>
        <w:sectPr>
          <w:pgSz w:w="11880" w:h="15480" w:orient="portrait"/>
          <w:cols w:equalWidth="0" w:num="1">
            <w:col w:w="10240"/>
          </w:cols>
          <w:pgMar w:left="820" w:top="750" w:right="820" w:bottom="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1880" w:h="15480" w:orient="portrait"/>
          <w:cols w:equalWidth="0" w:num="1">
            <w:col w:w="10240"/>
          </w:cols>
          <w:pgMar w:left="820" w:top="750" w:right="820" w:bottom="0" w:gutter="0" w:footer="0" w:header="0"/>
          <w:type w:val="continuous"/>
        </w:sectPr>
      </w:pPr>
    </w:p>
    <w:bookmarkStart w:id="121" w:name="page122"/>
    <w:bookmarkEnd w:id="121"/>
    <w:p>
      <w:pPr>
        <w:jc w:val="both"/>
        <w:ind w:firstLine="400"/>
        <w:spacing w:after="0" w:line="247" w:lineRule="auto"/>
        <w:rPr>
          <w:sz w:val="20"/>
          <w:szCs w:val="20"/>
          <w:color w:val="auto"/>
        </w:rPr>
      </w:pPr>
      <w:r>
        <w:rPr>
          <w:rFonts w:ascii="Times New Roman" w:cs="Times New Roman" w:eastAsia="Times New Roman" w:hAnsi="Times New Roman"/>
          <w:sz w:val="20"/>
          <w:szCs w:val="20"/>
          <w:color w:val="231F20"/>
        </w:rPr>
        <w:t>The Company recognizes rent expense related to our operating leases on a straight-line basis over the lease term. The Company will adjust the operating right-of-use assets for straight-line rent expense and remeasure the lease liability at the net present value using the same incremental borrowing rate that was in effect as of the lease commencement date. For finance leases, our right-of-use assets are amortized on a straight-line basis over the earlier of the useful life of the right-of- use asset or the end of the lease term with rent expense recorded to operating expenses. The Company will adjust the lease liability to reflect lease payments made during the period and interest incurred on the lease liability using the effective interest method.</w:t>
      </w:r>
    </w:p>
    <w:p>
      <w:pPr>
        <w:spacing w:after="0" w:line="80"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20"/>
          <w:szCs w:val="20"/>
          <w:color w:val="231F20"/>
        </w:rPr>
        <w:t>In accordance with ASC 842, components of a lease should be split into three categories: lease components, non-lease components, and non -components. The fixed and in-substance fixed contract consideration (including any consideration related to non-components) must be allocated based on the respective relative fair values to the lease components and non-lease components.</w:t>
      </w:r>
    </w:p>
    <w:p>
      <w:pPr>
        <w:spacing w:after="0" w:line="74" w:lineRule="exact"/>
        <w:rPr>
          <w:sz w:val="20"/>
          <w:szCs w:val="20"/>
          <w:color w:val="auto"/>
        </w:rPr>
      </w:pPr>
    </w:p>
    <w:p>
      <w:pPr>
        <w:jc w:val="both"/>
        <w:ind w:firstLine="400"/>
        <w:spacing w:after="0" w:line="258" w:lineRule="auto"/>
        <w:rPr>
          <w:sz w:val="20"/>
          <w:szCs w:val="20"/>
          <w:color w:val="auto"/>
        </w:rPr>
      </w:pPr>
      <w:r>
        <w:rPr>
          <w:rFonts w:ascii="Times New Roman" w:cs="Times New Roman" w:eastAsia="Times New Roman" w:hAnsi="Times New Roman"/>
          <w:sz w:val="20"/>
          <w:szCs w:val="20"/>
          <w:color w:val="231F20"/>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spacing w:after="0" w:line="68"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20"/>
          <w:szCs w:val="20"/>
          <w:color w:val="231F20"/>
        </w:rPr>
        <w:t>Modification to existing lease agreements, including changes to the lease term or payment amounts, are reviewed to determine whether they result in a separate contract. For modifications that do not result in a separate contract, management reviews the lease classification and re-measures the related right-of-use assets and lease liabilities at the effective date of the modification.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of Financial Instruments</w:t>
      </w:r>
    </w:p>
    <w:p>
      <w:pPr>
        <w:spacing w:after="0" w:line="12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231F20"/>
        </w:rPr>
        <w:t>The Company applies fair value accounting for all financial assets and liabilities and nonfinancial assets and liabilities that are required to be disclosed at fair value in the financial statements. Fair value is the price at which an asset could be exchanged, or a liability transferred (an exit price) in an orderly transaction between knowledgeable, willing parties in the principal or most advantageous market for the asset or liability. Where available, fair value is based on observable market prices or parameters or derived from such prices or parameters. Where observable prices or inputs are not available, valuation models are applied.</w:t>
      </w:r>
    </w:p>
    <w:p>
      <w:pPr>
        <w:spacing w:after="0" w:line="80"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Company’s financial instruments include cash and restricted cash, and accounts payable. The carrying amounts of cash, restricted cash, and accounts payable approximate fair value due to the short-term nature of these instruments.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2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231F20"/>
        </w:rPr>
        <w:t>The Company uses the asset-and-liability method for income taxes. Under this method, deferred tax assets and liabilities are determined based on differences between the consolidated financial statement carrying amounts and tax bases of assets and liabilities and operating loss and tax credit carryforwards. These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when necessary to reduce deferred tax assets to an amount that, in the opinion of management, is more likely than not to be realized.</w:t>
      </w:r>
    </w:p>
    <w:p>
      <w:pPr>
        <w:spacing w:after="0" w:line="80"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The calculation of the income tax expense involves the use of estimates, assumptions and judgments while taking into account current tax laws and our interpretation of current and possible outcomes of future tax audits. In addition, our policy for accounting for uncertainty in income taxes requires the evaluation of tax positions taken or expected to be taken in the course of the preparation of tax returns to determine whether the tax positions are "more-likely-than-not"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 The Company classifies interest and penalty expense related to uncertain tax positions as a component of operating expenses on the consolidated statements of operations. As of December 31, 2025, the Company had no accrued interest or penalties.</w:t>
      </w:r>
    </w:p>
    <w:p>
      <w:pPr>
        <w:spacing w:after="0" w:line="86"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20"/>
          <w:szCs w:val="20"/>
          <w:color w:val="231F20"/>
        </w:rPr>
        <w:t>Tax regulations within each jurisdiction are subject to the interpretation of the related tax laws and regulations and require application of significant judgment. The Company is subject to U.S. federal and various state and local jurisdictions. Due to the Company’s net operating loss carryforwards, the Company may be subject to examination by authorities for all previously filed income tax returns.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Warrants</w:t>
      </w:r>
    </w:p>
    <w:p>
      <w:pPr>
        <w:spacing w:after="0" w:line="120"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20"/>
          <w:szCs w:val="20"/>
          <w:color w:val="231F20"/>
        </w:rPr>
        <w:t xml:space="preserve">The Company accounts for issued warrants as either liability or equity in accordance with ASC Topic 480-10, </w:t>
      </w:r>
      <w:r>
        <w:rPr>
          <w:rFonts w:ascii="Times New Roman" w:cs="Times New Roman" w:eastAsia="Times New Roman" w:hAnsi="Times New Roman"/>
          <w:sz w:val="20"/>
          <w:szCs w:val="20"/>
          <w:i w:val="1"/>
          <w:iCs w:val="1"/>
          <w:color w:val="231F20"/>
        </w:rPr>
        <w:t>Accounting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for Certain Financial Instruments with Characteristics of both Liabilities and Equity </w:t>
      </w:r>
      <w:r>
        <w:rPr>
          <w:rFonts w:ascii="Times New Roman" w:cs="Times New Roman" w:eastAsia="Times New Roman" w:hAnsi="Times New Roman"/>
          <w:sz w:val="20"/>
          <w:szCs w:val="20"/>
          <w:color w:val="231F20"/>
        </w:rPr>
        <w:t>(“ASC 480-10”) or ASC Topic 815-40,</w:t>
      </w:r>
      <w:r>
        <w:rPr>
          <w:rFonts w:ascii="Times New Roman" w:cs="Times New Roman" w:eastAsia="Times New Roman" w:hAnsi="Times New Roman"/>
          <w:sz w:val="20"/>
          <w:szCs w:val="20"/>
          <w:i w:val="1"/>
          <w:iCs w:val="1"/>
          <w:color w:val="231F20"/>
        </w:rPr>
        <w:t xml:space="preserve"> Accounting for Derivative Financial Instruments Indexed to, and Potentially Settled in, a Company’s Own Stock </w:t>
      </w:r>
      <w:r>
        <w:rPr>
          <w:rFonts w:ascii="Times New Roman" w:cs="Times New Roman" w:eastAsia="Times New Roman" w:hAnsi="Times New Roman"/>
          <w:sz w:val="20"/>
          <w:szCs w:val="20"/>
          <w:color w:val="231F20"/>
        </w:rPr>
        <w:t>(“ASC 815-40”). Under ASC 480-10, warrants are accounted for as liability if they are mandatorily redeemable and they require settlement</w:t>
      </w:r>
    </w:p>
    <w:p>
      <w:pPr>
        <w:sectPr>
          <w:pgSz w:w="11880" w:h="15480" w:orient="portrait"/>
          <w:cols w:equalWidth="0" w:num="1">
            <w:col w:w="10240"/>
          </w:cols>
          <w:pgMar w:left="820" w:top="750" w:right="820" w:bottom="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116</w:t>
      </w:r>
    </w:p>
    <w:p>
      <w:pPr>
        <w:sectPr>
          <w:pgSz w:w="11880" w:h="15480" w:orient="portrait"/>
          <w:cols w:equalWidth="0" w:num="1">
            <w:col w:w="10240"/>
          </w:cols>
          <w:pgMar w:left="820" w:top="750" w:right="820" w:bottom="0" w:gutter="0" w:footer="0" w:header="0"/>
          <w:type w:val="continuous"/>
        </w:sectPr>
      </w:pPr>
    </w:p>
    <w:bookmarkStart w:id="122" w:name="page123"/>
    <w:bookmarkEnd w:id="122"/>
    <w:p>
      <w:pPr>
        <w:jc w:val="both"/>
        <w:spacing w:after="0" w:line="244" w:lineRule="auto"/>
        <w:rPr>
          <w:sz w:val="20"/>
          <w:szCs w:val="20"/>
          <w:color w:val="auto"/>
        </w:rPr>
      </w:pPr>
      <w:r>
        <w:rPr>
          <w:rFonts w:ascii="Times New Roman" w:cs="Times New Roman" w:eastAsia="Times New Roman" w:hAnsi="Times New Roman"/>
          <w:sz w:val="20"/>
          <w:szCs w:val="20"/>
          <w:color w:val="231F20"/>
        </w:rPr>
        <w:t>in cash or other assets, or a variable number of shares. If warrants do not meet the criteria to be accounted for as liability under ASC 480-10, the Company considers the requirements of ASC 815-40 to determine whether the warrants should be accounted for as liability or equity. Under ASC 815-40, contracts that may require settlement for cash are accounted for as a liability, regardless of the probability of the occurrence of the triggering event. If warrants do not meet the criteria to be accounted for as a liability under ASC 815-40, in order to conclude warrants should be accounted for as equity, the Company assesses whether the warrants are indexed to its common stock and whether the warrants are accounted for as equity under ASC 815-40 or other applicable U.S. GAAP. Warrants that meet the criteria to be accounted for as equity are recorded at fair value on the issuance date with no changes in fair value recognized after the issuance date. Warrants that meet the criteria to be accounted for as equity will be recorded within additional paid-in capital. After all relevant assessments, the Company concludes whether the warrants are accounted for as liability or equity. See Note 7, Warrants, for information regarding the warrants issued.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12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231F20"/>
        </w:rPr>
        <w:t>The Company measures all stock-based awards granted to employees, nonemployees and directors based on the fair value on the date of the grant and recognizes compensation expense for those awards over the requisite service period, which is generally the vesting period of the respective award. The stock-based compensation expense is accounted for in the statements of operations based on the awards’ grant date fair values. The Company accounts for forfeitures as they occur by reversing any expense recognized for unvested awards.</w:t>
      </w:r>
    </w:p>
    <w:p>
      <w:pPr>
        <w:spacing w:after="0" w:line="7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231F20"/>
        </w:rPr>
        <w:t xml:space="preserve">The Company estimates the fair value of options granted using the Black-Scholes option pricing model. The Black-Scholes option pricing model requires inputs based on certain subjective assumptions, including (a) the expected stock price volatility, (b) the calculation of expected term of the award, (c) the risk-free interest rate and (d) expected dividends. Due to a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allowed by the Securities and Exchange Commission ("SEC") Staff Accounting Bulletin (“SAB”) No. 107, </w:t>
      </w:r>
      <w:r>
        <w:rPr>
          <w:rFonts w:ascii="Times New Roman" w:cs="Times New Roman" w:eastAsia="Times New Roman" w:hAnsi="Times New Roman"/>
          <w:sz w:val="20"/>
          <w:szCs w:val="20"/>
          <w:i w:val="1"/>
          <w:iCs w:val="1"/>
          <w:color w:val="231F20"/>
        </w:rPr>
        <w:t>Share-Based Payment</w:t>
      </w:r>
      <w:r>
        <w:rPr>
          <w:rFonts w:ascii="Times New Roman" w:cs="Times New Roman" w:eastAsia="Times New Roman" w:hAnsi="Times New Roman"/>
          <w:sz w:val="20"/>
          <w:szCs w:val="20"/>
          <w:color w:val="231F20"/>
        </w:rPr>
        <w:t>,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Capitalized Software</w:t>
      </w:r>
    </w:p>
    <w:p>
      <w:pPr>
        <w:spacing w:after="0" w:line="120" w:lineRule="exact"/>
        <w:rPr>
          <w:sz w:val="20"/>
          <w:szCs w:val="20"/>
          <w:color w:val="auto"/>
        </w:rPr>
      </w:pPr>
    </w:p>
    <w:p>
      <w:pPr>
        <w:jc w:val="both"/>
        <w:ind w:firstLine="400"/>
        <w:spacing w:after="0" w:line="258" w:lineRule="auto"/>
        <w:rPr>
          <w:sz w:val="20"/>
          <w:szCs w:val="20"/>
          <w:color w:val="auto"/>
        </w:rPr>
      </w:pPr>
      <w:r>
        <w:rPr>
          <w:rFonts w:ascii="Times New Roman" w:cs="Times New Roman" w:eastAsia="Times New Roman" w:hAnsi="Times New Roman"/>
          <w:sz w:val="20"/>
          <w:szCs w:val="20"/>
          <w:color w:val="231F20"/>
        </w:rPr>
        <w:t xml:space="preserve">The Company capitalizes the application development phase costs of internal use software in accordance with ASC Topic 350-40, </w:t>
      </w:r>
      <w:r>
        <w:rPr>
          <w:rFonts w:ascii="Times New Roman" w:cs="Times New Roman" w:eastAsia="Times New Roman" w:hAnsi="Times New Roman"/>
          <w:sz w:val="20"/>
          <w:szCs w:val="20"/>
          <w:i w:val="1"/>
          <w:iCs w:val="1"/>
          <w:color w:val="231F20"/>
        </w:rPr>
        <w:t>Intangibles-Goodwill and Other-Internal Use Software</w:t>
      </w:r>
      <w:r>
        <w:rPr>
          <w:rFonts w:ascii="Times New Roman" w:cs="Times New Roman" w:eastAsia="Times New Roman" w:hAnsi="Times New Roman"/>
          <w:sz w:val="20"/>
          <w:szCs w:val="20"/>
          <w:color w:val="231F20"/>
        </w:rPr>
        <w:t xml:space="preserve"> ("ASC 350-40"). Capitalized costs will be amortized on a straight-line basis over the estimated useful life of the asset upon completion.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Segment Information</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Operating segments are defined as components of an enterprise for which separate and discrete information is available for evaluation by the chief operating decision-maker in deciding how to allocate resources and assess performance. The Company has one operating segment, which is the business focused on the discovery, development and commercialization of gamma-delta T cell product candidates for solid and liquid tumors. The Company’s chief operating decision maker ("CODM"), its Chief Executive Officer ("CEO"), manages the Company’s operations on a consolidated basis for the purposes of allocating resources. The allocation of resources and assessment of performance of the operating segment is based on consolidated net income (loss) as shown in our consolidated statements of operations. All of the Company’s long-lived assets are held in the United States. For additional segment information, see Note 14, Segments</w:t>
      </w:r>
      <w:r>
        <w:rPr>
          <w:rFonts w:ascii="Times New Roman" w:cs="Times New Roman" w:eastAsia="Times New Roman" w:hAnsi="Times New Roman"/>
          <w:sz w:val="19"/>
          <w:szCs w:val="19"/>
          <w:i w:val="1"/>
          <w:iCs w:val="1"/>
          <w:color w:val="231F20"/>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Recently Issued Accounting Standards Updates</w:t>
      </w:r>
    </w:p>
    <w:p>
      <w:pPr>
        <w:spacing w:after="0" w:line="12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231F20"/>
        </w:rPr>
        <w:t>In December 2023, the FASB issued ASU 2023-09, Income Taxes (Topic 740): Improvements to Income Tax Disclosures, which expands the disclosures required for income taxes. This ASU is effective for fiscal years beginning after December 15, 2024, with early adoption permitted. The amendment should be applied on a prospective basis while retrospective application is permitted. The Company adopted the standard effective January 1, 2025 on a retrospective basis. See Note 10, Income Taxes, for further disclosure.</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117</w:t>
      </w:r>
    </w:p>
    <w:p>
      <w:pPr>
        <w:sectPr>
          <w:pgSz w:w="11880" w:h="15480" w:orient="portrait"/>
          <w:cols w:equalWidth="0" w:num="1">
            <w:col w:w="10240"/>
          </w:cols>
          <w:pgMar w:left="820" w:top="750" w:right="82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231F20"/>
        </w:rPr>
        <w:t>3. PREPAID EXPENSES AND OTHER CURRENT ASSETS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Prepaid expenses and other current assets consist of the following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980" w:type="dxa"/>
            <w:vAlign w:val="bottom"/>
            <w:tcBorders>
              <w:bottom w:val="single" w:sz="8" w:color="D1EBF3"/>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260" w:type="dxa"/>
            <w:vAlign w:val="bottom"/>
            <w:tcBorders>
              <w:bottom w:val="single" w:sz="8" w:color="D1EBF3"/>
            </w:tcBorders>
          </w:tcPr>
          <w:p>
            <w:pPr>
              <w:spacing w:after="0"/>
              <w:rPr>
                <w:sz w:val="17"/>
                <w:szCs w:val="17"/>
                <w:color w:val="auto"/>
              </w:rPr>
            </w:pPr>
          </w:p>
        </w:tc>
        <w:tc>
          <w:tcPr>
            <w:tcW w:w="2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0" w:type="dxa"/>
            <w:vAlign w:val="bottom"/>
            <w:tcBorders>
              <w:bottom w:val="single" w:sz="8" w:color="231F20"/>
            </w:tcBorders>
          </w:tcPr>
          <w:p>
            <w:pPr>
              <w:spacing w:after="0"/>
              <w:rPr>
                <w:sz w:val="17"/>
                <w:szCs w:val="17"/>
                <w:color w:val="auto"/>
              </w:rPr>
            </w:pPr>
          </w:p>
        </w:tc>
        <w:tc>
          <w:tcPr>
            <w:tcW w:w="80" w:type="dxa"/>
            <w:vAlign w:val="bottom"/>
            <w:tcBorders>
              <w:bottom w:val="single" w:sz="8" w:color="D1EBF3"/>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8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Prepaid research and development</w:t>
            </w:r>
          </w:p>
        </w:tc>
        <w:tc>
          <w:tcPr>
            <w:tcW w:w="180" w:type="dxa"/>
            <w:vAlign w:val="bottom"/>
            <w:gridSpan w:val="2"/>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80" w:type="dxa"/>
            <w:vAlign w:val="bottom"/>
            <w:gridSpan w:val="2"/>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450</w:t>
            </w:r>
          </w:p>
        </w:tc>
        <w:tc>
          <w:tcPr>
            <w:tcW w:w="8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Prepaid insurance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w:t>
            </w:r>
          </w:p>
        </w:tc>
        <w:tc>
          <w:tcPr>
            <w:tcW w:w="2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259</w:t>
            </w:r>
          </w:p>
        </w:tc>
        <w:tc>
          <w:tcPr>
            <w:tcW w:w="26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360" w:type="dxa"/>
            <w:vAlign w:val="bottom"/>
            <w:gridSpan w:val="3"/>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298</w:t>
            </w:r>
          </w:p>
        </w:tc>
        <w:tc>
          <w:tcPr>
            <w:tcW w:w="0" w:type="dxa"/>
            <w:vAlign w:val="bottom"/>
          </w:tcPr>
          <w:p>
            <w:pPr>
              <w:spacing w:after="0"/>
              <w:rPr>
                <w:sz w:val="1"/>
                <w:szCs w:val="1"/>
                <w:color w:val="auto"/>
              </w:rPr>
            </w:pPr>
          </w:p>
        </w:tc>
      </w:tr>
      <w:tr>
        <w:trPr>
          <w:trHeight w:val="225"/>
        </w:trPr>
        <w:tc>
          <w:tcPr>
            <w:tcW w:w="69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Prepaid expenses and other current assets</w:t>
            </w:r>
          </w:p>
        </w:tc>
        <w:tc>
          <w:tcPr>
            <w:tcW w:w="180" w:type="dxa"/>
            <w:vAlign w:val="bottom"/>
            <w:tcBorders>
              <w:top w:val="single" w:sz="8" w:color="231F20"/>
              <w:bottom w:val="single" w:sz="8" w:color="231F20"/>
            </w:tcBorders>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788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80" w:type="dxa"/>
            <w:vAlign w:val="bottom"/>
            <w:tcBorders>
              <w:top w:val="single" w:sz="8" w:color="231F20"/>
              <w:bottom w:val="single" w:sz="8" w:color="231F20"/>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4. PROPERTY AND EQUIPMENT, NET</w:t>
            </w: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6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9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Property and equipment, net consist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980" w:type="dxa"/>
            <w:vAlign w:val="bottom"/>
            <w:tcBorders>
              <w:bottom w:val="single" w:sz="8" w:color="D1EBF3"/>
            </w:tcBorders>
          </w:tcPr>
          <w:p>
            <w:pPr>
              <w:spacing w:after="0"/>
              <w:rPr>
                <w:sz w:val="17"/>
                <w:szCs w:val="17"/>
                <w:color w:val="auto"/>
              </w:rPr>
            </w:pPr>
          </w:p>
        </w:tc>
        <w:tc>
          <w:tcPr>
            <w:tcW w:w="2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260" w:type="dxa"/>
            <w:vAlign w:val="bottom"/>
            <w:tcBorders>
              <w:bottom w:val="single" w:sz="8" w:color="D1EBF3"/>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0" w:type="dxa"/>
            <w:vAlign w:val="bottom"/>
            <w:tcBorders>
              <w:bottom w:val="single" w:sz="8" w:color="D1EBF3"/>
            </w:tcBorders>
          </w:tcPr>
          <w:p>
            <w:pPr>
              <w:spacing w:after="0"/>
              <w:rPr>
                <w:sz w:val="17"/>
                <w:szCs w:val="17"/>
                <w:color w:val="auto"/>
              </w:rPr>
            </w:pPr>
          </w:p>
        </w:tc>
        <w:tc>
          <w:tcPr>
            <w:tcW w:w="80" w:type="dxa"/>
            <w:vAlign w:val="bottom"/>
            <w:tcBorders>
              <w:bottom w:val="single" w:sz="8" w:color="D1EBF3"/>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Machinery and equipment</w:t>
            </w:r>
          </w:p>
        </w:tc>
        <w:tc>
          <w:tcPr>
            <w:tcW w:w="2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385</w:t>
            </w:r>
          </w:p>
        </w:tc>
        <w:tc>
          <w:tcPr>
            <w:tcW w:w="260" w:type="dxa"/>
            <w:vAlign w:val="bottom"/>
            <w:shd w:val="clear" w:color="auto" w:fill="D1EBF3"/>
          </w:tcPr>
          <w:p>
            <w:pPr>
              <w:spacing w:after="0"/>
              <w:rPr>
                <w:sz w:val="20"/>
                <w:szCs w:val="20"/>
                <w:color w:val="auto"/>
              </w:rPr>
            </w:pPr>
          </w:p>
        </w:tc>
        <w:tc>
          <w:tcPr>
            <w:tcW w:w="1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449</w:t>
            </w:r>
          </w:p>
        </w:tc>
        <w:tc>
          <w:tcPr>
            <w:tcW w:w="2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Furniture and fixtures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Software</w:t>
            </w:r>
          </w:p>
        </w:tc>
        <w:tc>
          <w:tcPr>
            <w:tcW w:w="2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346</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12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346</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3,924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Less accumulated depreciation and amortization</w:t>
            </w:r>
          </w:p>
        </w:tc>
        <w:tc>
          <w:tcPr>
            <w:tcW w:w="20" w:type="dxa"/>
            <w:vAlign w:val="bottom"/>
            <w:shd w:val="clear" w:color="auto" w:fill="D1EBF3"/>
          </w:tcPr>
          <w:p>
            <w:pPr>
              <w:spacing w:after="0"/>
              <w:rPr>
                <w:sz w:val="22"/>
                <w:szCs w:val="22"/>
                <w:color w:val="auto"/>
              </w:rPr>
            </w:pPr>
          </w:p>
        </w:tc>
        <w:tc>
          <w:tcPr>
            <w:tcW w:w="160" w:type="dxa"/>
            <w:vAlign w:val="bottom"/>
            <w:shd w:val="clear" w:color="auto" w:fill="D1EBF3"/>
          </w:tcPr>
          <w:p>
            <w:pPr>
              <w:spacing w:after="0"/>
              <w:rPr>
                <w:sz w:val="22"/>
                <w:szCs w:val="22"/>
                <w:color w:val="auto"/>
              </w:rPr>
            </w:pPr>
          </w:p>
        </w:tc>
        <w:tc>
          <w:tcPr>
            <w:tcW w:w="154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(3,199)</w:t>
            </w:r>
          </w:p>
        </w:tc>
        <w:tc>
          <w:tcPr>
            <w:tcW w:w="20" w:type="dxa"/>
            <w:vAlign w:val="bottom"/>
            <w:shd w:val="clear" w:color="auto" w:fill="D1EBF3"/>
          </w:tcPr>
          <w:p>
            <w:pPr>
              <w:spacing w:after="0"/>
              <w:rPr>
                <w:sz w:val="22"/>
                <w:szCs w:val="22"/>
                <w:color w:val="auto"/>
              </w:rPr>
            </w:pPr>
          </w:p>
        </w:tc>
        <w:tc>
          <w:tcPr>
            <w:tcW w:w="160" w:type="dxa"/>
            <w:vAlign w:val="bottom"/>
            <w:shd w:val="clear" w:color="auto" w:fill="D1EBF3"/>
          </w:tcPr>
          <w:p>
            <w:pPr>
              <w:spacing w:after="0"/>
              <w:rPr>
                <w:sz w:val="22"/>
                <w:szCs w:val="22"/>
                <w:color w:val="auto"/>
              </w:rPr>
            </w:pPr>
          </w:p>
        </w:tc>
        <w:tc>
          <w:tcPr>
            <w:tcW w:w="1360" w:type="dxa"/>
            <w:vAlign w:val="bottom"/>
            <w:gridSpan w:val="3"/>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(2,263)</w:t>
            </w:r>
          </w:p>
        </w:tc>
        <w:tc>
          <w:tcPr>
            <w:tcW w:w="0" w:type="dxa"/>
            <w:vAlign w:val="bottom"/>
          </w:tcPr>
          <w:p>
            <w:pPr>
              <w:spacing w:after="0"/>
              <w:rPr>
                <w:sz w:val="1"/>
                <w:szCs w:val="1"/>
                <w:color w:val="auto"/>
              </w:rPr>
            </w:pPr>
          </w:p>
        </w:tc>
      </w:tr>
      <w:tr>
        <w:trPr>
          <w:trHeight w:val="219"/>
        </w:trPr>
        <w:tc>
          <w:tcPr>
            <w:tcW w:w="6980" w:type="dxa"/>
            <w:vAlign w:val="bottom"/>
            <w:tcBorders>
              <w:top w:val="single" w:sz="8" w:color="D1EBF3"/>
            </w:tcBorders>
          </w:tcPr>
          <w:p>
            <w:pPr>
              <w:spacing w:after="0" w:line="219" w:lineRule="exact"/>
              <w:rPr>
                <w:sz w:val="20"/>
                <w:szCs w:val="20"/>
                <w:color w:val="auto"/>
              </w:rPr>
            </w:pPr>
            <w:r>
              <w:rPr>
                <w:rFonts w:ascii="Times New Roman" w:cs="Times New Roman" w:eastAsia="Times New Roman" w:hAnsi="Times New Roman"/>
                <w:sz w:val="20"/>
                <w:szCs w:val="20"/>
                <w:color w:val="231F20"/>
              </w:rPr>
              <w:t>Property and equipment, net</w:t>
            </w:r>
          </w:p>
        </w:tc>
        <w:tc>
          <w:tcPr>
            <w:tcW w:w="20" w:type="dxa"/>
            <w:vAlign w:val="bottom"/>
            <w:tcBorders>
              <w:top w:val="single" w:sz="8" w:color="D1EBF3"/>
            </w:tcBorders>
          </w:tcPr>
          <w:p>
            <w:pPr>
              <w:spacing w:after="0"/>
              <w:rPr>
                <w:sz w:val="19"/>
                <w:szCs w:val="19"/>
                <w:color w:val="auto"/>
              </w:rPr>
            </w:pPr>
          </w:p>
        </w:tc>
        <w:tc>
          <w:tcPr>
            <w:tcW w:w="160" w:type="dxa"/>
            <w:vAlign w:val="bottom"/>
            <w:tcBorders>
              <w:top w:val="single" w:sz="8" w:color="231F20"/>
              <w:bottom w:val="single" w:sz="8" w:color="231F20"/>
            </w:tcBorders>
          </w:tcPr>
          <w:p>
            <w:pPr>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1,858</w:t>
            </w:r>
          </w:p>
        </w:tc>
        <w:tc>
          <w:tcPr>
            <w:tcW w:w="260" w:type="dxa"/>
            <w:vAlign w:val="bottom"/>
            <w:tcBorders>
              <w:top w:val="single" w:sz="8" w:color="D1EBF3"/>
            </w:tcBorders>
          </w:tcPr>
          <w:p>
            <w:pPr>
              <w:spacing w:after="0"/>
              <w:rPr>
                <w:sz w:val="19"/>
                <w:szCs w:val="19"/>
                <w:color w:val="auto"/>
              </w:rPr>
            </w:pPr>
          </w:p>
        </w:tc>
        <w:tc>
          <w:tcPr>
            <w:tcW w:w="180" w:type="dxa"/>
            <w:vAlign w:val="bottom"/>
            <w:tcBorders>
              <w:top w:val="single" w:sz="8" w:color="231F20"/>
              <w:bottom w:val="single" w:sz="8" w:color="231F20"/>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2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2,858</w:t>
            </w:r>
          </w:p>
        </w:tc>
        <w:tc>
          <w:tcPr>
            <w:tcW w:w="20" w:type="dxa"/>
            <w:vAlign w:val="bottom"/>
            <w:tcBorders>
              <w:top w:val="single" w:sz="8" w:color="D1EBF3"/>
            </w:tcBorders>
          </w:tcPr>
          <w:p>
            <w:pPr>
              <w:spacing w:after="0"/>
              <w:rPr>
                <w:sz w:val="19"/>
                <w:szCs w:val="19"/>
                <w:color w:val="auto"/>
              </w:rPr>
            </w:pPr>
          </w:p>
        </w:tc>
        <w:tc>
          <w:tcPr>
            <w:tcW w:w="80" w:type="dxa"/>
            <w:vAlign w:val="bottom"/>
            <w:tcBorders>
              <w:top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Depreciation and amortization expense was $1.0 million for each of the years ended December 31, 2025 and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5. ACCRUED EXPENSES AND OTHER CURRENT LIABILITIES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Accrued expenses and other current liabilities consist of the following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6"/>
                <w:szCs w:val="16"/>
                <w:color w:val="auto"/>
              </w:rPr>
            </w:pPr>
          </w:p>
        </w:tc>
      </w:tr>
      <w:tr>
        <w:trPr>
          <w:trHeight w:val="203"/>
        </w:trPr>
        <w:tc>
          <w:tcPr>
            <w:tcW w:w="698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7"/>
                <w:szCs w:val="17"/>
                <w:color w:val="auto"/>
              </w:rPr>
            </w:pPr>
          </w:p>
        </w:tc>
      </w:tr>
      <w:tr>
        <w:trPr>
          <w:trHeight w:val="239"/>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Accrued clinical trials</w:t>
            </w:r>
          </w:p>
        </w:tc>
        <w:tc>
          <w:tcPr>
            <w:tcW w:w="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260" w:type="dxa"/>
            <w:vAlign w:val="bottom"/>
            <w:shd w:val="clear" w:color="auto" w:fill="D1EBF3"/>
          </w:tcPr>
          <w:p>
            <w:pPr>
              <w:spacing w:after="0"/>
              <w:rPr>
                <w:sz w:val="20"/>
                <w:szCs w:val="20"/>
                <w:color w:val="auto"/>
              </w:rPr>
            </w:pPr>
          </w:p>
        </w:tc>
        <w:tc>
          <w:tcPr>
            <w:tcW w:w="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485</w:t>
            </w:r>
          </w:p>
        </w:tc>
        <w:tc>
          <w:tcPr>
            <w:tcW w:w="80" w:type="dxa"/>
            <w:vAlign w:val="bottom"/>
            <w:shd w:val="clear" w:color="auto" w:fill="D1EBF3"/>
          </w:tcPr>
          <w:p>
            <w:pPr>
              <w:spacing w:after="0"/>
              <w:rPr>
                <w:sz w:val="20"/>
                <w:szCs w:val="20"/>
                <w:color w:val="auto"/>
              </w:rPr>
            </w:pPr>
          </w:p>
        </w:tc>
      </w:tr>
      <w:tr>
        <w:trPr>
          <w:trHeight w:val="244"/>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Accrued research and development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80" w:type="dxa"/>
            <w:vAlign w:val="bottom"/>
          </w:tcPr>
          <w:p>
            <w:pPr>
              <w:spacing w:after="0"/>
              <w:rPr>
                <w:sz w:val="21"/>
                <w:szCs w:val="21"/>
                <w:color w:val="auto"/>
              </w:rPr>
            </w:pPr>
          </w:p>
        </w:tc>
      </w:tr>
      <w:tr>
        <w:trPr>
          <w:trHeight w:val="244"/>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Accrued compensation</w:t>
            </w:r>
          </w:p>
        </w:tc>
        <w:tc>
          <w:tcPr>
            <w:tcW w:w="18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1,305</w:t>
            </w:r>
          </w:p>
        </w:tc>
        <w:tc>
          <w:tcPr>
            <w:tcW w:w="26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80" w:type="dxa"/>
            <w:vAlign w:val="bottom"/>
            <w:shd w:val="clear" w:color="auto" w:fill="D1EBF3"/>
          </w:tcPr>
          <w:p>
            <w:pPr>
              <w:spacing w:after="0"/>
              <w:rPr>
                <w:sz w:val="21"/>
                <w:szCs w:val="21"/>
                <w:color w:val="auto"/>
              </w:rPr>
            </w:pPr>
          </w:p>
        </w:tc>
      </w:tr>
      <w:tr>
        <w:trPr>
          <w:trHeight w:val="244"/>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Accrued legal</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w:t>
            </w:r>
          </w:p>
        </w:tc>
        <w:tc>
          <w:tcPr>
            <w:tcW w:w="80" w:type="dxa"/>
            <w:vAlign w:val="bottom"/>
          </w:tcPr>
          <w:p>
            <w:pPr>
              <w:spacing w:after="0"/>
              <w:rPr>
                <w:sz w:val="21"/>
                <w:szCs w:val="21"/>
                <w:color w:val="auto"/>
              </w:rPr>
            </w:pPr>
          </w:p>
        </w:tc>
      </w:tr>
      <w:tr>
        <w:trPr>
          <w:trHeight w:val="264"/>
        </w:trPr>
        <w:tc>
          <w:tcPr>
            <w:tcW w:w="698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Accrued other</w:t>
            </w:r>
          </w:p>
        </w:tc>
        <w:tc>
          <w:tcPr>
            <w:tcW w:w="180" w:type="dxa"/>
            <w:vAlign w:val="bottom"/>
            <w:tcBorders>
              <w:bottom w:val="single" w:sz="8" w:color="231F20"/>
            </w:tcBorders>
            <w:shd w:val="clear" w:color="auto" w:fill="D1EBF3"/>
          </w:tcPr>
          <w:p>
            <w:pPr>
              <w:spacing w:after="0"/>
              <w:rPr>
                <w:sz w:val="22"/>
                <w:szCs w:val="22"/>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260" w:type="dxa"/>
            <w:vAlign w:val="bottom"/>
            <w:tcBorders>
              <w:bottom w:val="single" w:sz="8" w:color="D1EBF3"/>
            </w:tcBorders>
            <w:shd w:val="clear" w:color="auto" w:fill="D1EBF3"/>
          </w:tcPr>
          <w:p>
            <w:pPr>
              <w:spacing w:after="0"/>
              <w:rPr>
                <w:sz w:val="22"/>
                <w:szCs w:val="22"/>
                <w:color w:val="auto"/>
              </w:rPr>
            </w:pPr>
          </w:p>
        </w:tc>
        <w:tc>
          <w:tcPr>
            <w:tcW w:w="180" w:type="dxa"/>
            <w:vAlign w:val="bottom"/>
            <w:tcBorders>
              <w:bottom w:val="single" w:sz="8" w:color="231F20"/>
            </w:tcBorders>
            <w:shd w:val="clear" w:color="auto" w:fill="D1EBF3"/>
          </w:tcPr>
          <w:p>
            <w:pPr>
              <w:spacing w:after="0"/>
              <w:rPr>
                <w:sz w:val="22"/>
                <w:szCs w:val="22"/>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80" w:type="dxa"/>
            <w:vAlign w:val="bottom"/>
            <w:tcBorders>
              <w:bottom w:val="single" w:sz="8" w:color="D1EBF3"/>
            </w:tcBorders>
            <w:shd w:val="clear" w:color="auto" w:fill="D1EBF3"/>
          </w:tcPr>
          <w:p>
            <w:pPr>
              <w:spacing w:after="0"/>
              <w:rPr>
                <w:sz w:val="22"/>
                <w:szCs w:val="22"/>
                <w:color w:val="auto"/>
              </w:rPr>
            </w:pPr>
          </w:p>
        </w:tc>
      </w:tr>
      <w:tr>
        <w:trPr>
          <w:trHeight w:val="219"/>
        </w:trPr>
        <w:tc>
          <w:tcPr>
            <w:tcW w:w="69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Accrued expenses and other current liabilities</w:t>
            </w:r>
          </w:p>
        </w:tc>
        <w:tc>
          <w:tcPr>
            <w:tcW w:w="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1,633</w:t>
            </w:r>
          </w:p>
        </w:tc>
        <w:tc>
          <w:tcPr>
            <w:tcW w:w="260" w:type="dxa"/>
            <w:vAlign w:val="bottom"/>
          </w:tcPr>
          <w:p>
            <w:pPr>
              <w:spacing w:after="0"/>
              <w:rPr>
                <w:sz w:val="19"/>
                <w:szCs w:val="19"/>
                <w:color w:val="auto"/>
              </w:rPr>
            </w:pPr>
          </w:p>
        </w:tc>
        <w:tc>
          <w:tcPr>
            <w:tcW w:w="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1,047</w:t>
            </w: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6. STOCKHOLDERS' EQUITY</w:t>
      </w:r>
    </w:p>
    <w:p>
      <w:pPr>
        <w:spacing w:after="0" w:line="124"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Company’s authorized capital stock consists of 500,000,000 shares, all with a par value of $0.0001 per share, of which 490,000,000 shares are designated as common stock and 10,000,000 shares are designated as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ATM Facility</w:t>
      </w:r>
    </w:p>
    <w:p>
      <w:pPr>
        <w:spacing w:after="0" w:line="120" w:lineRule="exact"/>
        <w:rPr>
          <w:sz w:val="20"/>
          <w:szCs w:val="20"/>
          <w:color w:val="auto"/>
        </w:rPr>
      </w:pPr>
    </w:p>
    <w:p>
      <w:pPr>
        <w:jc w:val="both"/>
        <w:ind w:firstLine="403"/>
        <w:spacing w:after="0" w:line="236" w:lineRule="auto"/>
        <w:rPr>
          <w:sz w:val="20"/>
          <w:szCs w:val="20"/>
          <w:color w:val="auto"/>
        </w:rPr>
      </w:pPr>
      <w:r>
        <w:rPr>
          <w:rFonts w:ascii="Times New Roman" w:cs="Times New Roman" w:eastAsia="Times New Roman" w:hAnsi="Times New Roman"/>
          <w:sz w:val="20"/>
          <w:szCs w:val="20"/>
          <w:color w:val="231F20"/>
        </w:rPr>
        <w:t>In November 2022, the Company filed a shelf registration statement on Form S-3 (File No. 333-268288) (the “2022 Shelf Registration Statement”) with the SEC, which permits the offering, issuance and sale by the Company of up to a maximum aggregate offering price of $200.0 million of its common stock and preferred stock, various series of debt securities and/or warrants to purchase any of such securities, of which $50.0 million of common stock may be issued and sold pursuant to an at-the-market offering program (“ATM”). The Company entered into a Controlled Equity Offering</w:t>
      </w:r>
      <w:r>
        <w:rPr>
          <w:rFonts w:ascii="Times New Roman" w:cs="Times New Roman" w:eastAsia="Times New Roman" w:hAnsi="Times New Roman"/>
          <w:sz w:val="26"/>
          <w:szCs w:val="26"/>
          <w:color w:val="231F20"/>
          <w:vertAlign w:val="superscript"/>
        </w:rPr>
        <w:t>SM</w:t>
      </w:r>
      <w:r>
        <w:rPr>
          <w:rFonts w:ascii="Times New Roman" w:cs="Times New Roman" w:eastAsia="Times New Roman" w:hAnsi="Times New Roman"/>
          <w:sz w:val="20"/>
          <w:szCs w:val="20"/>
          <w:color w:val="231F20"/>
        </w:rPr>
        <w:t xml:space="preserve"> sales agreement, (the "Sales Agreement") with Cantor Fitzgerald &amp; Co. (“Cantor Fitzgerald”) and Truist Securities, Inc. (“Truist”) under which Cantor Fitzgerald and Truist agreed to act as sales agents to sell shares of the Company’s common stock, from time to time, through the ATM program. On March 8, 2024, the Company delivered a termination notice to Truist, removing them as a sales agent under the ATM program. Such termination became effective on March 14, 2024.</w:t>
      </w:r>
    </w:p>
    <w:p>
      <w:pPr>
        <w:spacing w:after="0" w:line="87"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In November 2025, the filed a shelf registration statement on Form S-3 (File No. 333-291393) (the “2025 Shelf Registration Statement”) with the SEC, which would permit the offering, issuance and sale by the Company of up to a maximum aggregate offering price of $200 million of its securities and which has not yet been declared effective, to replace the</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118</w:t>
      </w:r>
    </w:p>
    <w:p>
      <w:pPr>
        <w:sectPr>
          <w:pgSz w:w="11880" w:h="15480" w:orient="portrait"/>
          <w:cols w:equalWidth="0" w:num="1">
            <w:col w:w="10240"/>
          </w:cols>
          <w:pgMar w:left="820" w:top="746" w:right="820" w:bottom="0" w:gutter="0" w:footer="0" w:header="0"/>
          <w:type w:val="continuous"/>
        </w:sectPr>
      </w:pPr>
    </w:p>
    <w:bookmarkStart w:id="124" w:name="page125"/>
    <w:bookmarkEnd w:id="124"/>
    <w:p>
      <w:pPr>
        <w:jc w:val="both"/>
        <w:spacing w:after="0" w:line="277" w:lineRule="auto"/>
        <w:rPr>
          <w:sz w:val="20"/>
          <w:szCs w:val="20"/>
          <w:color w:val="auto"/>
        </w:rPr>
      </w:pPr>
      <w:r>
        <w:rPr>
          <w:rFonts w:ascii="Times New Roman" w:cs="Times New Roman" w:eastAsia="Times New Roman" w:hAnsi="Times New Roman"/>
          <w:sz w:val="20"/>
          <w:szCs w:val="20"/>
          <w:color w:val="231F20"/>
        </w:rPr>
        <w:t>expiring 2022 Shelf Registration Statement. The 2022 Shelf Registration Statement will remain in effect until the earlier of May 20, 2026 and the effective date of the 2025 Shelf Registration Statement.</w:t>
      </w:r>
    </w:p>
    <w:p>
      <w:pPr>
        <w:spacing w:after="0" w:line="45" w:lineRule="exact"/>
        <w:rPr>
          <w:sz w:val="20"/>
          <w:szCs w:val="20"/>
          <w:color w:val="auto"/>
        </w:rPr>
      </w:pPr>
    </w:p>
    <w:p>
      <w:pPr>
        <w:jc w:val="both"/>
        <w:ind w:firstLine="403"/>
        <w:spacing w:after="0"/>
        <w:rPr>
          <w:sz w:val="20"/>
          <w:szCs w:val="20"/>
          <w:color w:val="auto"/>
        </w:rPr>
      </w:pPr>
      <w:r>
        <w:rPr>
          <w:rFonts w:ascii="Times New Roman" w:cs="Times New Roman" w:eastAsia="Times New Roman" w:hAnsi="Times New Roman"/>
          <w:sz w:val="20"/>
          <w:szCs w:val="20"/>
          <w:color w:val="231F20"/>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December 31, 2025, the Company's calculated public float was less than $75.0 million. During the years ended December 31, 2025 and 2024, the Company sold an aggregate of 1,865,253 and 115,972 shares, respectively, of its common stock under the ATM, resulting in net proceeds of $8.6 million and $3.8 million, respectively, after deducting underwriting discounts. As of December 31, 2025, $5.9 million remained available for the sale of our common stock under the ATM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2023 Private Placement</w:t>
      </w:r>
    </w:p>
    <w:p>
      <w:pPr>
        <w:spacing w:after="0" w:line="115"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231F20"/>
        </w:rPr>
        <w:t>On December 11, 2023, the Company entered into a Securities Purchase Agreement (the "2023 Purchase Agreement"), with multiple investors (the “2023 Private Placement”), pursuant to which the Company issued and sold an aggregate of 394,118 units (the “Units”) comprised of (A) (1) one share of common stock, par value $0.0001 per share (the "2023 Shares"), or (2) one pre-funded warrant to purchase one share of common stock (the “2023 Pre-Funded Warrants”) and, in each case, (B) one Series A ordinary warrant to purchase one share of common stock (the “Series A warrants”) and (C) one Series B ordinary warrant to purchase one share of common stock (the “Series B warrants”). In connection with the 2023 Private Placement, the Company issued an aggregate of 11,249,588 shares of common stock (the "2023 Shares"), 19,141 2023 Pre-Funded Warrants, 394,118 Series A warrants and 394,118 Series B warrants. The Units were sold at a purchase price of $ 36.60 per Unit, for net proceeds of $13.5 million, after deducting fees and expenses. The closing of the 2023 Private Placement occurred on December 13, 2023.</w:t>
      </w:r>
    </w:p>
    <w:p>
      <w:pPr>
        <w:spacing w:after="0" w:line="84"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connection with the 2023 Private Placement, we also entered into a registration rights agreement with the investors who participated in the 2024 Private Placement, pursuant to which the Company agreed to register for resale the 2023 Shares and the common stock underlying the 2023 Pre-Funded Warrants, the Series A and Series B warrants (the “2023 Registrable Securities”). Pursuant to the registration rights agreement, the Company filed a registration statement covering the resale of the 2023 Registrable Securities on January 12,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2024 Private Placement</w:t>
      </w:r>
    </w:p>
    <w:p>
      <w:pPr>
        <w:spacing w:after="0" w:line="115"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On September 30, 2024, the Company entered into a Securities Purchase Agreement (the "2024 Purchase Agreement"), with multiple investors (the "2024 Private Placement"), pursuant to which the Company issued and sold an aggregate of 856,499 shares of common stock (the “2024 Shares”), 188,227 pre-funded warrants to purchase one share of Common Stock (the “2024 Pre-Funded Warrants”) and 1,044,726 Series C warrants, for net proceeds of $11.2 million, after deducting fees and expenses. The closing of the 2024 Private Placement occurred on October 4, 2024.</w:t>
      </w:r>
    </w:p>
    <w:p>
      <w:pPr>
        <w:spacing w:after="0" w:line="7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connection with the 2024 Private Placement, we also entered into a registration rights agreement, with the investors who participated in the 2024 Private Placement, pursuant to which the Company agreed to register for resale the 2024 Shares and the common stock underlying the 2024 Pre-Funded Warrants and Series C warrants (the “2024 Registrable Securities”). Pursuant to the registration rights agreement, the Company filed a registration statement covering the resale of the 2024 Registrable Securities on November 4,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2025 Private Placement</w:t>
      </w:r>
    </w:p>
    <w:p>
      <w:pPr>
        <w:spacing w:after="0" w:line="115"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On December 18, 2025, the Company entered into a Securities Purchase Agreement (the "2025 Purchase Agreement"), with multiple investors (the "2025 Private Placement"), pursuant to which the Company agreed to issue and sell shares of common stock (the “2025 Shares”) and, in lieu of common stock, pre-funded warrants (the “2025 Pre-Funded Warrants” and, together with the 2025 Shares, the “2025 Securities”) to purchase shares of common stock, in up to two closings in a private placement (the “2025 Private Placement”).</w:t>
      </w:r>
    </w:p>
    <w:p>
      <w:pPr>
        <w:spacing w:after="0" w:line="7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The initial closing of the 2025 Private Placement occurred on December 22, 2025. At the initial closing, the Company issued and sold an aggregate of 5,127,029 shares of common stock at a purchase price of $1.38 per share (the “2025 Share Price”) and, in lieu of shares of common stock, 9,452,677 pre-funded warrants to purchase one share of Common Stock (the “2025 Pre-Funded Warrants”) at a purchase price of $1.3799 per 2025 Pre-Funded Warrant (the “2025 Pre-Funded Warrant Price”), for net proceeds of $18.5 million, after deducting fees and expenses.</w:t>
      </w:r>
    </w:p>
    <w:p>
      <w:pPr>
        <w:spacing w:after="0" w:line="7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Pursuant to the Purchase Agreement, subject to the occurrence of the Second Closing Trigger (as defined below), the Company also agreed to issue and sell to the Investors in a second closing up to an additional 14,579,706 shares of common stock or pre-funded warrants in lieu of common stock, at the 2025 Share Price and the 2025 Pre-Funded Warrant Price, respectively, for additional aggregate gross proceeds of approximately $20.1 million, before deducting placement agent fees and other private placement expenses. The Second Closing Trigger shall occur upon (i) the achievement, during the period</w:t>
      </w:r>
    </w:p>
    <w:p>
      <w:pPr>
        <w:sectPr>
          <w:pgSz w:w="11880" w:h="15480" w:orient="portrait"/>
          <w:cols w:equalWidth="0" w:num="1">
            <w:col w:w="10240"/>
          </w:cols>
          <w:pgMar w:left="820" w:top="750" w:right="820" w:bottom="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119</w:t>
      </w:r>
    </w:p>
    <w:p>
      <w:pPr>
        <w:sectPr>
          <w:pgSz w:w="11880" w:h="15480" w:orient="portrait"/>
          <w:cols w:equalWidth="0" w:num="1">
            <w:col w:w="10240"/>
          </w:cols>
          <w:pgMar w:left="820" w:top="750" w:right="820" w:bottom="0" w:gutter="0" w:footer="0" w:header="0"/>
          <w:type w:val="continuous"/>
        </w:sectPr>
      </w:pPr>
    </w:p>
    <w:bookmarkStart w:id="125" w:name="page126"/>
    <w:bookmarkEnd w:id="125"/>
    <w:p>
      <w:pPr>
        <w:jc w:val="both"/>
        <w:spacing w:after="0" w:line="239" w:lineRule="auto"/>
        <w:rPr>
          <w:sz w:val="20"/>
          <w:szCs w:val="20"/>
          <w:color w:val="auto"/>
        </w:rPr>
      </w:pPr>
      <w:r>
        <w:rPr>
          <w:rFonts w:ascii="Times New Roman" w:cs="Times New Roman" w:eastAsia="Times New Roman" w:hAnsi="Times New Roman"/>
          <w:sz w:val="20"/>
          <w:szCs w:val="20"/>
          <w:color w:val="231F20"/>
        </w:rPr>
        <w:t>commencing on the date of the initial closing and ending on December 31, 2026, of the Company’s presentation of animal model data for its INB -619 product candidate (the “INB-619 Milestone”), and (ii) either (A) the achievement of a volume weighted average price per share of equal to or greater than 200% of the 2025 Share Price (subject to appropriate, proportional adjustment for any stock splits or combinations of the common stock occurring after the date of the Purchase Agreement) measured during any five consecutive trading days during the 90 trading days following the date of the Company’s first announcement via a press release or Current Report on Form 8-K of the occurrence of the INB-619 Milestone (such period the “Measurement Period” and such price threshold requirement, the “Price Threshold”) or (b) the Company’s receipt of a written notice signed by the Investors holding a majority of the 2025 Securities outstanding from time to time and delivered to the Company during the Measurement Period that waives the Price Threshold for purposes of the second closing.</w:t>
      </w:r>
    </w:p>
    <w:p>
      <w:pPr>
        <w:spacing w:after="0" w:line="87" w:lineRule="exact"/>
        <w:rPr>
          <w:sz w:val="20"/>
          <w:szCs w:val="20"/>
          <w:color w:val="auto"/>
        </w:rPr>
      </w:pPr>
    </w:p>
    <w:p>
      <w:pPr>
        <w:jc w:val="both"/>
        <w:ind w:firstLine="403"/>
        <w:spacing w:after="0" w:line="273" w:lineRule="auto"/>
        <w:rPr>
          <w:sz w:val="20"/>
          <w:szCs w:val="20"/>
          <w:color w:val="auto"/>
        </w:rPr>
      </w:pPr>
      <w:r>
        <w:rPr>
          <w:rFonts w:ascii="Times New Roman" w:cs="Times New Roman" w:eastAsia="Times New Roman" w:hAnsi="Times New Roman"/>
          <w:sz w:val="20"/>
          <w:szCs w:val="20"/>
          <w:color w:val="231F20"/>
        </w:rPr>
        <w:t>On January 20, 2026 the Company filed a registration statement on Form S-3 to register for resale the shares of common stock and the common stock underlying the 2025 Pre-Funded Warrants, which became effective on January 28,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7. WARRANTS</w:t>
      </w:r>
    </w:p>
    <w:p>
      <w:pPr>
        <w:spacing w:after="0" w:line="135" w:lineRule="exact"/>
        <w:rPr>
          <w:sz w:val="20"/>
          <w:szCs w:val="20"/>
          <w:color w:val="auto"/>
        </w:rPr>
      </w:pPr>
    </w:p>
    <w:p>
      <w:pPr>
        <w:jc w:val="both"/>
        <w:ind w:firstLine="403"/>
        <w:spacing w:after="0"/>
        <w:rPr>
          <w:sz w:val="20"/>
          <w:szCs w:val="20"/>
          <w:color w:val="auto"/>
        </w:rPr>
      </w:pPr>
      <w:r>
        <w:rPr>
          <w:rFonts w:ascii="Times New Roman" w:cs="Times New Roman" w:eastAsia="Times New Roman" w:hAnsi="Times New Roman"/>
          <w:sz w:val="20"/>
          <w:szCs w:val="20"/>
          <w:color w:val="231F20"/>
        </w:rPr>
        <w:t>In December 2023, in connection with the 2023 Private Placement, the Company issued 19,141 2023 Pre-Funded Warrants, 394,118 Series A warrants and 394,118 Series B warrants. The 2023 Pre-Funded Warrants have an exercise price of $0.003 per share, are exercisable immediately and are exercisable until the 2023 Pre-Funded Warrant is exercised in full. In lieu of making the cash payment otherwise contemplated to be made to the Company upon exercise of a 2023 Pre-Funded Warrant in payment of the aggregate exercise price, the holder may elect instead to receive upon such exercise (either in whole or in part) the net number of shares of common stock determined according to a formula set forth in the 2023 Pre-Funded Warrants terms. The 2023 Pre-Funded Warrants meet the criteria for permanent equity classification. As of December 31, 2025, 19,141 2023 Pre-Funded Warrants were outstanding.</w:t>
      </w:r>
    </w:p>
    <w:p>
      <w:pPr>
        <w:spacing w:after="0" w:line="83"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The Series A warrants were issued with an exercise price of $37.50 per share. The Series A warrants are exercisable immediately and were issued with an expiry date of June 13, 2025. The Company has the option to cause the Series A warrants to be exercised at a strike price of $37.50 per share upon the Company’s public announcement of INB-100 clinical data for the 10 currently enrolled patients, should they remain alive and evaluable, covering a period of at least 11 months, along with certain stock price and trading volume requirements. The Series A warrants meet the criteria for permanent equity classification.</w:t>
      </w:r>
    </w:p>
    <w:p>
      <w:pPr>
        <w:spacing w:after="0" w:line="81"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In connection with the closing of the 2024 Private Placement, the Company amended certain of the Company’s outstanding Series A warrants, representing approximately 390,462 shares of the Company’s Common Stock, to (i) reduce the exercise price from $37.50 to $ 13.50 per share and (ii) extend the termination date of such Series A warrants to October 4, 2025. As of October 4, 2025, all Series A warrant have expired and there are no Series A warrants outstanding.</w:t>
      </w:r>
    </w:p>
    <w:p>
      <w:pPr>
        <w:spacing w:after="0" w:line="75"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231F20"/>
        </w:rPr>
        <w:t>The Series B warrants have an exercise price of $45.00 per share. The Series B warrants are exercisable immediately and will expire on December 13, 2028. The Series B warrants allow the Company to redeem such warrants at a price of $0.30 per Series B warrant upon the Company’s public announcement of its INB-100 data for all enrolled patients covering a period of at least 22 months, along with certain stock price and trading volume requirements. Holders of Series B warrants may choose to exercise such warrants at a purchase price of $45.00 per share prior to such redemption. The Series B warrants meet the criteria for permanent equity classification. In April 2025, the Company entered into Amendment No. 1 to Securities Purchase Agreement (the "SPA Amendment") to amend the restrictions on certain equity sales by the Company set forth in the Securities Purchase Agreement, dated September 30, 2024, by and among the Company and the investors party thereto. In consideration for the SPA Amendment, the Company amended the Company's outstanding Series B warrants, representing approximately 303,574 shares of the Company's common stock, to (i) reduce the exercise price from $45.00 to $13.50 per share. As of December 31, 2025, 166,964 Series B warrants were outstanding.</w:t>
      </w:r>
    </w:p>
    <w:p>
      <w:pPr>
        <w:spacing w:after="0" w:line="80" w:lineRule="exact"/>
        <w:rPr>
          <w:sz w:val="20"/>
          <w:szCs w:val="20"/>
          <w:color w:val="auto"/>
        </w:rPr>
      </w:pPr>
    </w:p>
    <w:p>
      <w:pPr>
        <w:jc w:val="both"/>
        <w:ind w:firstLine="403"/>
        <w:spacing w:after="0"/>
        <w:rPr>
          <w:sz w:val="20"/>
          <w:szCs w:val="20"/>
          <w:color w:val="auto"/>
        </w:rPr>
      </w:pPr>
      <w:r>
        <w:rPr>
          <w:rFonts w:ascii="Times New Roman" w:cs="Times New Roman" w:eastAsia="Times New Roman" w:hAnsi="Times New Roman"/>
          <w:sz w:val="20"/>
          <w:szCs w:val="20"/>
          <w:color w:val="231F20"/>
        </w:rPr>
        <w:t>In October 2024, in connection with the 2024 Private Placement, the Company issued 188,227 2024 Pre-Funded Warrants and 1,044,726 Series C warrants. The 2024 Pre-Funded Warrants have an exercise price of $0.003 per share, are exercisable immediately and are exercisable until the 2024 Pre- Funded Warrant is exercised in full. In lieu of making the cash payment otherwise contemplated to be made to the Company upon exercise of a 2024 Pre-Funded Warrant in payment of the aggregate exercise price, the holder may elect instead to receive upon such exercise (either in whole or in part) the net number of shares of common stock determined according to a formula set forth in the 2024 Pre-Funded Warrants terms. The 2024 Pre-Funded Warrants meet the criteria for permanent equity classification. As of December 31, 2025, 188,227 2024 Pre-Funded Warrants were outstanding.</w:t>
      </w:r>
    </w:p>
    <w:p>
      <w:pPr>
        <w:spacing w:after="0" w:line="8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20"/>
          <w:szCs w:val="20"/>
          <w:color w:val="231F20"/>
        </w:rPr>
        <w:t>The Series C warrants have an exercise price of $8.10 per share. The Series C warrants are exercisable immediately and will expire on October 4, 2027. The Series C warrants meet the criteria for permanent equity classification. As of December 31, 2025, 828,863 Series C warrants were outstanding.</w:t>
      </w:r>
    </w:p>
    <w:p>
      <w:pPr>
        <w:spacing w:after="0" w:line="66"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20"/>
          <w:szCs w:val="20"/>
          <w:color w:val="231F20"/>
        </w:rPr>
        <w:t>In April 2025, the Company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w:t>
      </w:r>
    </w:p>
    <w:p>
      <w:pPr>
        <w:sectPr>
          <w:pgSz w:w="11880" w:h="15480" w:orient="portrait"/>
          <w:cols w:equalWidth="0" w:num="1">
            <w:col w:w="10240"/>
          </w:cols>
          <w:pgMar w:left="820" w:top="746" w:right="820" w:bottom="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120</w:t>
      </w:r>
    </w:p>
    <w:p>
      <w:pPr>
        <w:sectPr>
          <w:pgSz w:w="11880" w:h="15480" w:orient="portrait"/>
          <w:cols w:equalWidth="0" w:num="1">
            <w:col w:w="10240"/>
          </w:cols>
          <w:pgMar w:left="820" w:top="746" w:right="820" w:bottom="0" w:gutter="0" w:footer="0" w:header="0"/>
          <w:type w:val="continuous"/>
        </w:sectPr>
      </w:pPr>
    </w:p>
    <w:bookmarkStart w:id="126" w:name="page127"/>
    <w:bookmarkEnd w:id="126"/>
    <w:p>
      <w:pPr>
        <w:jc w:val="both"/>
        <w:spacing w:after="0" w:line="244" w:lineRule="auto"/>
        <w:rPr>
          <w:sz w:val="20"/>
          <w:szCs w:val="20"/>
          <w:color w:val="auto"/>
        </w:rPr>
      </w:pPr>
      <w:r>
        <w:rPr>
          <w:rFonts w:ascii="Times New Roman" w:cs="Times New Roman" w:eastAsia="Times New Roman" w:hAnsi="Times New Roman"/>
          <w:sz w:val="20"/>
          <w:szCs w:val="20"/>
          <w:color w:val="231F20"/>
        </w:rPr>
        <w:t>of (a) $5.53 per share for Participating Holders who are directors or executive officers of the Company and (b) $5.35 per share for all other Participating Holders (the "Warrant Exercises") and (ii) exchange certain Series A warrants and Series B warrants for 41,014 pre-funded warrants (the "Exchanged Pre-Funded Warrants"), in each case for a cash payment of (a) $5.53 per warrant share for Participating Holders who are directors or executive officers of the Company and (b) $5.35 per warrant share for all other Participating Holders (the "Warrant Exchanges"), for aggregate net proceeds of $1.9 million.</w:t>
      </w:r>
    </w:p>
    <w:p>
      <w:pPr>
        <w:spacing w:after="0" w:line="78"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The Exchanged Pre-Funded Warrants issued in connection with the Warrant Exchanges have an exercise price of $0.003 per share. Each Exchanged Pre -Funded Warrant is exercisable immediately and will be exercisable until such Exchanged Pre-Funded Warrant is exercised in full. In lieu of a cash payment to the Company in payment of the aggregate exercise price upon exercise of an Exchanged Pre-Funded Warrant, the holder may elect instead to receive upon such exercise (either in whole or in part) the net number of shares of common stock determined according to a formula set forth in the Exchanged Pre-Funded Warrants. Under the terms of the Exchanged Pre-Funded Warrants, the Company shall not effect the exercise of any portion of any Exchanged Pre-Funded Warrant, and a holder shall not have the right to exercise any portion of any Exchanged Pre-Funded Warrant, to the extent that after giving effect to such exercise, the holder (together with its affiliates and any other persons acting as a group together with the holder or any of its affiliates) would beneficially own in excess of 4.99% or 9.99%, as applicable, of the number of shares of common stock outstanding immediately after giving effect to such exercise. However, a holder may, upon written notice to the Company, increase or decrease such percentage to any other percentage not in excess of 19.99%; provided that any increase or decrease in such percentage will not be effective until 61 days after such notice is delivered to the Company. The Exchanged Pre-Funded Warrants meet the criteria for permanent equity classification. As of December 31, 2025 41,014 of these Exchanged Pre-Funded Warrants were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8. STOCK-BASED COMPENSATION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2018 Equity Incentive Plan</w:t>
      </w:r>
    </w:p>
    <w:p>
      <w:pPr>
        <w:spacing w:after="0" w:line="115"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2020 Equity Incentive Plan</w:t>
      </w:r>
    </w:p>
    <w:p>
      <w:pPr>
        <w:spacing w:after="0" w:line="115"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20"/>
          <w:szCs w:val="20"/>
          <w:color w:val="231F20"/>
        </w:rPr>
        <w:t>The 2020 Equity Incentive Plan (the "2020 Plan") was approved by the Company's Board of Directors and the Company’s stockholders and became effective on July 29, 2021. Upon the effectiveness of the 2023 Plan (as defined below), the 2020 Plan was terminated and no further issuances were made under the 2020 Plan, although it continues to govern the terms of any equity grants that remain outstanding under the 2020 Plan.</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Amended and Restated 2023 Equity Incentive Plan</w:t>
      </w:r>
    </w:p>
    <w:p>
      <w:pPr>
        <w:spacing w:after="0" w:line="115"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color w:val="231F20"/>
        </w:rPr>
        <w:t>The Amended and Restated 2023 Equity Incentive Plan (the "2023 Plan") was approved by the Company's Board of Directors and the Company’s stockholders and became effective on June 15, 2023. The Board of Directors, or a committee thereof, is authorized to administer the 2023 Plan. The 2023 Plan provides for the grant of Incentive Stock Options ("ISO") within the meaning of Section 422 of the Internal Revenue Code ("IRC")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 under the 2023 Plan was 246,667, which automatically increases on January 1 of each year for a period of 10 years, beginning on January 1, 2024 and continuing through January 1, 2033, in an amount equal to 5% of the total number of shares of common stock outstanding on the last day of the immediately preceding year, or a lesser number of shares determined by the Board of Directors no later than the last day of the immediately preceding year. The maximum number of shares of common stock that may be issued upon the exercise of ISOs under the 2023 Plan is 1,366,666 shares. As of December 31, 2025, 144,603 shares were available for grant pursuant to the 2023 Plan. Pursuant to the terms of the 2023 Plan, the number of shares available under the 2023 Plan was increased by 488,307 shares effective January 1, 2026.</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2020 Employee Stock Purchase Plan</w:t>
      </w:r>
    </w:p>
    <w:p>
      <w:pPr>
        <w:spacing w:after="0" w:line="115"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The 2020 Employee Stock Purchase Plan (the “2020 ESPP”) was approved by the Board of Directors and the Company’s stockholders and became effective on July 29, 2021. A total of 6,666 shares of common stock were initially reserved for issuance under this plan, which automatically increases on January 1 of each year by the lesser of (i) 1% of the outstanding number of shares of common stock on the immediately preceding December 31; and (ii) 13,333, or such lesser number of shares as determined by our Board of Directors. As of December 31, 2025, no shares of common stock had been issued under</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121</w:t>
      </w:r>
    </w:p>
    <w:p>
      <w:pPr>
        <w:sectPr>
          <w:pgSz w:w="11880" w:h="15480" w:orient="portrait"/>
          <w:cols w:equalWidth="0" w:num="1">
            <w:col w:w="10240"/>
          </w:cols>
          <w:pgMar w:left="820" w:top="746" w:right="820" w:bottom="0" w:gutter="0" w:footer="0" w:header="0"/>
          <w:type w:val="continuous"/>
        </w:sectPr>
      </w:pPr>
    </w:p>
    <w:bookmarkStart w:id="127" w:name="page128"/>
    <w:bookmarkEnd w:id="127"/>
    <w:p>
      <w:pPr>
        <w:jc w:val="both"/>
        <w:spacing w:after="0" w:line="273" w:lineRule="auto"/>
        <w:rPr>
          <w:sz w:val="20"/>
          <w:szCs w:val="20"/>
          <w:color w:val="auto"/>
        </w:rPr>
      </w:pPr>
      <w:r>
        <w:rPr>
          <w:rFonts w:ascii="Times New Roman" w:cs="Times New Roman" w:eastAsia="Times New Roman" w:hAnsi="Times New Roman"/>
          <w:sz w:val="20"/>
          <w:szCs w:val="20"/>
          <w:color w:val="231F20"/>
        </w:rPr>
        <w:t>the 2020 ESPP and 26,260 shares remained available for future issuance under the 2020 ESPP. The Board of Directors or designated committee has not set an offering period.</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Stock Option Activity</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The following is a summary of the stock option award activity during the year ended December 31,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Remaining</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rPr>
              <w:t>Aggregate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rPr>
              <w:t>Intrinsic</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of 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rPr>
              <w:t>Exercise</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Term</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31F20"/>
              </w:rPr>
              <w:t>Price</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(in years)</w:t>
            </w:r>
          </w:p>
        </w:tc>
        <w:tc>
          <w:tcPr>
            <w:tcW w:w="20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6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Outstanding at December 31, 2024</w:t>
            </w:r>
          </w:p>
        </w:tc>
        <w:tc>
          <w:tcPr>
            <w:tcW w:w="110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403,075</w:t>
            </w:r>
          </w:p>
        </w:tc>
        <w:tc>
          <w:tcPr>
            <w:tcW w:w="14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14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60.93</w:t>
            </w:r>
          </w:p>
        </w:tc>
        <w:tc>
          <w:tcPr>
            <w:tcW w:w="200" w:type="dxa"/>
            <w:vAlign w:val="bottom"/>
            <w:tcBorders>
              <w:top w:val="single" w:sz="8" w:color="D1EBF3"/>
            </w:tcBorders>
            <w:shd w:val="clear" w:color="auto" w:fill="D1EBF3"/>
          </w:tcPr>
          <w:p>
            <w:pPr>
              <w:spacing w:after="0"/>
              <w:rPr>
                <w:sz w:val="20"/>
                <w:szCs w:val="20"/>
                <w:color w:val="auto"/>
              </w:rPr>
            </w:pPr>
          </w:p>
        </w:tc>
        <w:tc>
          <w:tcPr>
            <w:tcW w:w="112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8.05</w:t>
            </w:r>
          </w:p>
        </w:tc>
        <w:tc>
          <w:tcPr>
            <w:tcW w:w="200" w:type="dxa"/>
            <w:vAlign w:val="bottom"/>
            <w:tcBorders>
              <w:top w:val="single" w:sz="8" w:color="D1EBF3"/>
            </w:tcBorders>
            <w:shd w:val="clear" w:color="auto" w:fill="D1EBF3"/>
          </w:tcPr>
          <w:p>
            <w:pPr>
              <w:spacing w:after="0"/>
              <w:rPr>
                <w:sz w:val="20"/>
                <w:szCs w:val="20"/>
                <w:color w:val="auto"/>
              </w:rPr>
            </w:pPr>
          </w:p>
        </w:tc>
        <w:tc>
          <w:tcPr>
            <w:tcW w:w="14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1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107,333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8.28</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Forfeited</w:t>
            </w:r>
          </w:p>
        </w:tc>
        <w:tc>
          <w:tcPr>
            <w:tcW w:w="12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(8,381)</w:t>
            </w:r>
          </w:p>
        </w:tc>
        <w:tc>
          <w:tcPr>
            <w:tcW w:w="80" w:type="dxa"/>
            <w:vAlign w:val="bottom"/>
            <w:shd w:val="clear" w:color="auto" w:fill="D1EBF3"/>
          </w:tcPr>
          <w:p>
            <w:pPr>
              <w:spacing w:after="0"/>
              <w:rPr>
                <w:sz w:val="24"/>
                <w:szCs w:val="24"/>
                <w:color w:val="auto"/>
              </w:rPr>
            </w:pPr>
          </w:p>
        </w:tc>
        <w:tc>
          <w:tcPr>
            <w:tcW w:w="140" w:type="dxa"/>
            <w:vAlign w:val="bottom"/>
            <w:shd w:val="clear" w:color="auto" w:fill="D1EBF3"/>
          </w:tcPr>
          <w:p>
            <w:pPr>
              <w:spacing w:after="0"/>
              <w:rPr>
                <w:sz w:val="24"/>
                <w:szCs w:val="24"/>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15.71</w:t>
            </w:r>
          </w:p>
        </w:tc>
        <w:tc>
          <w:tcPr>
            <w:tcW w:w="200" w:type="dxa"/>
            <w:vAlign w:val="bottom"/>
            <w:shd w:val="clear" w:color="auto" w:fill="D1EBF3"/>
          </w:tcPr>
          <w:p>
            <w:pPr>
              <w:spacing w:after="0"/>
              <w:rPr>
                <w:sz w:val="24"/>
                <w:szCs w:val="24"/>
                <w:color w:val="auto"/>
              </w:rPr>
            </w:pPr>
          </w:p>
        </w:tc>
        <w:tc>
          <w:tcPr>
            <w:tcW w:w="1120" w:type="dxa"/>
            <w:vAlign w:val="bottom"/>
            <w:shd w:val="clear" w:color="auto" w:fill="D1EBF3"/>
          </w:tcPr>
          <w:p>
            <w:pPr>
              <w:spacing w:after="0"/>
              <w:rPr>
                <w:sz w:val="24"/>
                <w:szCs w:val="24"/>
                <w:color w:val="auto"/>
              </w:rPr>
            </w:pPr>
          </w:p>
        </w:tc>
        <w:tc>
          <w:tcPr>
            <w:tcW w:w="200" w:type="dxa"/>
            <w:vAlign w:val="bottom"/>
            <w:shd w:val="clear" w:color="auto" w:fill="D1EBF3"/>
          </w:tcPr>
          <w:p>
            <w:pPr>
              <w:spacing w:after="0"/>
              <w:rPr>
                <w:sz w:val="24"/>
                <w:szCs w:val="24"/>
                <w:color w:val="auto"/>
              </w:rPr>
            </w:pPr>
          </w:p>
        </w:tc>
        <w:tc>
          <w:tcPr>
            <w:tcW w:w="140" w:type="dxa"/>
            <w:vAlign w:val="bottom"/>
            <w:shd w:val="clear" w:color="auto" w:fill="D1EBF3"/>
          </w:tcPr>
          <w:p>
            <w:pPr>
              <w:spacing w:after="0"/>
              <w:rPr>
                <w:sz w:val="24"/>
                <w:szCs w:val="24"/>
                <w:color w:val="auto"/>
              </w:rPr>
            </w:pPr>
          </w:p>
        </w:tc>
        <w:tc>
          <w:tcPr>
            <w:tcW w:w="940" w:type="dxa"/>
            <w:vAlign w:val="bottom"/>
            <w:shd w:val="clear" w:color="auto" w:fill="D1EBF3"/>
          </w:tcPr>
          <w:p>
            <w:pPr>
              <w:spacing w:after="0"/>
              <w:rPr>
                <w:sz w:val="24"/>
                <w:szCs w:val="24"/>
                <w:color w:val="auto"/>
              </w:rPr>
            </w:pPr>
          </w:p>
        </w:tc>
        <w:tc>
          <w:tcPr>
            <w:tcW w:w="80" w:type="dxa"/>
            <w:vAlign w:val="bottom"/>
            <w:shd w:val="clear" w:color="auto" w:fill="D1EBF3"/>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16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Outstanding at December 31, 2025</w:t>
            </w:r>
          </w:p>
        </w:tc>
        <w:tc>
          <w:tcPr>
            <w:tcW w:w="11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502,027</w:t>
            </w:r>
          </w:p>
        </w:tc>
        <w:tc>
          <w:tcPr>
            <w:tcW w:w="140" w:type="dxa"/>
            <w:vAlign w:val="bottom"/>
            <w:tcBorders>
              <w:bottom w:val="single" w:sz="8" w:color="D1EBF3"/>
            </w:tcBorders>
          </w:tcPr>
          <w:p>
            <w:pPr>
              <w:spacing w:after="0"/>
              <w:rPr>
                <w:sz w:val="24"/>
                <w:szCs w:val="24"/>
                <w:color w:val="auto"/>
              </w:rPr>
            </w:pPr>
          </w:p>
        </w:tc>
        <w:tc>
          <w:tcPr>
            <w:tcW w:w="22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50.42</w:t>
            </w:r>
          </w:p>
        </w:tc>
        <w:tc>
          <w:tcPr>
            <w:tcW w:w="132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7.41</w:t>
            </w:r>
          </w:p>
        </w:tc>
        <w:tc>
          <w:tcPr>
            <w:tcW w:w="34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Exercisable at December 31, 2025</w:t>
            </w: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329,203</w:t>
            </w:r>
          </w:p>
        </w:tc>
        <w:tc>
          <w:tcPr>
            <w:tcW w:w="140" w:type="dxa"/>
            <w:vAlign w:val="bottom"/>
            <w:shd w:val="clear" w:color="auto" w:fill="D1EBF3"/>
          </w:tcPr>
          <w:p>
            <w:pPr>
              <w:spacing w:after="0"/>
              <w:rPr>
                <w:sz w:val="19"/>
                <w:szCs w:val="19"/>
                <w:color w:val="auto"/>
              </w:rPr>
            </w:pPr>
          </w:p>
        </w:tc>
        <w:tc>
          <w:tcPr>
            <w:tcW w:w="2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67.13</w:t>
            </w:r>
          </w:p>
        </w:tc>
        <w:tc>
          <w:tcPr>
            <w:tcW w:w="13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6.79</w:t>
            </w:r>
          </w:p>
        </w:tc>
        <w:tc>
          <w:tcPr>
            <w:tcW w:w="3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Options expected to vest as of December 31, 2025</w:t>
            </w:r>
          </w:p>
        </w:tc>
        <w:tc>
          <w:tcPr>
            <w:tcW w:w="1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18.60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8.60</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vMerge w:val="continue"/>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172,824</w:t>
            </w:r>
          </w:p>
        </w:tc>
        <w:tc>
          <w:tcPr>
            <w:tcW w:w="14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weighted-average grant date fair value of options granted during the years ended December 31, 2025 and 2024 was $6.70 and $19.87, respectively. The aggregate intrinsic value is calculated as the difference between the exercise price and the market price of the Company’s common stock at December 31, 2025 and December 31, 2024.</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 Expense</w:t>
      </w:r>
    </w:p>
    <w:p>
      <w:pPr>
        <w:spacing w:after="0" w:line="12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For the years ended December 31, 2025 and 2024, the Company utilized the Black-Scholes option-pricing model for estimating the fair value of the stock options. The following table presents the assumptions and the Company’s methodology for developing each of the assumptions used: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6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676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820" w:type="dxa"/>
            <w:vAlign w:val="bottom"/>
            <w:gridSpan w:val="3"/>
          </w:tcPr>
          <w:p>
            <w:pPr>
              <w:jc w:val="center"/>
              <w:ind w:left="50"/>
              <w:spacing w:after="0"/>
              <w:rPr>
                <w:sz w:val="20"/>
                <w:szCs w:val="20"/>
                <w:color w:val="auto"/>
              </w:rPr>
            </w:pPr>
            <w:r>
              <w:rPr>
                <w:rFonts w:ascii="Times New Roman" w:cs="Times New Roman" w:eastAsia="Times New Roman" w:hAnsi="Times New Roman"/>
                <w:sz w:val="16"/>
                <w:szCs w:val="16"/>
                <w:b w:val="1"/>
                <w:bCs w:val="1"/>
                <w:color w:val="231F20"/>
                <w:w w:val="99"/>
              </w:rPr>
              <w:t>2024</w:t>
            </w:r>
          </w:p>
        </w:tc>
      </w:tr>
      <w:tr>
        <w:trPr>
          <w:trHeight w:val="239"/>
        </w:trPr>
        <w:tc>
          <w:tcPr>
            <w:tcW w:w="676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Volatility</w:t>
            </w:r>
          </w:p>
        </w:tc>
        <w:tc>
          <w:tcPr>
            <w:tcW w:w="76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96.66%</w:t>
            </w:r>
          </w:p>
        </w:tc>
        <w:tc>
          <w:tcPr>
            <w:tcW w:w="900" w:type="dxa"/>
            <w:vAlign w:val="bottom"/>
            <w:tcBorders>
              <w:top w:val="single" w:sz="8" w:color="231F20"/>
            </w:tcBorders>
            <w:shd w:val="clear" w:color="auto" w:fill="D1EBF3"/>
          </w:tcPr>
          <w:p>
            <w:pPr>
              <w:ind w:left="40"/>
              <w:spacing w:after="0"/>
              <w:rPr>
                <w:sz w:val="20"/>
                <w:szCs w:val="20"/>
                <w:color w:val="auto"/>
              </w:rPr>
            </w:pPr>
            <w:r>
              <w:rPr>
                <w:rFonts w:ascii="Times New Roman" w:cs="Times New Roman" w:eastAsia="Times New Roman" w:hAnsi="Times New Roman"/>
                <w:sz w:val="20"/>
                <w:szCs w:val="20"/>
                <w:color w:val="231F20"/>
              </w:rPr>
              <w:t>- 99.24%</w:t>
            </w:r>
          </w:p>
        </w:tc>
        <w:tc>
          <w:tcPr>
            <w:tcW w:w="160" w:type="dxa"/>
            <w:vAlign w:val="bottom"/>
            <w:tcBorders>
              <w:top w:val="single" w:sz="8" w:color="D1EBF3"/>
            </w:tcBorders>
            <w:shd w:val="clear" w:color="auto" w:fill="D1EBF3"/>
          </w:tcPr>
          <w:p>
            <w:pPr>
              <w:spacing w:after="0"/>
              <w:rPr>
                <w:sz w:val="20"/>
                <w:szCs w:val="20"/>
                <w:color w:val="auto"/>
              </w:rPr>
            </w:pPr>
          </w:p>
        </w:tc>
        <w:tc>
          <w:tcPr>
            <w:tcW w:w="1660" w:type="dxa"/>
            <w:vAlign w:val="bottom"/>
            <w:tcBorders>
              <w:top w:val="single" w:sz="8" w:color="231F20"/>
            </w:tcBorders>
            <w:gridSpan w:val="2"/>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9"/>
              </w:rPr>
              <w:t>90.31% - 104.93%</w:t>
            </w:r>
          </w:p>
        </w:tc>
      </w:tr>
      <w:tr>
        <w:trPr>
          <w:trHeight w:val="244"/>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231F20"/>
              </w:rPr>
              <w:t>Expected life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w:t>
            </w:r>
          </w:p>
        </w:tc>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- 6.08</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- 6.08</w:t>
            </w:r>
          </w:p>
        </w:tc>
      </w:tr>
      <w:tr>
        <w:trPr>
          <w:trHeight w:val="244"/>
        </w:trPr>
        <w:tc>
          <w:tcPr>
            <w:tcW w:w="67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1660" w:type="dxa"/>
            <w:vAlign w:val="bottom"/>
            <w:gridSpan w:val="2"/>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4.00 - 4.24%</w:t>
            </w:r>
          </w:p>
        </w:tc>
        <w:tc>
          <w:tcPr>
            <w:tcW w:w="9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3.61%</w:t>
            </w:r>
          </w:p>
        </w:tc>
        <w:tc>
          <w:tcPr>
            <w:tcW w:w="900" w:type="dxa"/>
            <w:vAlign w:val="bottom"/>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rPr>
              <w:t>- 4.65%</w:t>
            </w:r>
          </w:p>
        </w:tc>
      </w:tr>
      <w:tr>
        <w:trPr>
          <w:trHeight w:val="266"/>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231F20"/>
              </w:rPr>
              <w:t>Dividend rate</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0" w:type="dxa"/>
            <w:vAlign w:val="bottom"/>
          </w:tcPr>
          <w:p>
            <w:pPr>
              <w:spacing w:after="0"/>
              <w:rPr>
                <w:sz w:val="23"/>
                <w:szCs w:val="2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r>
    </w:tbl>
    <w:p>
      <w:pPr>
        <w:spacing w:after="0" w:line="369" w:lineRule="exact"/>
        <w:rPr>
          <w:sz w:val="20"/>
          <w:szCs w:val="20"/>
          <w:color w:val="auto"/>
        </w:rPr>
      </w:pPr>
    </w:p>
    <w:p>
      <w:pPr>
        <w:ind w:left="900" w:hanging="489"/>
        <w:spacing w:after="0" w:line="276" w:lineRule="auto"/>
        <w:tabs>
          <w:tab w:leader="none" w:pos="9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Volatility—The Company estimates the expected volatility of its common stock at the date of grant based on the historical volatility of comparable public companies over the expected term.</w:t>
      </w:r>
    </w:p>
    <w:p>
      <w:pPr>
        <w:spacing w:after="0" w:line="64" w:lineRule="exact"/>
        <w:rPr>
          <w:rFonts w:ascii="Arial" w:cs="Arial" w:eastAsia="Arial" w:hAnsi="Arial"/>
          <w:sz w:val="20"/>
          <w:szCs w:val="20"/>
          <w:color w:val="231F20"/>
        </w:rPr>
      </w:pPr>
    </w:p>
    <w:p>
      <w:pPr>
        <w:jc w:val="both"/>
        <w:ind w:left="900" w:hanging="489"/>
        <w:spacing w:after="0" w:line="249" w:lineRule="auto"/>
        <w:tabs>
          <w:tab w:leader="none" w:pos="9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Expected life—The expected term represents the period that the Company’s stock option grants are expected to be outstanding. The expected term of the options granted to employees and non-employee directors by the Company has been determined utilizing the "simplified" method for awards that qualify as "plain-vanilla" options. Under this approach, the weighted-average expected life is presumed to be the average of the vesting term and the contractual term of the option.</w:t>
      </w:r>
    </w:p>
    <w:p>
      <w:pPr>
        <w:spacing w:after="0" w:line="90" w:lineRule="exact"/>
        <w:rPr>
          <w:rFonts w:ascii="Arial" w:cs="Arial" w:eastAsia="Arial" w:hAnsi="Arial"/>
          <w:sz w:val="20"/>
          <w:szCs w:val="20"/>
          <w:color w:val="231F20"/>
        </w:rPr>
      </w:pPr>
    </w:p>
    <w:p>
      <w:pPr>
        <w:ind w:left="900" w:hanging="489"/>
        <w:spacing w:after="0" w:line="276" w:lineRule="auto"/>
        <w:tabs>
          <w:tab w:leader="none" w:pos="9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Risk-free interest rate—The risk-free rate for periods within the estimated life of the stock award is based on the U.S. Treasury yield curve in effect at the time of grant.</w:t>
      </w:r>
    </w:p>
    <w:p>
      <w:pPr>
        <w:spacing w:after="0" w:line="64" w:lineRule="exact"/>
        <w:rPr>
          <w:rFonts w:ascii="Arial" w:cs="Arial" w:eastAsia="Arial" w:hAnsi="Arial"/>
          <w:sz w:val="20"/>
          <w:szCs w:val="20"/>
          <w:color w:val="231F20"/>
        </w:rPr>
      </w:pPr>
    </w:p>
    <w:p>
      <w:pPr>
        <w:ind w:left="900" w:hanging="489"/>
        <w:spacing w:after="0" w:line="276" w:lineRule="auto"/>
        <w:tabs>
          <w:tab w:leader="none" w:pos="9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Dividend rate—The assumed dividend yield is based upon the Company’s expectation of not paying dividends in the foreseeable future.</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122</w:t>
      </w:r>
    </w:p>
    <w:p>
      <w:pPr>
        <w:sectPr>
          <w:pgSz w:w="11880" w:h="15480" w:orient="portrait"/>
          <w:cols w:equalWidth="0" w:num="1">
            <w:col w:w="10240"/>
          </w:cols>
          <w:pgMar w:left="820" w:top="746" w:right="820" w:bottom="0" w:gutter="0" w:footer="0" w:header="0"/>
          <w:type w:val="continuous"/>
        </w:sectPr>
      </w:pPr>
    </w:p>
    <w:bookmarkStart w:id="128" w:name="page129"/>
    <w:bookmarkEnd w:id="128"/>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Stock-based compensation expense was recorded in the following line items in the statements of operations for the years ended December 31, 2025 and 2024 (in thousands):</w:t>
      </w:r>
    </w:p>
    <w:p>
      <w:pPr>
        <w:spacing w:after="0" w:line="21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231F20"/>
        </w:rPr>
        <w:t>Year Ended</w:t>
      </w:r>
    </w:p>
    <w:p>
      <w:pPr>
        <w:spacing w:after="0" w:line="2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4265295</wp:posOffset>
                </wp:positionH>
                <wp:positionV relativeFrom="paragraph">
                  <wp:posOffset>0</wp:posOffset>
                </wp:positionV>
                <wp:extent cx="219075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85pt,0pt" to="508.35pt,0pt" o:allowincell="f" strokecolor="#231F20" strokeweight="0.75pt"/>
            </w:pict>
          </mc:Fallback>
        </mc:AlternateContent>
      </w:r>
    </w:p>
    <w:tbl>
      <w:tblPr>
        <w:tblLayout w:type="fixed"/>
        <w:tblInd w:w="0" w:type="dxa"/>
        <w:tblCellMar>
          <w:top w:w="0" w:type="dxa"/>
          <w:left w:w="0" w:type="dxa"/>
          <w:bottom w:w="0" w:type="dxa"/>
          <w:right w:w="0" w:type="dxa"/>
        </w:tblCellMar>
      </w:tblPr>
      <w:tr>
        <w:trPr>
          <w:trHeight w:val="196"/>
        </w:trPr>
        <w:tc>
          <w:tcPr>
            <w:tcW w:w="6720" w:type="dxa"/>
            <w:vAlign w:val="bottom"/>
            <w:tcBorders>
              <w:bottom w:val="single" w:sz="8" w:color="D1EBF3"/>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60" w:type="dxa"/>
            <w:vAlign w:val="bottom"/>
            <w:tcBorders>
              <w:bottom w:val="single" w:sz="8" w:color="231F20"/>
            </w:tcBorders>
          </w:tcPr>
          <w:p>
            <w:pPr>
              <w:spacing w:after="0"/>
              <w:rPr>
                <w:sz w:val="17"/>
                <w:szCs w:val="17"/>
                <w:color w:val="auto"/>
              </w:rPr>
            </w:pPr>
          </w:p>
        </w:tc>
        <w:tc>
          <w:tcPr>
            <w:tcW w:w="240" w:type="dxa"/>
            <w:vAlign w:val="bottom"/>
            <w:tcBorders>
              <w:bottom w:val="single" w:sz="8" w:color="D1EBF3"/>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ind w:right="5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7"/>
                <w:szCs w:val="17"/>
                <w:color w:val="auto"/>
              </w:rPr>
            </w:pPr>
          </w:p>
        </w:tc>
      </w:tr>
      <w:tr>
        <w:trPr>
          <w:trHeight w:val="239"/>
        </w:trPr>
        <w:tc>
          <w:tcPr>
            <w:tcW w:w="67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040" w:type="dxa"/>
            <w:vAlign w:val="bottom"/>
            <w:shd w:val="clear" w:color="auto" w:fill="D1EBF3"/>
          </w:tcPr>
          <w:p>
            <w:pPr>
              <w:jc w:val="right"/>
              <w:ind w:right="847"/>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1,183</w:t>
            </w:r>
          </w:p>
        </w:tc>
        <w:tc>
          <w:tcPr>
            <w:tcW w:w="240" w:type="dxa"/>
            <w:vAlign w:val="bottom"/>
            <w:shd w:val="clear" w:color="auto" w:fill="D1EBF3"/>
          </w:tcPr>
          <w:p>
            <w:pPr>
              <w:spacing w:after="0"/>
              <w:rPr>
                <w:sz w:val="20"/>
                <w:szCs w:val="20"/>
                <w:color w:val="auto"/>
              </w:rPr>
            </w:pPr>
          </w:p>
        </w:tc>
        <w:tc>
          <w:tcPr>
            <w:tcW w:w="380" w:type="dxa"/>
            <w:vAlign w:val="bottom"/>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1,825</w:t>
            </w:r>
          </w:p>
        </w:tc>
        <w:tc>
          <w:tcPr>
            <w:tcW w:w="80" w:type="dxa"/>
            <w:vAlign w:val="bottom"/>
            <w:shd w:val="clear" w:color="auto" w:fill="D1EBF3"/>
          </w:tcPr>
          <w:p>
            <w:pPr>
              <w:spacing w:after="0"/>
              <w:rPr>
                <w:sz w:val="20"/>
                <w:szCs w:val="20"/>
                <w:color w:val="auto"/>
              </w:rPr>
            </w:pPr>
          </w:p>
        </w:tc>
      </w:tr>
      <w:tr>
        <w:trPr>
          <w:trHeight w:val="24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2,405</w:t>
            </w:r>
          </w:p>
        </w:tc>
        <w:tc>
          <w:tcPr>
            <w:tcW w:w="80" w:type="dxa"/>
            <w:vAlign w:val="bottom"/>
          </w:tcPr>
          <w:p>
            <w:pPr>
              <w:spacing w:after="0"/>
              <w:rPr>
                <w:sz w:val="21"/>
                <w:szCs w:val="21"/>
                <w:color w:val="auto"/>
              </w:rPr>
            </w:pPr>
          </w:p>
        </w:tc>
      </w:tr>
      <w:tr>
        <w:trPr>
          <w:trHeight w:val="244"/>
        </w:trPr>
        <w:tc>
          <w:tcPr>
            <w:tcW w:w="67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Severance and related charges</w:t>
            </w:r>
          </w:p>
        </w:tc>
        <w:tc>
          <w:tcPr>
            <w:tcW w:w="1040" w:type="dxa"/>
            <w:vAlign w:val="bottom"/>
            <w:tcBorders>
              <w:bottom w:val="single" w:sz="8" w:color="231F20"/>
            </w:tcBorders>
            <w:shd w:val="clear" w:color="auto" w:fill="D1EBF3"/>
          </w:tcPr>
          <w:p>
            <w:pPr>
              <w:spacing w:after="0"/>
              <w:rPr>
                <w:sz w:val="21"/>
                <w:szCs w:val="21"/>
                <w:color w:val="auto"/>
              </w:rPr>
            </w:pPr>
          </w:p>
        </w:tc>
        <w:tc>
          <w:tcPr>
            <w:tcW w:w="5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D1EBF3"/>
          </w:tcPr>
          <w:p>
            <w:pPr>
              <w:spacing w:after="0"/>
              <w:rPr>
                <w:sz w:val="21"/>
                <w:szCs w:val="21"/>
                <w:color w:val="auto"/>
              </w:rPr>
            </w:pPr>
          </w:p>
        </w:tc>
        <w:tc>
          <w:tcPr>
            <w:tcW w:w="380" w:type="dxa"/>
            <w:vAlign w:val="bottom"/>
            <w:tcBorders>
              <w:bottom w:val="single" w:sz="8" w:color="231F20"/>
            </w:tcBorders>
            <w:shd w:val="clear" w:color="auto" w:fill="D1EBF3"/>
          </w:tcPr>
          <w:p>
            <w:pPr>
              <w:spacing w:after="0"/>
              <w:rPr>
                <w:sz w:val="21"/>
                <w:szCs w:val="21"/>
                <w:color w:val="auto"/>
              </w:rPr>
            </w:pPr>
          </w:p>
        </w:tc>
        <w:tc>
          <w:tcPr>
            <w:tcW w:w="12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770</w:t>
            </w:r>
          </w:p>
        </w:tc>
        <w:tc>
          <w:tcPr>
            <w:tcW w:w="80" w:type="dxa"/>
            <w:vAlign w:val="bottom"/>
            <w:shd w:val="clear" w:color="auto" w:fill="D1EBF3"/>
          </w:tcPr>
          <w:p>
            <w:pPr>
              <w:spacing w:after="0"/>
              <w:rPr>
                <w:sz w:val="21"/>
                <w:szCs w:val="21"/>
                <w:color w:val="auto"/>
              </w:rPr>
            </w:pPr>
          </w:p>
        </w:tc>
      </w:tr>
      <w:tr>
        <w:trPr>
          <w:trHeight w:val="239"/>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Total stock-based compensation expense</w:t>
            </w:r>
          </w:p>
        </w:tc>
        <w:tc>
          <w:tcPr>
            <w:tcW w:w="1040" w:type="dxa"/>
            <w:vAlign w:val="bottom"/>
            <w:tcBorders>
              <w:bottom w:val="single" w:sz="8" w:color="231F20"/>
            </w:tcBorders>
          </w:tcPr>
          <w:p>
            <w:pPr>
              <w:jc w:val="right"/>
              <w:ind w:right="847"/>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3,189</w:t>
            </w:r>
          </w:p>
        </w:tc>
        <w:tc>
          <w:tcPr>
            <w:tcW w:w="240" w:type="dxa"/>
            <w:vAlign w:val="bottom"/>
          </w:tcPr>
          <w:p>
            <w:pPr>
              <w:spacing w:after="0"/>
              <w:rPr>
                <w:sz w:val="20"/>
                <w:szCs w:val="20"/>
                <w:color w:val="auto"/>
              </w:rPr>
            </w:pPr>
          </w:p>
        </w:tc>
        <w:tc>
          <w:tcPr>
            <w:tcW w:w="380" w:type="dxa"/>
            <w:vAlign w:val="bottom"/>
            <w:tcBorders>
              <w:bottom w:val="single" w:sz="8" w:color="231F20"/>
            </w:tcBorders>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5,000</w:t>
            </w:r>
          </w:p>
        </w:tc>
        <w:tc>
          <w:tcPr>
            <w:tcW w:w="80" w:type="dxa"/>
            <w:vAlign w:val="bottom"/>
          </w:tcPr>
          <w:p>
            <w:pPr>
              <w:spacing w:after="0"/>
              <w:rPr>
                <w:sz w:val="20"/>
                <w:szCs w:val="20"/>
                <w:color w:val="auto"/>
              </w:rPr>
            </w:pPr>
          </w:p>
        </w:tc>
      </w:tr>
      <w:tr>
        <w:trPr>
          <w:trHeight w:val="20"/>
        </w:trPr>
        <w:tc>
          <w:tcPr>
            <w:tcW w:w="672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No related tax benefits from stock-based compensation expense were recognized for the years ended December 31, 2025 and 2024. As of December 31, 2025, there was $1.9 million in unrecognized stock-based compensation expense, which is expected to be recognized over a weighted-average period of 1.94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LICENSE AGREEMENTS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Emory University, Children’s Healthcare of Atlanta, Inc. and UAB Research Foundation</w:t>
      </w:r>
    </w:p>
    <w:p>
      <w:pPr>
        <w:spacing w:after="0" w:line="120"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spacing w:after="0" w:line="82"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In consideration of the license granted under the Emory License Agreement, the Company paid Emory University a nominal upfront payment. Between March 2017 and August 2020, the Company issued UABRF an additional 5,046 shares of common stock in satisfaction of these antidilution rights.</w:t>
      </w:r>
    </w:p>
    <w:p>
      <w:pPr>
        <w:spacing w:after="0" w:line="68"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addition, the Company is required to pay Emory University development milestones totaling up to an aggregate of $ 1.4 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w:t>
      </w:r>
    </w:p>
    <w:p>
      <w:pPr>
        <w:spacing w:after="0" w:line="86"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The term of the Emory License Agreement will continue until 15 years after the first commercial sale of the licensed product, or the expiration of the relevant licensed patents, whichever is later. 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Exclusive License Agreement with UABRF</w:t>
      </w:r>
    </w:p>
    <w:p>
      <w:pPr>
        <w:spacing w:after="0" w:line="12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w:t>
      </w:r>
    </w:p>
    <w:p>
      <w:pPr>
        <w:spacing w:after="0" w:line="80"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In consideration of the license granted under the UABRF License Agreement, the Company paid UABRF a nominal upfront payment and issued 3,041 shares of common stock to UABRF, which were subject to certain antidilution rights.</w:t>
      </w:r>
    </w:p>
    <w:p>
      <w:pPr>
        <w:sectPr>
          <w:pgSz w:w="11880" w:h="15480" w:orient="portrait"/>
          <w:cols w:equalWidth="0" w:num="1">
            <w:col w:w="10240"/>
          </w:cols>
          <w:pgMar w:left="820" w:top="750" w:right="820" w:bottom="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123</w:t>
      </w:r>
    </w:p>
    <w:p>
      <w:pPr>
        <w:sectPr>
          <w:pgSz w:w="11880" w:h="15480" w:orient="portrait"/>
          <w:cols w:equalWidth="0" w:num="1">
            <w:col w:w="10240"/>
          </w:cols>
          <w:pgMar w:left="820" w:top="750" w:right="820" w:bottom="0" w:gutter="0" w:footer="0" w:header="0"/>
          <w:type w:val="continuous"/>
        </w:sectPr>
      </w:pPr>
    </w:p>
    <w:bookmarkStart w:id="129" w:name="page130"/>
    <w:bookmarkEnd w:id="129"/>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In addition, the Company is required to pay UABRF development milestones totaling up to an aggregate of $1.4 million, lump-sum royalties on cumulative net sales totaling up to an aggregate of $22.5 million, mid-single-digit running royalties on net sales of the licensed products, low-single- digit running royalties on net sales of the licensed products, and a share of certain non-royalty income that the Company may receive, including from any sublicenses. The UABRF License Agreement also requires the Company to reimburse UABRF for the cost of the prosecution and maintenance of the licensed patents.</w:t>
      </w:r>
    </w:p>
    <w:p>
      <w:pPr>
        <w:spacing w:after="0" w:line="77"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Pursuant to the UABRF License Agreement, the Company is required to use good faith reasonable commercial efforts to develop, manufacture and commercialize the licensed product.</w:t>
      </w:r>
    </w:p>
    <w:p>
      <w:pPr>
        <w:spacing w:after="0" w:line="49"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the development and commercialization plan, if the Company underreports its payment obligations or underpays by more than a specified threshold, if the Company challenges the validity or enforceability of any licensed patents, or if the Company becomes bankrupt or insolvent.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INCOME TAXES</w:t>
      </w:r>
    </w:p>
    <w:p>
      <w:pPr>
        <w:spacing w:after="0" w:line="124"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20"/>
          <w:szCs w:val="20"/>
          <w:color w:val="231F20"/>
        </w:rPr>
        <w:t>For the years ended December 31, 2025 and 2024, loss before income taxes is attributable to the following tax jurisdictions: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4380" w:type="dxa"/>
            <w:vAlign w:val="bottom"/>
            <w:tcBorders>
              <w:bottom w:val="single" w:sz="8" w:color="D1EBF3"/>
            </w:tcBorders>
          </w:tcPr>
          <w:p>
            <w:pPr>
              <w:spacing w:after="0"/>
              <w:rPr>
                <w:sz w:val="17"/>
                <w:szCs w:val="17"/>
                <w:color w:val="auto"/>
              </w:rPr>
            </w:pPr>
          </w:p>
        </w:tc>
        <w:tc>
          <w:tcPr>
            <w:tcW w:w="204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60" w:type="dxa"/>
            <w:vAlign w:val="bottom"/>
            <w:tcBorders>
              <w:bottom w:val="single" w:sz="8" w:color="231F20"/>
            </w:tcBorders>
          </w:tcPr>
          <w:p>
            <w:pPr>
              <w:jc w:val="right"/>
              <w:ind w:right="60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4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jc w:val="right"/>
              <w:ind w:right="58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D1EBF3"/>
            </w:tcBorders>
          </w:tcPr>
          <w:p>
            <w:pPr>
              <w:spacing w:after="0"/>
              <w:rPr>
                <w:sz w:val="17"/>
                <w:szCs w:val="17"/>
                <w:color w:val="auto"/>
              </w:rPr>
            </w:pPr>
          </w:p>
        </w:tc>
      </w:tr>
      <w:tr>
        <w:trPr>
          <w:trHeight w:val="239"/>
        </w:trPr>
        <w:tc>
          <w:tcPr>
            <w:tcW w:w="4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United States</w:t>
            </w:r>
          </w:p>
        </w:tc>
        <w:tc>
          <w:tcPr>
            <w:tcW w:w="2040" w:type="dxa"/>
            <w:vAlign w:val="bottom"/>
            <w:shd w:val="clear" w:color="auto" w:fill="D1EBF3"/>
          </w:tcPr>
          <w:p>
            <w:pPr>
              <w:spacing w:after="0"/>
              <w:rPr>
                <w:sz w:val="20"/>
                <w:szCs w:val="20"/>
                <w:color w:val="auto"/>
              </w:rPr>
            </w:pPr>
          </w:p>
        </w:tc>
        <w:tc>
          <w:tcPr>
            <w:tcW w:w="24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(19,440)</w:t>
            </w:r>
          </w:p>
        </w:tc>
        <w:tc>
          <w:tcPr>
            <w:tcW w:w="340" w:type="dxa"/>
            <w:vAlign w:val="bottom"/>
            <w:shd w:val="clear" w:color="auto" w:fill="D1EBF3"/>
          </w:tcPr>
          <w:p>
            <w:pPr>
              <w:spacing w:after="0"/>
              <w:rPr>
                <w:sz w:val="20"/>
                <w:szCs w:val="20"/>
                <w:color w:val="auto"/>
              </w:rPr>
            </w:pPr>
          </w:p>
        </w:tc>
        <w:tc>
          <w:tcPr>
            <w:tcW w:w="24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(30,676)</w:t>
            </w:r>
          </w:p>
        </w:tc>
        <w:tc>
          <w:tcPr>
            <w:tcW w:w="100" w:type="dxa"/>
            <w:vAlign w:val="bottom"/>
            <w:shd w:val="clear" w:color="auto" w:fill="D1EBF3"/>
          </w:tcPr>
          <w:p>
            <w:pPr>
              <w:spacing w:after="0"/>
              <w:rPr>
                <w:sz w:val="20"/>
                <w:szCs w:val="20"/>
                <w:color w:val="auto"/>
              </w:rPr>
            </w:pPr>
          </w:p>
        </w:tc>
      </w:tr>
      <w:tr>
        <w:trPr>
          <w:trHeight w:val="244"/>
        </w:trPr>
        <w:tc>
          <w:tcPr>
            <w:tcW w:w="43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Foreign</w:t>
            </w:r>
          </w:p>
        </w:tc>
        <w:tc>
          <w:tcPr>
            <w:tcW w:w="2040" w:type="dxa"/>
            <w:vAlign w:val="bottom"/>
            <w:tcBorders>
              <w:bottom w:val="single" w:sz="8" w:color="D1EBF3"/>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Borders>
              <w:bottom w:val="single" w:sz="8" w:color="D1EBF3"/>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tcPr>
          <w:p>
            <w:pPr>
              <w:spacing w:after="0"/>
              <w:rPr>
                <w:sz w:val="21"/>
                <w:szCs w:val="21"/>
                <w:color w:val="auto"/>
              </w:rPr>
            </w:pPr>
          </w:p>
        </w:tc>
      </w:tr>
      <w:tr>
        <w:trPr>
          <w:trHeight w:val="259"/>
        </w:trPr>
        <w:tc>
          <w:tcPr>
            <w:tcW w:w="438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loss before income taxes</w:t>
            </w:r>
          </w:p>
        </w:tc>
        <w:tc>
          <w:tcPr>
            <w:tcW w:w="2040" w:type="dxa"/>
            <w:vAlign w:val="bottom"/>
            <w:tcBorders>
              <w:bottom w:val="single" w:sz="8" w:color="D1EBF3"/>
            </w:tcBorders>
            <w:shd w:val="clear" w:color="auto" w:fill="D1EBF3"/>
          </w:tcPr>
          <w:p>
            <w:pPr>
              <w:spacing w:after="0"/>
              <w:rPr>
                <w:sz w:val="22"/>
                <w:szCs w:val="22"/>
                <w:color w:val="auto"/>
              </w:rPr>
            </w:pPr>
          </w:p>
        </w:tc>
        <w:tc>
          <w:tcPr>
            <w:tcW w:w="240" w:type="dxa"/>
            <w:vAlign w:val="bottom"/>
            <w:tcBorders>
              <w:bottom w:val="single" w:sz="8" w:color="231F20"/>
            </w:tcBorders>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(19,440)</w:t>
            </w:r>
          </w:p>
        </w:tc>
        <w:tc>
          <w:tcPr>
            <w:tcW w:w="340" w:type="dxa"/>
            <w:vAlign w:val="bottom"/>
            <w:tcBorders>
              <w:bottom w:val="single" w:sz="8" w:color="D1EBF3"/>
            </w:tcBorders>
            <w:shd w:val="clear" w:color="auto" w:fill="D1EBF3"/>
          </w:tcPr>
          <w:p>
            <w:pPr>
              <w:spacing w:after="0"/>
              <w:rPr>
                <w:sz w:val="22"/>
                <w:szCs w:val="22"/>
                <w:color w:val="auto"/>
              </w:rPr>
            </w:pPr>
          </w:p>
        </w:tc>
        <w:tc>
          <w:tcPr>
            <w:tcW w:w="240" w:type="dxa"/>
            <w:vAlign w:val="bottom"/>
            <w:tcBorders>
              <w:bottom w:val="single" w:sz="8" w:color="231F20"/>
            </w:tcBorders>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(30,676)</w:t>
            </w:r>
          </w:p>
        </w:tc>
        <w:tc>
          <w:tcPr>
            <w:tcW w:w="100" w:type="dxa"/>
            <w:vAlign w:val="bottom"/>
            <w:tcBorders>
              <w:bottom w:val="single" w:sz="8" w:color="D1EBF3"/>
            </w:tcBorders>
            <w:shd w:val="clear" w:color="auto" w:fill="D1EBF3"/>
          </w:tcPr>
          <w:p>
            <w:pPr>
              <w:spacing w:after="0"/>
              <w:rPr>
                <w:sz w:val="22"/>
                <w:szCs w:val="22"/>
                <w:color w:val="auto"/>
              </w:rPr>
            </w:pPr>
          </w:p>
        </w:tc>
      </w:tr>
      <w:tr>
        <w:trPr>
          <w:trHeight w:val="20"/>
        </w:trPr>
        <w:tc>
          <w:tcPr>
            <w:tcW w:w="4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20"/>
          <w:szCs w:val="20"/>
          <w:color w:val="231F20"/>
        </w:rPr>
        <w:t>The Company has incurred cumulative operating losses since its inception and as a result, there is no current and deferred income tax provision for the years ended December 31, 2025 and 2024.</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For the years ended December 31, 2025 and 2024, the tax provision (benefit) consisted of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4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622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jc w:val="right"/>
              <w:ind w:right="58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40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jc w:val="right"/>
              <w:ind w:right="58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80" w:type="dxa"/>
            <w:vAlign w:val="bottom"/>
            <w:tcBorders>
              <w:bottom w:val="single" w:sz="8" w:color="D1EBF3"/>
            </w:tcBorders>
          </w:tcPr>
          <w:p>
            <w:pPr>
              <w:spacing w:after="0"/>
              <w:rPr>
                <w:sz w:val="17"/>
                <w:szCs w:val="17"/>
                <w:color w:val="auto"/>
              </w:rPr>
            </w:pPr>
          </w:p>
        </w:tc>
      </w:tr>
      <w:tr>
        <w:trPr>
          <w:trHeight w:val="239"/>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Current provision (benefit):</w:t>
            </w:r>
          </w:p>
        </w:tc>
        <w:tc>
          <w:tcPr>
            <w:tcW w:w="220" w:type="dxa"/>
            <w:vAlign w:val="bottom"/>
            <w:shd w:val="clear" w:color="auto" w:fill="D1EBF3"/>
          </w:tcPr>
          <w:p>
            <w:pPr>
              <w:spacing w:after="0"/>
              <w:rPr>
                <w:sz w:val="20"/>
                <w:szCs w:val="20"/>
                <w:color w:val="auto"/>
              </w:rPr>
            </w:pPr>
          </w:p>
        </w:tc>
        <w:tc>
          <w:tcPr>
            <w:tcW w:w="1440" w:type="dxa"/>
            <w:vAlign w:val="bottom"/>
            <w:shd w:val="clear" w:color="auto" w:fill="D1EBF3"/>
          </w:tcPr>
          <w:p>
            <w:pPr>
              <w:spacing w:after="0"/>
              <w:rPr>
                <w:sz w:val="20"/>
                <w:szCs w:val="20"/>
                <w:color w:val="auto"/>
              </w:rPr>
            </w:pPr>
          </w:p>
        </w:tc>
        <w:tc>
          <w:tcPr>
            <w:tcW w:w="40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1440" w:type="dxa"/>
            <w:vAlign w:val="bottom"/>
            <w:shd w:val="clear" w:color="auto" w:fill="D1EBF3"/>
          </w:tcPr>
          <w:p>
            <w:pPr>
              <w:spacing w:after="0"/>
              <w:rPr>
                <w:sz w:val="20"/>
                <w:szCs w:val="20"/>
                <w:color w:val="auto"/>
              </w:rPr>
            </w:pPr>
          </w:p>
        </w:tc>
        <w:tc>
          <w:tcPr>
            <w:tcW w:w="280" w:type="dxa"/>
            <w:vAlign w:val="bottom"/>
            <w:shd w:val="clear" w:color="auto" w:fill="D1EBF3"/>
          </w:tcPr>
          <w:p>
            <w:pPr>
              <w:spacing w:after="0"/>
              <w:rPr>
                <w:sz w:val="20"/>
                <w:szCs w:val="20"/>
                <w:color w:val="auto"/>
              </w:rPr>
            </w:pPr>
          </w:p>
        </w:tc>
      </w:tr>
      <w:tr>
        <w:trPr>
          <w:trHeight w:val="244"/>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Federal</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1"/>
                <w:szCs w:val="21"/>
                <w:color w:val="auto"/>
              </w:rPr>
            </w:pPr>
          </w:p>
        </w:tc>
      </w:tr>
      <w:tr>
        <w:trPr>
          <w:trHeight w:val="244"/>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State</w:t>
            </w:r>
          </w:p>
        </w:tc>
        <w:tc>
          <w:tcPr>
            <w:tcW w:w="220" w:type="dxa"/>
            <w:vAlign w:val="bottom"/>
            <w:shd w:val="clear" w:color="auto" w:fill="D1EBF3"/>
          </w:tcPr>
          <w:p>
            <w:pPr>
              <w:spacing w:after="0"/>
              <w:rPr>
                <w:sz w:val="21"/>
                <w:szCs w:val="21"/>
                <w:color w:val="auto"/>
              </w:rPr>
            </w:pPr>
          </w:p>
        </w:tc>
        <w:tc>
          <w:tcPr>
            <w:tcW w:w="1840" w:type="dxa"/>
            <w:vAlign w:val="bottom"/>
            <w:gridSpan w:val="2"/>
            <w:shd w:val="clear" w:color="auto" w:fill="D1EBF3"/>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D1EBF3"/>
          </w:tcPr>
          <w:p>
            <w:pPr>
              <w:spacing w:after="0"/>
              <w:rPr>
                <w:sz w:val="21"/>
                <w:szCs w:val="21"/>
                <w:color w:val="auto"/>
              </w:rPr>
            </w:pPr>
          </w:p>
        </w:tc>
        <w:tc>
          <w:tcPr>
            <w:tcW w:w="1720" w:type="dxa"/>
            <w:vAlign w:val="bottom"/>
            <w:gridSpan w:val="2"/>
            <w:shd w:val="clear" w:color="auto" w:fill="D1EBF3"/>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62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Total</w:t>
            </w:r>
          </w:p>
        </w:tc>
        <w:tc>
          <w:tcPr>
            <w:tcW w:w="220" w:type="dxa"/>
            <w:vAlign w:val="bottom"/>
            <w:tcBorders>
              <w:top w:val="single" w:sz="8" w:color="231F20"/>
              <w:bottom w:val="single" w:sz="8" w:color="231F20"/>
            </w:tcBorders>
          </w:tcPr>
          <w:p>
            <w:pPr>
              <w:spacing w:after="0"/>
              <w:rPr>
                <w:sz w:val="20"/>
                <w:szCs w:val="20"/>
                <w:color w:val="auto"/>
              </w:rPr>
            </w:pPr>
          </w:p>
        </w:tc>
        <w:tc>
          <w:tcPr>
            <w:tcW w:w="14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tcBorders>
              <w:bottom w:val="single" w:sz="8" w:color="D1EBF3"/>
            </w:tcBorders>
          </w:tcPr>
          <w:p>
            <w:pPr>
              <w:spacing w:after="0"/>
              <w:rPr>
                <w:sz w:val="20"/>
                <w:szCs w:val="20"/>
                <w:color w:val="auto"/>
              </w:rPr>
            </w:pPr>
          </w:p>
        </w:tc>
        <w:tc>
          <w:tcPr>
            <w:tcW w:w="240" w:type="dxa"/>
            <w:vAlign w:val="bottom"/>
            <w:tcBorders>
              <w:top w:val="single" w:sz="8" w:color="231F20"/>
              <w:bottom w:val="single" w:sz="8" w:color="231F20"/>
            </w:tcBorders>
          </w:tcPr>
          <w:p>
            <w:pPr>
              <w:spacing w:after="0"/>
              <w:rPr>
                <w:sz w:val="20"/>
                <w:szCs w:val="20"/>
                <w:color w:val="auto"/>
              </w:rPr>
            </w:pPr>
          </w:p>
        </w:tc>
        <w:tc>
          <w:tcPr>
            <w:tcW w:w="14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Borders>
              <w:bottom w:val="single" w:sz="8" w:color="D1EBF3"/>
            </w:tcBorders>
          </w:tcPr>
          <w:p>
            <w:pPr>
              <w:spacing w:after="0"/>
              <w:rPr>
                <w:sz w:val="20"/>
                <w:szCs w:val="20"/>
                <w:color w:val="auto"/>
              </w:rPr>
            </w:pPr>
          </w:p>
        </w:tc>
      </w:tr>
      <w:tr>
        <w:trPr>
          <w:trHeight w:val="239"/>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Deferred provision (benefit)</w:t>
            </w:r>
          </w:p>
        </w:tc>
        <w:tc>
          <w:tcPr>
            <w:tcW w:w="220" w:type="dxa"/>
            <w:vAlign w:val="bottom"/>
            <w:shd w:val="clear" w:color="auto" w:fill="D1EBF3"/>
          </w:tcPr>
          <w:p>
            <w:pPr>
              <w:spacing w:after="0"/>
              <w:rPr>
                <w:sz w:val="20"/>
                <w:szCs w:val="20"/>
                <w:color w:val="auto"/>
              </w:rPr>
            </w:pPr>
          </w:p>
        </w:tc>
        <w:tc>
          <w:tcPr>
            <w:tcW w:w="1440" w:type="dxa"/>
            <w:vAlign w:val="bottom"/>
            <w:shd w:val="clear" w:color="auto" w:fill="D1EBF3"/>
          </w:tcPr>
          <w:p>
            <w:pPr>
              <w:spacing w:after="0"/>
              <w:rPr>
                <w:sz w:val="20"/>
                <w:szCs w:val="20"/>
                <w:color w:val="auto"/>
              </w:rPr>
            </w:pPr>
          </w:p>
        </w:tc>
        <w:tc>
          <w:tcPr>
            <w:tcW w:w="40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1440" w:type="dxa"/>
            <w:vAlign w:val="bottom"/>
            <w:shd w:val="clear" w:color="auto" w:fill="D1EBF3"/>
          </w:tcPr>
          <w:p>
            <w:pPr>
              <w:spacing w:after="0"/>
              <w:rPr>
                <w:sz w:val="20"/>
                <w:szCs w:val="20"/>
                <w:color w:val="auto"/>
              </w:rPr>
            </w:pPr>
          </w:p>
        </w:tc>
        <w:tc>
          <w:tcPr>
            <w:tcW w:w="280" w:type="dxa"/>
            <w:vAlign w:val="bottom"/>
            <w:shd w:val="clear" w:color="auto" w:fill="D1EBF3"/>
          </w:tcPr>
          <w:p>
            <w:pPr>
              <w:spacing w:after="0"/>
              <w:rPr>
                <w:sz w:val="20"/>
                <w:szCs w:val="20"/>
                <w:color w:val="auto"/>
              </w:rPr>
            </w:pPr>
          </w:p>
        </w:tc>
      </w:tr>
      <w:tr>
        <w:trPr>
          <w:trHeight w:val="244"/>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Federal</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(4,069)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(5,553)</w:t>
            </w:r>
          </w:p>
        </w:tc>
        <w:tc>
          <w:tcPr>
            <w:tcW w:w="280" w:type="dxa"/>
            <w:vAlign w:val="bottom"/>
          </w:tcPr>
          <w:p>
            <w:pPr>
              <w:spacing w:after="0"/>
              <w:rPr>
                <w:sz w:val="21"/>
                <w:szCs w:val="21"/>
                <w:color w:val="auto"/>
              </w:rPr>
            </w:pPr>
          </w:p>
        </w:tc>
      </w:tr>
      <w:tr>
        <w:trPr>
          <w:trHeight w:val="244"/>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State</w:t>
            </w:r>
          </w:p>
        </w:tc>
        <w:tc>
          <w:tcPr>
            <w:tcW w:w="220" w:type="dxa"/>
            <w:vAlign w:val="bottom"/>
            <w:shd w:val="clear" w:color="auto" w:fill="D1EBF3"/>
          </w:tcPr>
          <w:p>
            <w:pPr>
              <w:spacing w:after="0"/>
              <w:rPr>
                <w:sz w:val="21"/>
                <w:szCs w:val="21"/>
                <w:color w:val="auto"/>
              </w:rPr>
            </w:pPr>
          </w:p>
        </w:tc>
        <w:tc>
          <w:tcPr>
            <w:tcW w:w="1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1,652</w:t>
            </w:r>
          </w:p>
        </w:tc>
        <w:tc>
          <w:tcPr>
            <w:tcW w:w="40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1720" w:type="dxa"/>
            <w:vAlign w:val="bottom"/>
            <w:gridSpan w:val="2"/>
            <w:shd w:val="clear" w:color="auto" w:fill="D1EBF3"/>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62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Total</w:t>
            </w:r>
          </w:p>
        </w:tc>
        <w:tc>
          <w:tcPr>
            <w:tcW w:w="220" w:type="dxa"/>
            <w:vAlign w:val="bottom"/>
            <w:tcBorders>
              <w:top w:val="single" w:sz="8" w:color="231F20"/>
              <w:bottom w:val="single" w:sz="8" w:color="231F20"/>
            </w:tcBorders>
          </w:tcPr>
          <w:p>
            <w:pPr>
              <w:spacing w:after="0"/>
              <w:rPr>
                <w:sz w:val="20"/>
                <w:szCs w:val="20"/>
                <w:color w:val="auto"/>
              </w:rPr>
            </w:pPr>
          </w:p>
        </w:tc>
        <w:tc>
          <w:tcPr>
            <w:tcW w:w="14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(2,417)</w:t>
            </w:r>
          </w:p>
        </w:tc>
        <w:tc>
          <w:tcPr>
            <w:tcW w:w="400" w:type="dxa"/>
            <w:vAlign w:val="bottom"/>
            <w:tcBorders>
              <w:bottom w:val="single" w:sz="8" w:color="D1EBF3"/>
            </w:tcBorders>
          </w:tcPr>
          <w:p>
            <w:pPr>
              <w:spacing w:after="0"/>
              <w:rPr>
                <w:sz w:val="20"/>
                <w:szCs w:val="20"/>
                <w:color w:val="auto"/>
              </w:rPr>
            </w:pPr>
          </w:p>
        </w:tc>
        <w:tc>
          <w:tcPr>
            <w:tcW w:w="240" w:type="dxa"/>
            <w:vAlign w:val="bottom"/>
            <w:tcBorders>
              <w:top w:val="single" w:sz="8" w:color="231F20"/>
              <w:bottom w:val="single" w:sz="8" w:color="231F20"/>
            </w:tcBorders>
          </w:tcPr>
          <w:p>
            <w:pPr>
              <w:spacing w:after="0"/>
              <w:rPr>
                <w:sz w:val="20"/>
                <w:szCs w:val="20"/>
                <w:color w:val="auto"/>
              </w:rPr>
            </w:pPr>
          </w:p>
        </w:tc>
        <w:tc>
          <w:tcPr>
            <w:tcW w:w="14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(5,553)</w:t>
            </w:r>
          </w:p>
        </w:tc>
        <w:tc>
          <w:tcPr>
            <w:tcW w:w="280" w:type="dxa"/>
            <w:vAlign w:val="bottom"/>
            <w:tcBorders>
              <w:bottom w:val="single" w:sz="8" w:color="D1EBF3"/>
            </w:tcBorders>
          </w:tcPr>
          <w:p>
            <w:pPr>
              <w:spacing w:after="0"/>
              <w:rPr>
                <w:sz w:val="20"/>
                <w:szCs w:val="20"/>
                <w:color w:val="auto"/>
              </w:rPr>
            </w:pPr>
          </w:p>
        </w:tc>
      </w:tr>
      <w:tr>
        <w:trPr>
          <w:trHeight w:val="239"/>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220" w:type="dxa"/>
            <w:vAlign w:val="bottom"/>
            <w:tcBorders>
              <w:bottom w:val="single" w:sz="8" w:color="231F20"/>
            </w:tcBorders>
            <w:shd w:val="clear" w:color="auto" w:fill="D1EBF3"/>
          </w:tcPr>
          <w:p>
            <w:pPr>
              <w:spacing w:after="0"/>
              <w:rPr>
                <w:sz w:val="20"/>
                <w:szCs w:val="20"/>
                <w:color w:val="auto"/>
              </w:rPr>
            </w:pPr>
          </w:p>
        </w:tc>
        <w:tc>
          <w:tcPr>
            <w:tcW w:w="14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2,417</w:t>
            </w:r>
          </w:p>
        </w:tc>
        <w:tc>
          <w:tcPr>
            <w:tcW w:w="400" w:type="dxa"/>
            <w:vAlign w:val="bottom"/>
            <w:shd w:val="clear" w:color="auto" w:fill="D1EBF3"/>
          </w:tcPr>
          <w:p>
            <w:pPr>
              <w:spacing w:after="0"/>
              <w:rPr>
                <w:sz w:val="20"/>
                <w:szCs w:val="20"/>
                <w:color w:val="auto"/>
              </w:rPr>
            </w:pPr>
          </w:p>
        </w:tc>
        <w:tc>
          <w:tcPr>
            <w:tcW w:w="240" w:type="dxa"/>
            <w:vAlign w:val="bottom"/>
            <w:tcBorders>
              <w:bottom w:val="single" w:sz="8" w:color="231F20"/>
            </w:tcBorders>
            <w:shd w:val="clear" w:color="auto" w:fill="D1EBF3"/>
          </w:tcPr>
          <w:p>
            <w:pPr>
              <w:spacing w:after="0"/>
              <w:rPr>
                <w:sz w:val="20"/>
                <w:szCs w:val="20"/>
                <w:color w:val="auto"/>
              </w:rPr>
            </w:pPr>
          </w:p>
        </w:tc>
        <w:tc>
          <w:tcPr>
            <w:tcW w:w="14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5,553</w:t>
            </w:r>
          </w:p>
        </w:tc>
        <w:tc>
          <w:tcPr>
            <w:tcW w:w="280" w:type="dxa"/>
            <w:vAlign w:val="bottom"/>
            <w:shd w:val="clear" w:color="auto" w:fill="D1EBF3"/>
          </w:tcPr>
          <w:p>
            <w:pPr>
              <w:spacing w:after="0"/>
              <w:rPr>
                <w:sz w:val="20"/>
                <w:szCs w:val="20"/>
                <w:color w:val="auto"/>
              </w:rPr>
            </w:pPr>
          </w:p>
        </w:tc>
      </w:tr>
      <w:tr>
        <w:trPr>
          <w:trHeight w:val="239"/>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Income tax provision (benefit)</w:t>
            </w:r>
          </w:p>
        </w:tc>
        <w:tc>
          <w:tcPr>
            <w:tcW w:w="2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tcPr>
          <w:p>
            <w:pPr>
              <w:spacing w:after="0"/>
              <w:rPr>
                <w:sz w:val="20"/>
                <w:szCs w:val="20"/>
                <w:color w:val="auto"/>
              </w:rPr>
            </w:pPr>
          </w:p>
        </w:tc>
        <w:tc>
          <w:tcPr>
            <w:tcW w:w="2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0"/>
                <w:szCs w:val="20"/>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items accounting for the difference between income taxes computed at the federal statutory rate and the Company’s effective tax rate for the years ended December 31,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04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9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D1EBF3"/>
            </w:tcBorders>
          </w:tcPr>
          <w:p>
            <w:pPr>
              <w:spacing w:after="0"/>
              <w:rPr>
                <w:sz w:val="17"/>
                <w:szCs w:val="17"/>
                <w:color w:val="auto"/>
              </w:rPr>
            </w:pPr>
          </w:p>
        </w:tc>
        <w:tc>
          <w:tcPr>
            <w:tcW w:w="1640" w:type="dxa"/>
            <w:vAlign w:val="bottom"/>
            <w:tcBorders>
              <w:bottom w:val="single" w:sz="8" w:color="231F20"/>
            </w:tcBorders>
          </w:tcPr>
          <w:p>
            <w:pPr>
              <w:jc w:val="right"/>
              <w:ind w:right="56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400" w:type="dxa"/>
            <w:vAlign w:val="bottom"/>
          </w:tcPr>
          <w:p>
            <w:pPr>
              <w:spacing w:after="0"/>
              <w:rPr>
                <w:sz w:val="17"/>
                <w:szCs w:val="17"/>
                <w:color w:val="auto"/>
              </w:rPr>
            </w:pPr>
          </w:p>
        </w:tc>
        <w:tc>
          <w:tcPr>
            <w:tcW w:w="1660" w:type="dxa"/>
            <w:vAlign w:val="bottom"/>
            <w:tcBorders>
              <w:bottom w:val="single" w:sz="8" w:color="231F20"/>
            </w:tcBorders>
          </w:tcPr>
          <w:p>
            <w:pPr>
              <w:jc w:val="right"/>
              <w:ind w:right="58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U.S. Federal statutory rate</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21.0%</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21.0%</w:t>
            </w:r>
          </w:p>
        </w:tc>
        <w:tc>
          <w:tcPr>
            <w:tcW w:w="0" w:type="dxa"/>
            <w:vAlign w:val="bottom"/>
          </w:tcPr>
          <w:p>
            <w:pPr>
              <w:spacing w:after="0"/>
              <w:rPr>
                <w:sz w:val="1"/>
                <w:szCs w:val="1"/>
                <w:color w:val="auto"/>
              </w:rPr>
            </w:pPr>
          </w:p>
        </w:tc>
      </w:tr>
      <w:tr>
        <w:trPr>
          <w:trHeight w:val="244"/>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State taxes, net of federal benefit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4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6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400" w:type="dxa"/>
            <w:vAlign w:val="bottom"/>
            <w:shd w:val="clear" w:color="auto" w:fill="D1EBF3"/>
          </w:tcPr>
          <w:p>
            <w:pPr>
              <w:spacing w:after="0"/>
              <w:rPr>
                <w:sz w:val="21"/>
                <w:szCs w:val="21"/>
                <w:color w:val="auto"/>
              </w:rPr>
            </w:pPr>
          </w:p>
        </w:tc>
        <w:tc>
          <w:tcPr>
            <w:tcW w:w="1980" w:type="dxa"/>
            <w:vAlign w:val="bottom"/>
            <w:gridSpan w:val="2"/>
            <w:shd w:val="clear" w:color="auto" w:fill="D1EBF3"/>
          </w:tcPr>
          <w:p>
            <w:pPr>
              <w:jc w:val="right"/>
              <w:ind w:right="240"/>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44"/>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Other permanent differences</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4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True up adjustments</w:t>
            </w:r>
          </w:p>
        </w:tc>
        <w:tc>
          <w:tcPr>
            <w:tcW w:w="2040" w:type="dxa"/>
            <w:vAlign w:val="bottom"/>
            <w:gridSpan w:val="2"/>
            <w:shd w:val="clear" w:color="auto" w:fill="D1EBF3"/>
          </w:tcPr>
          <w:p>
            <w:pPr>
              <w:jc w:val="right"/>
              <w:ind w:right="340"/>
              <w:spacing w:after="0"/>
              <w:rPr>
                <w:sz w:val="20"/>
                <w:szCs w:val="20"/>
                <w:color w:val="auto"/>
              </w:rPr>
            </w:pPr>
            <w:r>
              <w:rPr>
                <w:rFonts w:ascii="Times New Roman" w:cs="Times New Roman" w:eastAsia="Times New Roman" w:hAnsi="Times New Roman"/>
                <w:sz w:val="20"/>
                <w:szCs w:val="20"/>
                <w:color w:val="231F20"/>
              </w:rPr>
              <w:t>(8.5)</w:t>
            </w:r>
          </w:p>
        </w:tc>
        <w:tc>
          <w:tcPr>
            <w:tcW w:w="1980" w:type="dxa"/>
            <w:vAlign w:val="bottom"/>
            <w:gridSpan w:val="2"/>
            <w:shd w:val="clear" w:color="auto" w:fill="D1EBF3"/>
          </w:tcPr>
          <w:p>
            <w:pPr>
              <w:jc w:val="right"/>
              <w:ind w:right="240"/>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1640" w:type="dxa"/>
            <w:vAlign w:val="bottom"/>
            <w:shd w:val="clear" w:color="auto" w:fill="231F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20" w:type="dxa"/>
            <w:vAlign w:val="bottom"/>
            <w:vMerge w:val="continue"/>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(12.5%)</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(18.0%)</w:t>
            </w: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Income tax provision (benefit)</w:t>
            </w:r>
          </w:p>
        </w:tc>
        <w:tc>
          <w:tcPr>
            <w:tcW w:w="1640" w:type="dxa"/>
            <w:vAlign w:val="bottom"/>
            <w:shd w:val="clear" w:color="auto" w:fill="231F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220" w:type="dxa"/>
            <w:vAlign w:val="bottom"/>
            <w:vMerge w:val="continue"/>
            <w:shd w:val="clear" w:color="auto" w:fill="D1EBF3"/>
          </w:tcPr>
          <w:p>
            <w:pPr>
              <w:spacing w:after="0"/>
              <w:rPr>
                <w:sz w:val="22"/>
                <w:szCs w:val="22"/>
                <w:color w:val="auto"/>
              </w:rPr>
            </w:pP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0.0%</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0.0%</w:t>
            </w:r>
          </w:p>
        </w:tc>
        <w:tc>
          <w:tcPr>
            <w:tcW w:w="0" w:type="dxa"/>
            <w:vAlign w:val="bottom"/>
          </w:tcPr>
          <w:p>
            <w:pPr>
              <w:spacing w:after="0"/>
              <w:rPr>
                <w:sz w:val="1"/>
                <w:szCs w:val="1"/>
                <w:color w:val="auto"/>
              </w:rPr>
            </w:pPr>
          </w:p>
        </w:tc>
      </w:tr>
      <w:tr>
        <w:trPr>
          <w:trHeight w:val="20"/>
        </w:trPr>
        <w:tc>
          <w:tcPr>
            <w:tcW w:w="6220" w:type="dxa"/>
            <w:vAlign w:val="bottom"/>
            <w:tcBorders>
              <w:top w:val="single" w:sz="8" w:color="D1EBF3"/>
            </w:tcBorders>
          </w:tcPr>
          <w:p>
            <w:pPr>
              <w:spacing w:after="0" w:line="20" w:lineRule="exact"/>
              <w:rPr>
                <w:sz w:val="1"/>
                <w:szCs w:val="1"/>
                <w:color w:val="auto"/>
              </w:rPr>
            </w:pPr>
          </w:p>
        </w:tc>
        <w:tc>
          <w:tcPr>
            <w:tcW w:w="164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3952240</wp:posOffset>
                </wp:positionH>
                <wp:positionV relativeFrom="paragraph">
                  <wp:posOffset>-1131570</wp:posOffset>
                </wp:positionV>
                <wp:extent cx="1035685" cy="15494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5685" cy="154940"/>
                        </a:xfrm>
                        <a:prstGeom prst="rect">
                          <a:avLst/>
                        </a:prstGeom>
                        <a:solidFill>
                          <a:srgbClr val="D1EBF3"/>
                        </a:solidFill>
                      </wps:spPr>
                      <wps:bodyPr/>
                    </wps:wsp>
                  </a:graphicData>
                </a:graphic>
              </wp:anchor>
            </w:drawing>
          </mc:Choice>
          <mc:Fallback>
            <w:pict>
              <v:rect id="Shape 44" o:spid="_x0000_s1069" style="position:absolute;margin-left:311.2pt;margin-top:-89.0999pt;width:81.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4987925</wp:posOffset>
                </wp:positionH>
                <wp:positionV relativeFrom="paragraph">
                  <wp:posOffset>-1141095</wp:posOffset>
                </wp:positionV>
                <wp:extent cx="260985" cy="16446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985" cy="164465"/>
                        </a:xfrm>
                        <a:prstGeom prst="rect">
                          <a:avLst/>
                        </a:prstGeom>
                        <a:solidFill>
                          <a:srgbClr val="D1EBF3"/>
                        </a:solidFill>
                      </wps:spPr>
                      <wps:bodyPr/>
                    </wps:wsp>
                  </a:graphicData>
                </a:graphic>
              </wp:anchor>
            </w:drawing>
          </mc:Choice>
          <mc:Fallback>
            <w:pict>
              <v:rect id="Shape 45" o:spid="_x0000_s1070" style="position:absolute;margin-left:392.75pt;margin-top:-89.8499pt;width:20.5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-1131570</wp:posOffset>
                </wp:positionV>
                <wp:extent cx="1054735" cy="15494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4735" cy="154940"/>
                        </a:xfrm>
                        <a:prstGeom prst="rect">
                          <a:avLst/>
                        </a:prstGeom>
                        <a:solidFill>
                          <a:srgbClr val="D1EBF3"/>
                        </a:solidFill>
                      </wps:spPr>
                      <wps:bodyPr/>
                    </wps:wsp>
                  </a:graphicData>
                </a:graphic>
              </wp:anchor>
            </w:drawing>
          </mc:Choice>
          <mc:Fallback>
            <w:pict>
              <v:rect id="Shape 46" o:spid="_x0000_s1071" style="position:absolute;margin-left:413.3pt;margin-top:-89.0999pt;width:83.0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6303645</wp:posOffset>
                </wp:positionH>
                <wp:positionV relativeFrom="paragraph">
                  <wp:posOffset>-1141095</wp:posOffset>
                </wp:positionV>
                <wp:extent cx="193675" cy="16446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675" cy="164465"/>
                        </a:xfrm>
                        <a:prstGeom prst="rect">
                          <a:avLst/>
                        </a:prstGeom>
                        <a:solidFill>
                          <a:srgbClr val="D1EBF3"/>
                        </a:solidFill>
                      </wps:spPr>
                      <wps:bodyPr/>
                    </wps:wsp>
                  </a:graphicData>
                </a:graphic>
              </wp:anchor>
            </w:drawing>
          </mc:Choice>
          <mc:Fallback>
            <w:pict>
              <v:rect id="Shape 47" o:spid="_x0000_s1072" style="position:absolute;margin-left:496.35pt;margin-top:-89.8499pt;width:15.2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3952240</wp:posOffset>
                </wp:positionH>
                <wp:positionV relativeFrom="paragraph">
                  <wp:posOffset>-182880</wp:posOffset>
                </wp:positionV>
                <wp:extent cx="1035685" cy="15494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5685" cy="154940"/>
                        </a:xfrm>
                        <a:prstGeom prst="rect">
                          <a:avLst/>
                        </a:prstGeom>
                        <a:solidFill>
                          <a:srgbClr val="D1EBF3"/>
                        </a:solidFill>
                      </wps:spPr>
                      <wps:bodyPr/>
                    </wps:wsp>
                  </a:graphicData>
                </a:graphic>
              </wp:anchor>
            </w:drawing>
          </mc:Choice>
          <mc:Fallback>
            <w:pict>
              <v:rect id="Shape 48" o:spid="_x0000_s1073" style="position:absolute;margin-left:311.2pt;margin-top:-14.3999pt;width:81.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4987925</wp:posOffset>
                </wp:positionH>
                <wp:positionV relativeFrom="paragraph">
                  <wp:posOffset>-192405</wp:posOffset>
                </wp:positionV>
                <wp:extent cx="260985" cy="16446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985" cy="164465"/>
                        </a:xfrm>
                        <a:prstGeom prst="rect">
                          <a:avLst/>
                        </a:prstGeom>
                        <a:solidFill>
                          <a:srgbClr val="D1EBF3"/>
                        </a:solidFill>
                      </wps:spPr>
                      <wps:bodyPr/>
                    </wps:wsp>
                  </a:graphicData>
                </a:graphic>
              </wp:anchor>
            </w:drawing>
          </mc:Choice>
          <mc:Fallback>
            <w:pict>
              <v:rect id="Shape 49" o:spid="_x0000_s1074" style="position:absolute;margin-left:392.75pt;margin-top:-15.1499pt;width:20.5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-182880</wp:posOffset>
                </wp:positionV>
                <wp:extent cx="1054735" cy="15494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4735" cy="154940"/>
                        </a:xfrm>
                        <a:prstGeom prst="rect">
                          <a:avLst/>
                        </a:prstGeom>
                        <a:solidFill>
                          <a:srgbClr val="D1EBF3"/>
                        </a:solidFill>
                      </wps:spPr>
                      <wps:bodyPr/>
                    </wps:wsp>
                  </a:graphicData>
                </a:graphic>
              </wp:anchor>
            </w:drawing>
          </mc:Choice>
          <mc:Fallback>
            <w:pict>
              <v:rect id="Shape 50" o:spid="_x0000_s1075" style="position:absolute;margin-left:413.3pt;margin-top:-14.3999pt;width:83.0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6303645</wp:posOffset>
                </wp:positionH>
                <wp:positionV relativeFrom="paragraph">
                  <wp:posOffset>-192405</wp:posOffset>
                </wp:positionV>
                <wp:extent cx="193675" cy="16446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675" cy="164465"/>
                        </a:xfrm>
                        <a:prstGeom prst="rect">
                          <a:avLst/>
                        </a:prstGeom>
                        <a:solidFill>
                          <a:srgbClr val="D1EBF3"/>
                        </a:solidFill>
                      </wps:spPr>
                      <wps:bodyPr/>
                    </wps:wsp>
                  </a:graphicData>
                </a:graphic>
              </wp:anchor>
            </w:drawing>
          </mc:Choice>
          <mc:Fallback>
            <w:pict>
              <v:rect id="Shape 51" o:spid="_x0000_s1076" style="position:absolute;margin-left:496.35pt;margin-top:-15.1499pt;width:15.2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124</w:t>
      </w:r>
    </w:p>
    <w:p>
      <w:pPr>
        <w:sectPr>
          <w:pgSz w:w="11880" w:h="15480" w:orient="portrait"/>
          <w:cols w:equalWidth="0" w:num="1">
            <w:col w:w="10240"/>
          </w:cols>
          <w:pgMar w:left="820" w:top="750" w:right="820" w:bottom="0" w:gutter="0" w:footer="0" w:header="0"/>
          <w:type w:val="continuous"/>
        </w:sectPr>
      </w:pPr>
    </w:p>
    <w:bookmarkStart w:id="130" w:name="page131"/>
    <w:bookmarkEnd w:id="130"/>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Deferred income taxes reflect the net tax effects of temporary differences between the carrying amounts of assets and liabilities for financial statement purposes and the amounts used for income tax purposes.</w:t>
      </w:r>
    </w:p>
    <w:p>
      <w:pPr>
        <w:spacing w:after="0" w:line="49"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Components of the Company’s net deferred tax assets (liabilities) balance are as follows at December 31, 2025 and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5980" w:type="dxa"/>
            <w:vAlign w:val="bottom"/>
            <w:tcBorders>
              <w:bottom w:val="single" w:sz="8" w:color="D1EBF3"/>
            </w:tcBorders>
          </w:tcPr>
          <w:p>
            <w:pPr>
              <w:spacing w:after="0"/>
              <w:rPr>
                <w:sz w:val="17"/>
                <w:szCs w:val="17"/>
                <w:color w:val="auto"/>
              </w:rPr>
            </w:pPr>
          </w:p>
        </w:tc>
        <w:tc>
          <w:tcPr>
            <w:tcW w:w="22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D1EBF3"/>
            </w:tcBorders>
          </w:tcPr>
          <w:p>
            <w:pPr>
              <w:spacing w:after="0"/>
              <w:rPr>
                <w:sz w:val="17"/>
                <w:szCs w:val="17"/>
                <w:color w:val="auto"/>
              </w:rPr>
            </w:pPr>
          </w:p>
        </w:tc>
        <w:tc>
          <w:tcPr>
            <w:tcW w:w="16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56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20" w:type="dxa"/>
            <w:vAlign w:val="bottom"/>
            <w:tcBorders>
              <w:bottom w:val="single" w:sz="8" w:color="D1EBF3"/>
            </w:tcBorders>
          </w:tcPr>
          <w:p>
            <w:pPr>
              <w:spacing w:after="0"/>
              <w:rPr>
                <w:sz w:val="17"/>
                <w:szCs w:val="17"/>
                <w:color w:val="auto"/>
              </w:rPr>
            </w:pPr>
          </w:p>
        </w:tc>
      </w:tr>
      <w:tr>
        <w:trPr>
          <w:trHeight w:val="239"/>
        </w:trPr>
        <w:tc>
          <w:tcPr>
            <w:tcW w:w="5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22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142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142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22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1,845</w:t>
            </w:r>
          </w:p>
        </w:tc>
        <w:tc>
          <w:tcPr>
            <w:tcW w:w="320" w:type="dxa"/>
            <w:vAlign w:val="bottom"/>
          </w:tcPr>
          <w:p>
            <w:pPr>
              <w:spacing w:after="0"/>
              <w:rPr>
                <w:sz w:val="21"/>
                <w:szCs w:val="21"/>
                <w:color w:val="auto"/>
              </w:rPr>
            </w:pPr>
          </w:p>
        </w:tc>
      </w:tr>
      <w:tr>
        <w:trPr>
          <w:trHeight w:val="244"/>
        </w:trPr>
        <w:tc>
          <w:tcPr>
            <w:tcW w:w="59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Net operating loss carryforwards and alternative minimum tax credits</w:t>
            </w:r>
          </w:p>
        </w:tc>
        <w:tc>
          <w:tcPr>
            <w:tcW w:w="22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19,401</w:t>
            </w:r>
          </w:p>
        </w:tc>
        <w:tc>
          <w:tcPr>
            <w:tcW w:w="24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16,379</w:t>
            </w:r>
          </w:p>
        </w:tc>
        <w:tc>
          <w:tcPr>
            <w:tcW w:w="320" w:type="dxa"/>
            <w:vAlign w:val="bottom"/>
            <w:shd w:val="clear" w:color="auto" w:fill="D1EBF3"/>
          </w:tcPr>
          <w:p>
            <w:pPr>
              <w:spacing w:after="0"/>
              <w:rPr>
                <w:sz w:val="21"/>
                <w:szCs w:val="21"/>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Lease liabilities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1,056</w:t>
            </w:r>
          </w:p>
        </w:tc>
        <w:tc>
          <w:tcPr>
            <w:tcW w:w="320" w:type="dxa"/>
            <w:vAlign w:val="bottom"/>
          </w:tcPr>
          <w:p>
            <w:pPr>
              <w:spacing w:after="0"/>
              <w:rPr>
                <w:sz w:val="21"/>
                <w:szCs w:val="21"/>
                <w:color w:val="auto"/>
              </w:rPr>
            </w:pPr>
          </w:p>
        </w:tc>
      </w:tr>
      <w:tr>
        <w:trPr>
          <w:trHeight w:val="244"/>
        </w:trPr>
        <w:tc>
          <w:tcPr>
            <w:tcW w:w="59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Reserves and accruals</w:t>
            </w:r>
          </w:p>
        </w:tc>
        <w:tc>
          <w:tcPr>
            <w:tcW w:w="22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275</w:t>
            </w:r>
          </w:p>
        </w:tc>
        <w:tc>
          <w:tcPr>
            <w:tcW w:w="24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320" w:type="dxa"/>
            <w:vAlign w:val="bottom"/>
            <w:shd w:val="clear" w:color="auto" w:fill="D1EBF3"/>
          </w:tcPr>
          <w:p>
            <w:pPr>
              <w:spacing w:after="0"/>
              <w:rPr>
                <w:sz w:val="21"/>
                <w:szCs w:val="21"/>
                <w:color w:val="auto"/>
              </w:rPr>
            </w:pPr>
          </w:p>
        </w:tc>
      </w:tr>
      <w:tr>
        <w:trPr>
          <w:trHeight w:val="244"/>
        </w:trPr>
        <w:tc>
          <w:tcPr>
            <w:tcW w:w="59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Intangibles and fixed assets</w:t>
            </w:r>
          </w:p>
        </w:tc>
        <w:tc>
          <w:tcPr>
            <w:tcW w:w="220" w:type="dxa"/>
            <w:vAlign w:val="bottom"/>
            <w:tcBorders>
              <w:bottom w:val="single" w:sz="8" w:color="D1EBF3"/>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5,289</w:t>
            </w:r>
          </w:p>
        </w:tc>
        <w:tc>
          <w:tcPr>
            <w:tcW w:w="24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6,916</w:t>
            </w:r>
          </w:p>
        </w:tc>
        <w:tc>
          <w:tcPr>
            <w:tcW w:w="320" w:type="dxa"/>
            <w:vAlign w:val="bottom"/>
            <w:tcBorders>
              <w:bottom w:val="single" w:sz="8" w:color="D1EBF3"/>
            </w:tcBorders>
          </w:tcPr>
          <w:p>
            <w:pPr>
              <w:spacing w:after="0"/>
              <w:rPr>
                <w:sz w:val="21"/>
                <w:szCs w:val="21"/>
                <w:color w:val="auto"/>
              </w:rPr>
            </w:pPr>
          </w:p>
        </w:tc>
      </w:tr>
      <w:tr>
        <w:trPr>
          <w:trHeight w:val="239"/>
        </w:trPr>
        <w:tc>
          <w:tcPr>
            <w:tcW w:w="5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deferred tax assets</w:t>
            </w:r>
          </w:p>
        </w:tc>
        <w:tc>
          <w:tcPr>
            <w:tcW w:w="220" w:type="dxa"/>
            <w:vAlign w:val="bottom"/>
            <w:shd w:val="clear" w:color="auto" w:fill="D1EBF3"/>
          </w:tcPr>
          <w:p>
            <w:pPr>
              <w:spacing w:after="0"/>
              <w:rPr>
                <w:sz w:val="20"/>
                <w:szCs w:val="20"/>
                <w:color w:val="auto"/>
              </w:rPr>
            </w:pPr>
          </w:p>
        </w:tc>
        <w:tc>
          <w:tcPr>
            <w:tcW w:w="240" w:type="dxa"/>
            <w:vAlign w:val="bottom"/>
            <w:tcBorders>
              <w:bottom w:val="single" w:sz="8" w:color="231F20"/>
            </w:tcBorders>
            <w:shd w:val="clear" w:color="auto" w:fill="D1EBF3"/>
          </w:tcPr>
          <w:p>
            <w:pPr>
              <w:spacing w:after="0"/>
              <w:rPr>
                <w:sz w:val="20"/>
                <w:szCs w:val="20"/>
                <w:color w:val="auto"/>
              </w:rPr>
            </w:pPr>
          </w:p>
        </w:tc>
        <w:tc>
          <w:tcPr>
            <w:tcW w:w="14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28,071</w:t>
            </w:r>
          </w:p>
        </w:tc>
        <w:tc>
          <w:tcPr>
            <w:tcW w:w="24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240" w:type="dxa"/>
            <w:vAlign w:val="bottom"/>
            <w:tcBorders>
              <w:bottom w:val="single" w:sz="8" w:color="231F20"/>
            </w:tcBorders>
            <w:shd w:val="clear" w:color="auto" w:fill="D1EBF3"/>
          </w:tcPr>
          <w:p>
            <w:pPr>
              <w:spacing w:after="0"/>
              <w:rPr>
                <w:sz w:val="20"/>
                <w:szCs w:val="20"/>
                <w:color w:val="auto"/>
              </w:rPr>
            </w:pPr>
          </w:p>
        </w:tc>
        <w:tc>
          <w:tcPr>
            <w:tcW w:w="14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26,240</w:t>
            </w:r>
          </w:p>
        </w:tc>
        <w:tc>
          <w:tcPr>
            <w:tcW w:w="320" w:type="dxa"/>
            <w:vAlign w:val="bottom"/>
            <w:shd w:val="clear" w:color="auto" w:fill="D1EBF3"/>
          </w:tcPr>
          <w:p>
            <w:pPr>
              <w:spacing w:after="0"/>
              <w:rPr>
                <w:sz w:val="20"/>
                <w:szCs w:val="20"/>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4"/>
        </w:trPr>
        <w:tc>
          <w:tcPr>
            <w:tcW w:w="59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ROU assets</w:t>
            </w:r>
          </w:p>
        </w:tc>
        <w:tc>
          <w:tcPr>
            <w:tcW w:w="22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166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(457)</w:t>
            </w:r>
          </w:p>
        </w:tc>
        <w:tc>
          <w:tcPr>
            <w:tcW w:w="16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1740" w:type="dxa"/>
            <w:vAlign w:val="bottom"/>
            <w:gridSpan w:val="2"/>
            <w:shd w:val="clear" w:color="auto" w:fill="D1EBF3"/>
          </w:tcPr>
          <w:p>
            <w:pPr>
              <w:jc w:val="right"/>
              <w:ind w:right="240"/>
              <w:spacing w:after="0"/>
              <w:rPr>
                <w:sz w:val="20"/>
                <w:szCs w:val="20"/>
                <w:color w:val="auto"/>
              </w:rPr>
            </w:pPr>
            <w:r>
              <w:rPr>
                <w:rFonts w:ascii="Times New Roman" w:cs="Times New Roman" w:eastAsia="Times New Roman" w:hAnsi="Times New Roman"/>
                <w:sz w:val="20"/>
                <w:szCs w:val="20"/>
                <w:color w:val="231F20"/>
              </w:rPr>
              <w:t>(1,043)</w:t>
            </w:r>
          </w:p>
        </w:tc>
      </w:tr>
      <w:tr>
        <w:trPr>
          <w:trHeight w:val="239"/>
        </w:trPr>
        <w:tc>
          <w:tcPr>
            <w:tcW w:w="59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Total deferred tax liabilities</w:t>
            </w:r>
          </w:p>
        </w:tc>
        <w:tc>
          <w:tcPr>
            <w:tcW w:w="220" w:type="dxa"/>
            <w:vAlign w:val="bottom"/>
            <w:tcBorders>
              <w:bottom w:val="single" w:sz="8" w:color="D1EBF3"/>
            </w:tcBorders>
          </w:tcPr>
          <w:p>
            <w:pPr>
              <w:spacing w:after="0"/>
              <w:rPr>
                <w:sz w:val="20"/>
                <w:szCs w:val="20"/>
                <w:color w:val="auto"/>
              </w:rPr>
            </w:pPr>
          </w:p>
        </w:tc>
        <w:tc>
          <w:tcPr>
            <w:tcW w:w="240" w:type="dxa"/>
            <w:vAlign w:val="bottom"/>
            <w:tcBorders>
              <w:top w:val="single" w:sz="8" w:color="231F20"/>
              <w:bottom w:val="single" w:sz="8" w:color="231F20"/>
            </w:tcBorders>
          </w:tcPr>
          <w:p>
            <w:pPr>
              <w:spacing w:after="0"/>
              <w:rPr>
                <w:sz w:val="20"/>
                <w:szCs w:val="20"/>
                <w:color w:val="auto"/>
              </w:rPr>
            </w:pPr>
          </w:p>
        </w:tc>
        <w:tc>
          <w:tcPr>
            <w:tcW w:w="14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(457)</w:t>
            </w:r>
          </w:p>
        </w:tc>
        <w:tc>
          <w:tcPr>
            <w:tcW w:w="240" w:type="dxa"/>
            <w:vAlign w:val="bottom"/>
            <w:tcBorders>
              <w:bottom w:val="single" w:sz="8" w:color="D1EBF3"/>
            </w:tcBorders>
          </w:tcPr>
          <w:p>
            <w:pPr>
              <w:spacing w:after="0"/>
              <w:rPr>
                <w:sz w:val="20"/>
                <w:szCs w:val="20"/>
                <w:color w:val="auto"/>
              </w:rPr>
            </w:pPr>
          </w:p>
        </w:tc>
        <w:tc>
          <w:tcPr>
            <w:tcW w:w="160" w:type="dxa"/>
            <w:vAlign w:val="bottom"/>
            <w:tcBorders>
              <w:bottom w:val="single" w:sz="8" w:color="D1EBF3"/>
            </w:tcBorders>
          </w:tcPr>
          <w:p>
            <w:pPr>
              <w:spacing w:after="0"/>
              <w:rPr>
                <w:sz w:val="20"/>
                <w:szCs w:val="20"/>
                <w:color w:val="auto"/>
              </w:rPr>
            </w:pPr>
          </w:p>
        </w:tc>
        <w:tc>
          <w:tcPr>
            <w:tcW w:w="240" w:type="dxa"/>
            <w:vAlign w:val="bottom"/>
            <w:tcBorders>
              <w:top w:val="single" w:sz="8" w:color="231F20"/>
              <w:bottom w:val="single" w:sz="8" w:color="231F20"/>
            </w:tcBorders>
          </w:tcPr>
          <w:p>
            <w:pPr>
              <w:spacing w:after="0"/>
              <w:rPr>
                <w:sz w:val="20"/>
                <w:szCs w:val="20"/>
                <w:color w:val="auto"/>
              </w:rPr>
            </w:pPr>
          </w:p>
        </w:tc>
        <w:tc>
          <w:tcPr>
            <w:tcW w:w="14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(1,043)</w:t>
            </w:r>
          </w:p>
        </w:tc>
        <w:tc>
          <w:tcPr>
            <w:tcW w:w="320" w:type="dxa"/>
            <w:vAlign w:val="bottom"/>
            <w:tcBorders>
              <w:bottom w:val="single" w:sz="8" w:color="D1EBF3"/>
            </w:tcBorders>
          </w:tcPr>
          <w:p>
            <w:pPr>
              <w:spacing w:after="0"/>
              <w:rPr>
                <w:sz w:val="20"/>
                <w:szCs w:val="20"/>
                <w:color w:val="auto"/>
              </w:rPr>
            </w:pPr>
          </w:p>
        </w:tc>
      </w:tr>
      <w:tr>
        <w:trPr>
          <w:trHeight w:val="259"/>
        </w:trPr>
        <w:tc>
          <w:tcPr>
            <w:tcW w:w="598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Valuation allowance</w:t>
            </w:r>
          </w:p>
        </w:tc>
        <w:tc>
          <w:tcPr>
            <w:tcW w:w="220" w:type="dxa"/>
            <w:vAlign w:val="bottom"/>
            <w:tcBorders>
              <w:bottom w:val="single" w:sz="8" w:color="D1EBF3"/>
            </w:tcBorders>
            <w:shd w:val="clear" w:color="auto" w:fill="D1EBF3"/>
          </w:tcPr>
          <w:p>
            <w:pPr>
              <w:spacing w:after="0"/>
              <w:rPr>
                <w:sz w:val="22"/>
                <w:szCs w:val="22"/>
                <w:color w:val="auto"/>
              </w:rPr>
            </w:pPr>
          </w:p>
        </w:tc>
        <w:tc>
          <w:tcPr>
            <w:tcW w:w="240" w:type="dxa"/>
            <w:vAlign w:val="bottom"/>
            <w:tcBorders>
              <w:bottom w:val="single" w:sz="8" w:color="231F20"/>
            </w:tcBorders>
            <w:shd w:val="clear" w:color="auto" w:fill="D1EBF3"/>
          </w:tcPr>
          <w:p>
            <w:pPr>
              <w:spacing w:after="0"/>
              <w:rPr>
                <w:sz w:val="22"/>
                <w:szCs w:val="22"/>
                <w:color w:val="auto"/>
              </w:rPr>
            </w:pPr>
          </w:p>
        </w:tc>
        <w:tc>
          <w:tcPr>
            <w:tcW w:w="14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(27,614)</w:t>
            </w:r>
          </w:p>
        </w:tc>
        <w:tc>
          <w:tcPr>
            <w:tcW w:w="240" w:type="dxa"/>
            <w:vAlign w:val="bottom"/>
            <w:tcBorders>
              <w:bottom w:val="single" w:sz="8" w:color="D1EBF3"/>
            </w:tcBorders>
            <w:shd w:val="clear" w:color="auto" w:fill="D1EBF3"/>
          </w:tcPr>
          <w:p>
            <w:pPr>
              <w:spacing w:after="0"/>
              <w:rPr>
                <w:sz w:val="22"/>
                <w:szCs w:val="22"/>
                <w:color w:val="auto"/>
              </w:rPr>
            </w:pPr>
          </w:p>
        </w:tc>
        <w:tc>
          <w:tcPr>
            <w:tcW w:w="160" w:type="dxa"/>
            <w:vAlign w:val="bottom"/>
            <w:tcBorders>
              <w:bottom w:val="single" w:sz="8" w:color="D1EBF3"/>
            </w:tcBorders>
            <w:shd w:val="clear" w:color="auto" w:fill="D1EBF3"/>
          </w:tcPr>
          <w:p>
            <w:pPr>
              <w:spacing w:after="0"/>
              <w:rPr>
                <w:sz w:val="22"/>
                <w:szCs w:val="22"/>
                <w:color w:val="auto"/>
              </w:rPr>
            </w:pPr>
          </w:p>
        </w:tc>
        <w:tc>
          <w:tcPr>
            <w:tcW w:w="240" w:type="dxa"/>
            <w:vAlign w:val="bottom"/>
            <w:tcBorders>
              <w:bottom w:val="single" w:sz="8" w:color="231F20"/>
            </w:tcBorders>
            <w:shd w:val="clear" w:color="auto" w:fill="D1EBF3"/>
          </w:tcPr>
          <w:p>
            <w:pPr>
              <w:spacing w:after="0"/>
              <w:rPr>
                <w:sz w:val="22"/>
                <w:szCs w:val="22"/>
                <w:color w:val="auto"/>
              </w:rPr>
            </w:pPr>
          </w:p>
        </w:tc>
        <w:tc>
          <w:tcPr>
            <w:tcW w:w="14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(25,197)</w:t>
            </w:r>
          </w:p>
        </w:tc>
        <w:tc>
          <w:tcPr>
            <w:tcW w:w="320" w:type="dxa"/>
            <w:vAlign w:val="bottom"/>
            <w:tcBorders>
              <w:bottom w:val="single" w:sz="8" w:color="D1EBF3"/>
            </w:tcBorders>
            <w:shd w:val="clear" w:color="auto" w:fill="D1EBF3"/>
          </w:tcPr>
          <w:p>
            <w:pPr>
              <w:spacing w:after="0"/>
              <w:rPr>
                <w:sz w:val="22"/>
                <w:szCs w:val="22"/>
                <w:color w:val="auto"/>
              </w:rPr>
            </w:pPr>
          </w:p>
        </w:tc>
      </w:tr>
      <w:tr>
        <w:trPr>
          <w:trHeight w:val="219"/>
        </w:trPr>
        <w:tc>
          <w:tcPr>
            <w:tcW w:w="59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Deferred tax assets (liabilities), net</w:t>
            </w:r>
          </w:p>
        </w:tc>
        <w:tc>
          <w:tcPr>
            <w:tcW w:w="220" w:type="dxa"/>
            <w:vAlign w:val="bottom"/>
          </w:tcPr>
          <w:p>
            <w:pPr>
              <w:spacing w:after="0"/>
              <w:rPr>
                <w:sz w:val="19"/>
                <w:szCs w:val="19"/>
                <w:color w:val="auto"/>
              </w:rPr>
            </w:pPr>
          </w:p>
        </w:tc>
        <w:tc>
          <w:tcPr>
            <w:tcW w:w="240" w:type="dxa"/>
            <w:vAlign w:val="bottom"/>
            <w:tcBorders>
              <w:bottom w:val="single" w:sz="8" w:color="231F20"/>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231F20"/>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32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20"/>
          <w:szCs w:val="20"/>
          <w:color w:val="231F20"/>
        </w:rPr>
        <w:t>As of December 31, 2025, the Company had federal net operating loss carryforwards of approximately $92.1 million, which were generated after 2017 and do not expire. As of December 31, 2025, the Company had state net operating loss carryforwards of approximately $1.1 million which will begin to expire in 2035.</w:t>
      </w:r>
    </w:p>
    <w:p>
      <w:pPr>
        <w:spacing w:after="0" w:line="77"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Company has evaluated both positive and negative evidence and determined that negative evidence outweighed the positive evidence and that a full valuation allowance on its net deferred tax assets will be maintained. The net change in the valuation allowance for the year ended December 31, 2025 was an increase of $2.4 million.</w:t>
      </w:r>
    </w:p>
    <w:p>
      <w:pPr>
        <w:spacing w:after="0" w:line="68" w:lineRule="exact"/>
        <w:rPr>
          <w:sz w:val="20"/>
          <w:szCs w:val="20"/>
          <w:color w:val="auto"/>
        </w:rPr>
      </w:pPr>
    </w:p>
    <w:p>
      <w:pPr>
        <w:jc w:val="both"/>
        <w:ind w:firstLine="400"/>
        <w:spacing w:after="0" w:line="244" w:lineRule="auto"/>
        <w:rPr>
          <w:sz w:val="20"/>
          <w:szCs w:val="20"/>
          <w:color w:val="auto"/>
        </w:rPr>
      </w:pPr>
      <w:r>
        <w:rPr>
          <w:rFonts w:ascii="Times New Roman" w:cs="Times New Roman" w:eastAsia="Times New Roman" w:hAnsi="Times New Roman"/>
          <w:sz w:val="20"/>
          <w:szCs w:val="20"/>
          <w:color w:val="231F20"/>
        </w:rPr>
        <w:t>IRC Section 382 imposes limitations on the use of net operating loss carryovers when the stock ownership of one or more 5% shareholders (shareholders owning 5% or more of the Company’s outstanding capital stock) has increased on a cumulative basis by more than 50 percentage points. Accordingly, there is a risk of an ownership change that could trigger a limitation of the use of the loss carryover. The Company has undertaken a formal IRC Section 382 study up until December 31, 2025. As of December 31, 2025, the Company experienced an ownership change on August 7, 2025 and is in a net unrealized built-in loss (NUBIL) position. Under the OBBBA, capitalized Section 174 amounts create tax basis and are therefore included in the Section 382 built-in loss analysis. To the extent §174 amortization is treated as recognized built-in loss (RBIL), such amounts would be subject to the Company’s Section 382 limitation during the five-year recognition period. As the Company’s current Section 382 limitation is minimal, utilization of pre-change net operating losses and any RBIL is significantly restricted during the recognition period.</w:t>
      </w:r>
    </w:p>
    <w:p>
      <w:pPr>
        <w:spacing w:after="0" w:line="8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231F20"/>
        </w:rPr>
        <w:t>The Tax Cuts and Jobs Act (“TCJA”) included a change in the treatment of research and development expenditures for tax purposes under Section 174. Effective for tax years beginning after December 31, 2021, specified R&amp;D expenditures must undergo a 5-year amortization period for domestic spend and a 15-year amortization period for foreign spend. Prior to the effective date (2021 tax year and prior), taxpayers were able to immediately expense R&amp;D costs under Section 174(a) or had the option to capitalize and amortize R&amp;D expenditures over a 5-year recovery period under Section 174(b).</w:t>
      </w:r>
    </w:p>
    <w:p>
      <w:pPr>
        <w:spacing w:after="0" w:line="77"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On July 4, 2025, the One Big Beautiful Bill Act (“OBBBA”) was signed into law. OBBBA introduces significant changes to U.S. income-tax legislation. Key provisions affecting the Company include (i) permanent immediate expensing of domestic research and experimental expenditures starting January 1, 2025, and (ii) 100 percent bonus depreciation for qualified property placed in service after January 19, 2025. The Company has evaluated the current legislation at this time and prepared the provision by following the treatment of research and development expenditures for tax purposes under Section 174.</w:t>
      </w:r>
    </w:p>
    <w:p>
      <w:pPr>
        <w:spacing w:after="0" w:line="77"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In December 2023, the FASB issued ASU No. 2023-09, Improvements to Income Tax Disclosures. Under the ASU, public business entities (“PBEs”)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FASB released the ASU in response to stakeholder feedback indicating that “the existing income tax disclosures should be enhanced to provide information to better assess how an entity’s operations and related tax risks and tax planning and operational opportunities affect its tax rate and prospects for future cash flows.”</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125</w:t>
      </w:r>
    </w:p>
    <w:p>
      <w:pPr>
        <w:sectPr>
          <w:pgSz w:w="11880" w:h="15480" w:orient="portrait"/>
          <w:cols w:equalWidth="0" w:num="1">
            <w:col w:w="10240"/>
          </w:cols>
          <w:pgMar w:left="820" w:top="750" w:right="820" w:bottom="0" w:gutter="0" w:footer="0" w:header="0"/>
          <w:type w:val="continuous"/>
        </w:sectPr>
      </w:pPr>
    </w:p>
    <w:bookmarkStart w:id="131" w:name="page132"/>
    <w:bookmarkEnd w:id="131"/>
    <w:p>
      <w:pPr>
        <w:jc w:val="both"/>
        <w:ind w:firstLine="403"/>
        <w:spacing w:after="0" w:line="247" w:lineRule="exact"/>
        <w:rPr>
          <w:sz w:val="20"/>
          <w:szCs w:val="20"/>
          <w:color w:val="auto"/>
        </w:rPr>
      </w:pPr>
      <w:r>
        <w:rPr>
          <w:rFonts w:ascii="Times New Roman" w:cs="Times New Roman" w:eastAsia="Times New Roman" w:hAnsi="Times New Roman"/>
          <w:sz w:val="20"/>
          <w:szCs w:val="20"/>
          <w:color w:val="231F20"/>
        </w:rPr>
        <w:t>The ASU’s amendments are effective for PBEs for annual periods beginning after December 15, 2024. The Company adopted ASU 2023</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09 in the current annual period and elected to apply the amendments retrospectively to 2024 presented on the footnote to enhance comparability of income tax disclosures, including the rate reconciliation and disaggregation of income taxes paid.</w:t>
      </w:r>
    </w:p>
    <w:p>
      <w:pPr>
        <w:spacing w:after="0" w:line="85"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In the ordinary course of business, the Company’s income tax returns are subject to examination by various taxing authorities. Such examinations may result in future tax and interest assessment by these taxing authorities. Accordingly, the Company believes that it is more likely than not that it will realize the benefits of tax positions it has taken in its tax returns or for the amount of any tax benefit that exceeds the cumulative probability threshold in accordance with FASB ASC 740. Differences between the estimated and actual amounts determined upon ultimate resolution, individually or in the aggregate, are not expected to have a material adverse effect on the Company’s financial position. The Company believes its tax positions are highly certain of being upheld upon examination. The Company is subject to the U.S. federal and state income taxes with varying statutes of limitations. Tax years from 2018 forward remaining open to examination due to the carryover of net operating losses or tax credits.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 NET LOSS PER SHARE</w:t>
      </w:r>
    </w:p>
    <w:p>
      <w:pPr>
        <w:spacing w:after="0" w:line="12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Basic net loss per share is calculated by dividing the net loss attributable to common stockholders by the weighted-average number of shares of common stock outstanding during the period, including pre- funded warrants to purchase shares of common stock. Diluted net loss per share is the same as basic net loss per share for the periods presented since the effects of potentially dilutive securities are antidilutive given the net loss of the Company.</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Basic and diluted net loss per share is calculated as follows (in thousands except share and per share amounts):</w:t>
      </w:r>
    </w:p>
    <w:p>
      <w:pPr>
        <w:spacing w:after="0" w:line="29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231F20"/>
        </w:rPr>
        <w:t>Year Ended</w:t>
      </w:r>
    </w:p>
    <w:p>
      <w:pPr>
        <w:spacing w:after="0" w:line="2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4067810</wp:posOffset>
                </wp:positionH>
                <wp:positionV relativeFrom="paragraph">
                  <wp:posOffset>0</wp:posOffset>
                </wp:positionV>
                <wp:extent cx="23749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49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3pt,0pt" to="507.3pt,0pt" o:allowincell="f" strokecolor="#231F20" strokeweight="0.75pt"/>
            </w:pict>
          </mc:Fallback>
        </mc:AlternateContent>
      </w:r>
    </w:p>
    <w:tbl>
      <w:tblPr>
        <w:tblLayout w:type="fixed"/>
        <w:tblInd w:w="0" w:type="dxa"/>
        <w:tblCellMar>
          <w:top w:w="0" w:type="dxa"/>
          <w:left w:w="0" w:type="dxa"/>
          <w:bottom w:w="0" w:type="dxa"/>
          <w:right w:w="0" w:type="dxa"/>
        </w:tblCellMar>
      </w:tblPr>
      <w:tr>
        <w:trPr>
          <w:trHeight w:val="196"/>
        </w:trPr>
        <w:tc>
          <w:tcPr>
            <w:tcW w:w="5740" w:type="dxa"/>
            <w:vAlign w:val="bottom"/>
            <w:tcBorders>
              <w:bottom w:val="single" w:sz="8" w:color="D1EBF3"/>
            </w:tcBorders>
          </w:tcPr>
          <w:p>
            <w:pPr>
              <w:spacing w:after="0"/>
              <w:rPr>
                <w:sz w:val="17"/>
                <w:szCs w:val="17"/>
                <w:color w:val="auto"/>
              </w:rPr>
            </w:pPr>
          </w:p>
        </w:tc>
        <w:tc>
          <w:tcPr>
            <w:tcW w:w="660" w:type="dxa"/>
            <w:vAlign w:val="bottom"/>
            <w:tcBorders>
              <w:bottom w:val="single" w:sz="8" w:color="D1EBF3"/>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jc w:val="right"/>
              <w:ind w:right="62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bottom w:val="single" w:sz="8" w:color="D1EBF3"/>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6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D1EBF3"/>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loss</w:t>
            </w:r>
          </w:p>
        </w:tc>
        <w:tc>
          <w:tcPr>
            <w:tcW w:w="660" w:type="dxa"/>
            <w:vAlign w:val="bottom"/>
            <w:shd w:val="clear" w:color="auto" w:fill="D1EBF3"/>
          </w:tcPr>
          <w:p>
            <w:pPr>
              <w:spacing w:after="0"/>
              <w:rPr>
                <w:sz w:val="20"/>
                <w:szCs w:val="20"/>
                <w:color w:val="auto"/>
              </w:rPr>
            </w:pPr>
          </w:p>
        </w:tc>
        <w:tc>
          <w:tcPr>
            <w:tcW w:w="420" w:type="dxa"/>
            <w:vAlign w:val="bottom"/>
            <w:tcBorders>
              <w:bottom w:val="single" w:sz="8" w:color="231F20"/>
            </w:tcBorders>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13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(19,440)</w:t>
            </w:r>
          </w:p>
        </w:tc>
        <w:tc>
          <w:tcPr>
            <w:tcW w:w="200" w:type="dxa"/>
            <w:vAlign w:val="bottom"/>
            <w:shd w:val="clear" w:color="auto" w:fill="D1EBF3"/>
          </w:tcPr>
          <w:p>
            <w:pPr>
              <w:spacing w:after="0"/>
              <w:rPr>
                <w:sz w:val="20"/>
                <w:szCs w:val="20"/>
                <w:color w:val="auto"/>
              </w:rPr>
            </w:pPr>
          </w:p>
        </w:tc>
        <w:tc>
          <w:tcPr>
            <w:tcW w:w="420" w:type="dxa"/>
            <w:vAlign w:val="bottom"/>
            <w:tcBorders>
              <w:bottom w:val="single" w:sz="8" w:color="231F20"/>
            </w:tcBorders>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(30,437)</w:t>
            </w: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loss per share—basic and diluted</w:t>
            </w:r>
          </w:p>
        </w:tc>
        <w:tc>
          <w:tcPr>
            <w:tcW w:w="10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740" w:type="dxa"/>
            <w:vAlign w:val="bottom"/>
            <w:tcBorders>
              <w:bottom w:val="single" w:sz="8" w:color="D1EBF3"/>
            </w:tcBorders>
            <w:vMerge w:val="continue"/>
          </w:tcPr>
          <w:p>
            <w:pPr>
              <w:spacing w:after="0"/>
              <w:rPr>
                <w:sz w:val="23"/>
                <w:szCs w:val="23"/>
                <w:color w:val="auto"/>
              </w:rPr>
            </w:pPr>
          </w:p>
        </w:tc>
        <w:tc>
          <w:tcPr>
            <w:tcW w:w="660" w:type="dxa"/>
            <w:vAlign w:val="bottom"/>
            <w:tcBorders>
              <w:bottom w:val="single" w:sz="8" w:color="D1EBF3"/>
            </w:tcBorders>
          </w:tcPr>
          <w:p>
            <w:pPr>
              <w:spacing w:after="0"/>
              <w:rPr>
                <w:sz w:val="23"/>
                <w:szCs w:val="23"/>
                <w:color w:val="auto"/>
              </w:rPr>
            </w:pPr>
          </w:p>
        </w:tc>
        <w:tc>
          <w:tcPr>
            <w:tcW w:w="420" w:type="dxa"/>
            <w:vAlign w:val="bottom"/>
            <w:tcBorders>
              <w:top w:val="single" w:sz="8" w:color="231F20"/>
              <w:bottom w:val="single" w:sz="8" w:color="231F20"/>
            </w:tcBorders>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13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(4.44)</w:t>
            </w:r>
          </w:p>
        </w:tc>
        <w:tc>
          <w:tcPr>
            <w:tcW w:w="200" w:type="dxa"/>
            <w:vAlign w:val="bottom"/>
            <w:tcBorders>
              <w:bottom w:val="single" w:sz="8" w:color="D1EBF3"/>
            </w:tcBorders>
          </w:tcPr>
          <w:p>
            <w:pPr>
              <w:spacing w:after="0"/>
              <w:rPr>
                <w:sz w:val="23"/>
                <w:szCs w:val="23"/>
                <w:color w:val="auto"/>
              </w:rPr>
            </w:pPr>
          </w:p>
        </w:tc>
        <w:tc>
          <w:tcPr>
            <w:tcW w:w="420" w:type="dxa"/>
            <w:vAlign w:val="bottom"/>
            <w:tcBorders>
              <w:top w:val="single" w:sz="8" w:color="231F20"/>
              <w:bottom w:val="single" w:sz="8" w:color="231F20"/>
            </w:tcBorders>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(17.05)</w:t>
            </w:r>
          </w:p>
        </w:tc>
        <w:tc>
          <w:tcPr>
            <w:tcW w:w="100" w:type="dxa"/>
            <w:vAlign w:val="bottom"/>
            <w:tcBorders>
              <w:bottom w:val="single" w:sz="8" w:color="D1EBF3"/>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D1EBF3"/>
          </w:tcPr>
          <w:p>
            <w:pPr>
              <w:spacing w:after="0" w:line="209" w:lineRule="exact"/>
              <w:rPr>
                <w:sz w:val="20"/>
                <w:szCs w:val="20"/>
                <w:color w:val="auto"/>
              </w:rPr>
            </w:pPr>
            <w:r>
              <w:rPr>
                <w:rFonts w:ascii="Times New Roman" w:cs="Times New Roman" w:eastAsia="Times New Roman" w:hAnsi="Times New Roman"/>
                <w:sz w:val="20"/>
                <w:szCs w:val="20"/>
                <w:color w:val="231F20"/>
              </w:rPr>
              <w:t>Weighted-average number of shares used in computing net loss</w:t>
            </w:r>
          </w:p>
        </w:tc>
        <w:tc>
          <w:tcPr>
            <w:tcW w:w="660" w:type="dxa"/>
            <w:vAlign w:val="bottom"/>
            <w:shd w:val="clear" w:color="auto" w:fill="D1EBF3"/>
          </w:tcPr>
          <w:p>
            <w:pPr>
              <w:spacing w:after="0"/>
              <w:rPr>
                <w:sz w:val="18"/>
                <w:szCs w:val="18"/>
                <w:color w:val="auto"/>
              </w:rPr>
            </w:pPr>
          </w:p>
        </w:tc>
        <w:tc>
          <w:tcPr>
            <w:tcW w:w="420" w:type="dxa"/>
            <w:vAlign w:val="bottom"/>
            <w:shd w:val="clear" w:color="auto" w:fill="D1EBF3"/>
          </w:tcPr>
          <w:p>
            <w:pPr>
              <w:spacing w:after="0"/>
              <w:rPr>
                <w:sz w:val="18"/>
                <w:szCs w:val="18"/>
                <w:color w:val="auto"/>
              </w:rPr>
            </w:pPr>
          </w:p>
        </w:tc>
        <w:tc>
          <w:tcPr>
            <w:tcW w:w="1340" w:type="dxa"/>
            <w:vAlign w:val="bottom"/>
            <w:shd w:val="clear" w:color="auto" w:fill="D1EBF3"/>
          </w:tcPr>
          <w:p>
            <w:pPr>
              <w:spacing w:after="0"/>
              <w:rPr>
                <w:sz w:val="18"/>
                <w:szCs w:val="18"/>
                <w:color w:val="auto"/>
              </w:rPr>
            </w:pPr>
          </w:p>
        </w:tc>
        <w:tc>
          <w:tcPr>
            <w:tcW w:w="200" w:type="dxa"/>
            <w:vAlign w:val="bottom"/>
            <w:shd w:val="clear" w:color="auto" w:fill="D1EBF3"/>
          </w:tcPr>
          <w:p>
            <w:pPr>
              <w:spacing w:after="0"/>
              <w:rPr>
                <w:sz w:val="18"/>
                <w:szCs w:val="18"/>
                <w:color w:val="auto"/>
              </w:rPr>
            </w:pPr>
          </w:p>
        </w:tc>
        <w:tc>
          <w:tcPr>
            <w:tcW w:w="420" w:type="dxa"/>
            <w:vAlign w:val="bottom"/>
            <w:shd w:val="clear" w:color="auto" w:fill="D1EBF3"/>
          </w:tcPr>
          <w:p>
            <w:pPr>
              <w:spacing w:after="0"/>
              <w:rPr>
                <w:sz w:val="18"/>
                <w:szCs w:val="18"/>
                <w:color w:val="auto"/>
              </w:rPr>
            </w:pPr>
          </w:p>
        </w:tc>
        <w:tc>
          <w:tcPr>
            <w:tcW w:w="136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D1EBF3"/>
          </w:tcPr>
          <w:p>
            <w:pPr>
              <w:ind w:left="60"/>
              <w:spacing w:after="0"/>
              <w:rPr>
                <w:sz w:val="20"/>
                <w:szCs w:val="20"/>
                <w:color w:val="auto"/>
              </w:rPr>
            </w:pPr>
            <w:r>
              <w:rPr>
                <w:rFonts w:ascii="Times New Roman" w:cs="Times New Roman" w:eastAsia="Times New Roman" w:hAnsi="Times New Roman"/>
                <w:sz w:val="20"/>
                <w:szCs w:val="20"/>
                <w:color w:val="231F20"/>
              </w:rPr>
              <w:t>per share—basic and diluted</w:t>
            </w:r>
          </w:p>
        </w:tc>
        <w:tc>
          <w:tcPr>
            <w:tcW w:w="660" w:type="dxa"/>
            <w:vAlign w:val="bottom"/>
            <w:shd w:val="clear" w:color="auto" w:fill="D1EBF3"/>
          </w:tcPr>
          <w:p>
            <w:pPr>
              <w:spacing w:after="0"/>
              <w:rPr>
                <w:sz w:val="21"/>
                <w:szCs w:val="21"/>
                <w:color w:val="auto"/>
              </w:rPr>
            </w:pPr>
          </w:p>
        </w:tc>
        <w:tc>
          <w:tcPr>
            <w:tcW w:w="420" w:type="dxa"/>
            <w:vAlign w:val="bottom"/>
            <w:tcBorders>
              <w:bottom w:val="single" w:sz="8" w:color="231F20"/>
            </w:tcBorders>
            <w:shd w:val="clear" w:color="auto" w:fill="D1EBF3"/>
          </w:tcPr>
          <w:p>
            <w:pPr>
              <w:spacing w:after="0"/>
              <w:rPr>
                <w:sz w:val="21"/>
                <w:szCs w:val="21"/>
                <w:color w:val="auto"/>
              </w:rPr>
            </w:pPr>
          </w:p>
        </w:tc>
        <w:tc>
          <w:tcPr>
            <w:tcW w:w="13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4,374,328</w:t>
            </w:r>
          </w:p>
        </w:tc>
        <w:tc>
          <w:tcPr>
            <w:tcW w:w="200" w:type="dxa"/>
            <w:vAlign w:val="bottom"/>
            <w:shd w:val="clear" w:color="auto" w:fill="D1EBF3"/>
          </w:tcPr>
          <w:p>
            <w:pPr>
              <w:spacing w:after="0"/>
              <w:rPr>
                <w:sz w:val="21"/>
                <w:szCs w:val="21"/>
                <w:color w:val="auto"/>
              </w:rPr>
            </w:pPr>
          </w:p>
        </w:tc>
        <w:tc>
          <w:tcPr>
            <w:tcW w:w="420" w:type="dxa"/>
            <w:vAlign w:val="bottom"/>
            <w:tcBorders>
              <w:bottom w:val="single" w:sz="8" w:color="231F20"/>
            </w:tcBorders>
            <w:shd w:val="clear" w:color="auto" w:fill="D1EBF3"/>
          </w:tcPr>
          <w:p>
            <w:pPr>
              <w:spacing w:after="0"/>
              <w:rPr>
                <w:sz w:val="21"/>
                <w:szCs w:val="21"/>
                <w:color w:val="auto"/>
              </w:rPr>
            </w:pPr>
          </w:p>
        </w:tc>
        <w:tc>
          <w:tcPr>
            <w:tcW w:w="13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1,784,890</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following outstanding potentially dilutive securities have been excluded from the calculation of diluted net loss per share, as their effect is antidilutive:</w:t>
      </w:r>
    </w:p>
    <w:p>
      <w:pPr>
        <w:spacing w:after="0" w:line="21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b w:val="1"/>
          <w:bCs w:val="1"/>
          <w:color w:val="231F20"/>
        </w:rPr>
        <w:t>Year Ended</w:t>
      </w:r>
    </w:p>
    <w:p>
      <w:pPr>
        <w:spacing w:after="0" w:line="2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4110990</wp:posOffset>
                </wp:positionH>
                <wp:positionV relativeFrom="paragraph">
                  <wp:posOffset>0</wp:posOffset>
                </wp:positionV>
                <wp:extent cx="234442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442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7pt,0pt" to="508.3pt,0pt" o:allowincell="f" strokecolor="#231F20" strokeweight="0.75pt"/>
            </w:pict>
          </mc:Fallback>
        </mc:AlternateContent>
      </w:r>
    </w:p>
    <w:tbl>
      <w:tblPr>
        <w:tblLayout w:type="fixed"/>
        <w:tblInd w:w="0" w:type="dxa"/>
        <w:tblCellMar>
          <w:top w:w="0" w:type="dxa"/>
          <w:left w:w="0" w:type="dxa"/>
          <w:bottom w:w="0" w:type="dxa"/>
          <w:right w:w="0" w:type="dxa"/>
        </w:tblCellMar>
      </w:tblPr>
      <w:tr>
        <w:trPr>
          <w:trHeight w:val="196"/>
        </w:trPr>
        <w:tc>
          <w:tcPr>
            <w:tcW w:w="6480" w:type="dxa"/>
            <w:vAlign w:val="bottom"/>
          </w:tcPr>
          <w:p>
            <w:pPr>
              <w:spacing w:after="0"/>
              <w:rPr>
                <w:sz w:val="17"/>
                <w:szCs w:val="17"/>
                <w:color w:val="auto"/>
              </w:rPr>
            </w:pPr>
          </w:p>
        </w:tc>
        <w:tc>
          <w:tcPr>
            <w:tcW w:w="1740" w:type="dxa"/>
            <w:vAlign w:val="bottom"/>
          </w:tcPr>
          <w:p>
            <w:pPr>
              <w:jc w:val="right"/>
              <w:ind w:right="6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9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7"/>
                <w:szCs w:val="17"/>
                <w:color w:val="auto"/>
              </w:rPr>
            </w:pPr>
          </w:p>
        </w:tc>
      </w:tr>
      <w:tr>
        <w:trPr>
          <w:trHeight w:val="239"/>
        </w:trPr>
        <w:tc>
          <w:tcPr>
            <w:tcW w:w="648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Stock options to purchase common stock</w:t>
            </w:r>
          </w:p>
        </w:tc>
        <w:tc>
          <w:tcPr>
            <w:tcW w:w="174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494,212</w:t>
            </w:r>
          </w:p>
        </w:tc>
        <w:tc>
          <w:tcPr>
            <w:tcW w:w="200" w:type="dxa"/>
            <w:vAlign w:val="bottom"/>
            <w:tcBorders>
              <w:top w:val="single" w:sz="8" w:color="D1EBF3"/>
            </w:tcBorders>
            <w:shd w:val="clear" w:color="auto" w:fill="D1EBF3"/>
          </w:tcPr>
          <w:p>
            <w:pPr>
              <w:spacing w:after="0"/>
              <w:rPr>
                <w:sz w:val="20"/>
                <w:szCs w:val="20"/>
                <w:color w:val="auto"/>
              </w:rPr>
            </w:pPr>
          </w:p>
        </w:tc>
        <w:tc>
          <w:tcPr>
            <w:tcW w:w="174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298,517</w:t>
            </w:r>
          </w:p>
        </w:tc>
        <w:tc>
          <w:tcPr>
            <w:tcW w:w="80" w:type="dxa"/>
            <w:vAlign w:val="bottom"/>
            <w:tcBorders>
              <w:top w:val="single" w:sz="8" w:color="D1EBF3"/>
            </w:tcBorders>
            <w:shd w:val="clear" w:color="auto" w:fill="D1EBF3"/>
          </w:tcPr>
          <w:p>
            <w:pPr>
              <w:spacing w:after="0"/>
              <w:rPr>
                <w:sz w:val="20"/>
                <w:szCs w:val="20"/>
                <w:color w:val="auto"/>
              </w:rPr>
            </w:pPr>
          </w:p>
        </w:tc>
      </w:tr>
      <w:tr>
        <w:trPr>
          <w:trHeight w:val="244"/>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231F20"/>
              </w:rPr>
              <w:t>Series A warrants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184,967</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393,633</w:t>
            </w:r>
          </w:p>
        </w:tc>
        <w:tc>
          <w:tcPr>
            <w:tcW w:w="80" w:type="dxa"/>
            <w:vAlign w:val="bottom"/>
          </w:tcPr>
          <w:p>
            <w:pPr>
              <w:spacing w:after="0"/>
              <w:rPr>
                <w:sz w:val="21"/>
                <w:szCs w:val="21"/>
                <w:color w:val="auto"/>
              </w:rPr>
            </w:pPr>
          </w:p>
        </w:tc>
      </w:tr>
      <w:tr>
        <w:trPr>
          <w:trHeight w:val="244"/>
        </w:trPr>
        <w:tc>
          <w:tcPr>
            <w:tcW w:w="64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Series B warrants</w:t>
            </w:r>
          </w:p>
        </w:tc>
        <w:tc>
          <w:tcPr>
            <w:tcW w:w="1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328,102</w:t>
            </w:r>
          </w:p>
        </w:tc>
        <w:tc>
          <w:tcPr>
            <w:tcW w:w="19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394,118</w:t>
            </w:r>
          </w:p>
        </w:tc>
        <w:tc>
          <w:tcPr>
            <w:tcW w:w="80" w:type="dxa"/>
            <w:vAlign w:val="bottom"/>
            <w:shd w:val="clear" w:color="auto" w:fill="D1EBF3"/>
          </w:tcPr>
          <w:p>
            <w:pPr>
              <w:spacing w:after="0"/>
              <w:rPr>
                <w:sz w:val="21"/>
                <w:szCs w:val="21"/>
                <w:color w:val="auto"/>
              </w:rPr>
            </w:pPr>
          </w:p>
        </w:tc>
      </w:tr>
      <w:tr>
        <w:trPr>
          <w:trHeight w:val="244"/>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231F20"/>
              </w:rPr>
              <w:t>Series C warrants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996,454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254,045</w:t>
            </w:r>
          </w:p>
        </w:tc>
        <w:tc>
          <w:tcPr>
            <w:tcW w:w="80" w:type="dxa"/>
            <w:vAlign w:val="bottom"/>
          </w:tcPr>
          <w:p>
            <w:pPr>
              <w:spacing w:after="0"/>
              <w:rPr>
                <w:sz w:val="21"/>
                <w:szCs w:val="21"/>
                <w:color w:val="auto"/>
              </w:rPr>
            </w:pPr>
          </w:p>
        </w:tc>
      </w:tr>
      <w:tr>
        <w:trPr>
          <w:trHeight w:val="239"/>
        </w:trPr>
        <w:tc>
          <w:tcPr>
            <w:tcW w:w="648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w:t>
            </w:r>
          </w:p>
        </w:tc>
        <w:tc>
          <w:tcPr>
            <w:tcW w:w="17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2,003,735</w:t>
            </w:r>
          </w:p>
        </w:tc>
        <w:tc>
          <w:tcPr>
            <w:tcW w:w="200" w:type="dxa"/>
            <w:vAlign w:val="bottom"/>
            <w:tcBorders>
              <w:top w:val="single" w:sz="8" w:color="D1EBF3"/>
            </w:tcBorders>
            <w:shd w:val="clear" w:color="auto" w:fill="D1EBF3"/>
          </w:tcPr>
          <w:p>
            <w:pPr>
              <w:spacing w:after="0"/>
              <w:rPr>
                <w:sz w:val="20"/>
                <w:szCs w:val="20"/>
                <w:color w:val="auto"/>
              </w:rPr>
            </w:pPr>
          </w:p>
        </w:tc>
        <w:tc>
          <w:tcPr>
            <w:tcW w:w="17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1,340,313</w:t>
            </w:r>
          </w:p>
        </w:tc>
        <w:tc>
          <w:tcPr>
            <w:tcW w:w="80" w:type="dxa"/>
            <w:vAlign w:val="bottom"/>
            <w:tcBorders>
              <w:top w:val="single" w:sz="8" w:color="D1EBF3"/>
            </w:tcBorders>
            <w:shd w:val="clear" w:color="auto" w:fill="D1EBF3"/>
          </w:tcPr>
          <w:p>
            <w:pPr>
              <w:spacing w:after="0"/>
              <w:rPr>
                <w:sz w:val="20"/>
                <w:szCs w:val="20"/>
                <w:color w:val="auto"/>
              </w:rPr>
            </w:pPr>
          </w:p>
        </w:tc>
      </w:tr>
      <w:tr>
        <w:trPr>
          <w:trHeight w:val="20"/>
        </w:trPr>
        <w:tc>
          <w:tcPr>
            <w:tcW w:w="6480" w:type="dxa"/>
            <w:vAlign w:val="bottom"/>
          </w:tcPr>
          <w:p>
            <w:pPr>
              <w:spacing w:after="0" w:line="20" w:lineRule="exact"/>
              <w:rPr>
                <w:sz w:val="1"/>
                <w:szCs w:val="1"/>
                <w:color w:val="auto"/>
              </w:rPr>
            </w:pPr>
          </w:p>
        </w:tc>
        <w:tc>
          <w:tcPr>
            <w:tcW w:w="17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right="6100" w:hanging="492"/>
        <w:spacing w:after="0" w:line="367" w:lineRule="auto"/>
        <w:tabs>
          <w:tab w:leader="none" w:pos="310" w:val="left"/>
        </w:tabs>
        <w:numPr>
          <w:ilvl w:val="0"/>
          <w:numId w:val="4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COMMITMENTS AND CONTINGENCIES </w:t>
      </w:r>
      <w:r>
        <w:rPr>
          <w:rFonts w:ascii="Times New Roman" w:cs="Times New Roman" w:eastAsia="Times New Roman" w:hAnsi="Times New Roman"/>
          <w:sz w:val="20"/>
          <w:szCs w:val="20"/>
          <w:b w:val="1"/>
          <w:bCs w:val="1"/>
          <w:i w:val="1"/>
          <w:iCs w:val="1"/>
          <w:color w:val="231F20"/>
        </w:rPr>
        <w:t>Intellectual Property</w:t>
      </w:r>
    </w:p>
    <w:p>
      <w:pPr>
        <w:spacing w:after="0" w:line="1"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 years from first commercial sale or expiration of the last-to-expire component of the licensed intellectual property.</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Legal Proceedings</w:t>
      </w:r>
    </w:p>
    <w:p>
      <w:pPr>
        <w:spacing w:after="0" w:line="12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 Company is not currently party to any material legal proceedings. At each reporting date, the Company evaluates materiality and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sectPr>
          <w:pgSz w:w="11880" w:h="15480" w:orient="portrait"/>
          <w:cols w:equalWidth="0" w:num="1">
            <w:col w:w="10240"/>
          </w:cols>
          <w:pgMar w:left="820" w:top="750" w:right="820" w:bottom="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126</w:t>
      </w:r>
    </w:p>
    <w:p>
      <w:pPr>
        <w:sectPr>
          <w:pgSz w:w="11880" w:h="15480" w:orient="portrait"/>
          <w:cols w:equalWidth="0" w:num="1">
            <w:col w:w="10240"/>
          </w:cols>
          <w:pgMar w:left="820" w:top="750" w:right="82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231F20"/>
        </w:rPr>
        <w:t>13. EQUIPMENT AND FACILITY LEASES</w:t>
      </w:r>
    </w:p>
    <w:p>
      <w:pPr>
        <w:spacing w:after="0" w:line="12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 Company has historically entered into lease arrangements for its facilities. As of December 31, 2025, the Company had four operating leases with required future minimum payments. The Company determined the classification of these leases to be operating leases and recorded right-of-use assets and lease liabilities as of the effective date. The Company’s leases generally do not include termination or purchase options.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Finance Leases</w:t>
      </w:r>
    </w:p>
    <w:p>
      <w:pPr>
        <w:spacing w:after="0" w:line="12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 Company entered into an agreement with an equipment leasing company in 2018, which provided up to $2.5 million for equipment purchases in the form of sale and leasebacks or direct leases. As of December 31, 2025, the Company has 5 active leases from the leasing company. The terms of the leases are three years and afterwards provide for either annual extensions or an outright purchase of the equipment.</w:t>
      </w:r>
    </w:p>
    <w:p>
      <w:pPr>
        <w:spacing w:after="0" w:line="7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 Company entered into an agreement with another equipment leasing company in the second quarter of 2023. As of December 31, 2025, the Company has one active lease from this leasing company. In June 2024, the Company entered into two new finance lease agreements with another leasing company. The terms of these lease are three years and afterwards provide for either annual extensions or an outright purchase of the equipment.</w:t>
      </w:r>
    </w:p>
    <w:p>
      <w:pPr>
        <w:spacing w:after="0" w:line="7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equipment leases require three advance rental payments to be held as security deposits. The security deposits held amounted to $0.1 million and $0.3 million as of December 31, 2025 and 2024, respectively and are included in other non-current assets on the balance sheets.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Operating Leases</w:t>
      </w:r>
    </w:p>
    <w:p>
      <w:pPr>
        <w:spacing w:after="0" w:line="120"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20"/>
          <w:szCs w:val="20"/>
          <w:color w:val="231F20"/>
        </w:rPr>
        <w:t>The Company has an operating lease for office space in Birmingham, Alabama, which was modified and expanded in March 2024 for a 60-month term ending in March 2029, with an option to extend five years, resulting in an increase to both the right-of-use assets and operating lease liabilities. Throughout the term of the lease, the Company is responsible for paying certain costs and expenses, in addition to the rent, as specified in the lease, including a proportionate share of applicable taxes, operating expenses and utilities. In April 2025, the Company terminated its operating lease for additional unutilized office space in Birmingham, Alabama. The Company paid a one-time termination fee of $0.1 million and paid five monthly payments of $20,000, beginning on June 1, 2025. As of October 1, 2025, there were no payments remaining.</w:t>
      </w:r>
    </w:p>
    <w:p>
      <w:pPr>
        <w:spacing w:after="0" w:line="8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 Company has an operating lease for office space in New York, New York, with a term that commenced on September 15, 2021, and continues through March 2027. Throughout the term of the lease, the Company is responsible for paying certain costs and expenses, in addition to the rent, as specified in the lease, including a proportionate share of applicable taxes, operating expenses and utilities.</w:t>
      </w:r>
    </w:p>
    <w:p>
      <w:pPr>
        <w:spacing w:after="0" w:line="7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spacing w:after="0" w:line="7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operating leases require security deposits at the inception of each lease. The security deposits amounted to $0.3 million and $ 0.2 million as of December 31, 2025 and 2024. As of December 31, 2025 and December 31, 2024, $0.2 million was included in restricted cash.</w:t>
      </w:r>
    </w:p>
    <w:p>
      <w:pPr>
        <w:spacing w:after="0" w:line="68"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following table contains a summary of the lease costs recognized and other information pertaining to the Company’s finance and operating leases for the years ended December 31, 2025 and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80" w:type="dxa"/>
            <w:vAlign w:val="bottom"/>
          </w:tcPr>
          <w:p>
            <w:pPr>
              <w:spacing w:after="0"/>
              <w:rPr>
                <w:sz w:val="16"/>
                <w:szCs w:val="16"/>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698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7"/>
                <w:szCs w:val="17"/>
                <w:color w:val="auto"/>
              </w:rPr>
            </w:pPr>
          </w:p>
        </w:tc>
      </w:tr>
      <w:tr>
        <w:trPr>
          <w:trHeight w:val="225"/>
        </w:trPr>
        <w:tc>
          <w:tcPr>
            <w:tcW w:w="698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b w:val="1"/>
                <w:bCs w:val="1"/>
                <w:color w:val="231F20"/>
              </w:rPr>
              <w:t>Lease Cost</w:t>
            </w:r>
          </w:p>
        </w:tc>
        <w:tc>
          <w:tcPr>
            <w:tcW w:w="180" w:type="dxa"/>
            <w:vAlign w:val="bottom"/>
            <w:shd w:val="clear" w:color="auto" w:fill="D1EBF3"/>
          </w:tcPr>
          <w:p>
            <w:pPr>
              <w:spacing w:after="0"/>
              <w:rPr>
                <w:sz w:val="19"/>
                <w:szCs w:val="19"/>
                <w:color w:val="auto"/>
              </w:rPr>
            </w:pPr>
          </w:p>
        </w:tc>
        <w:tc>
          <w:tcPr>
            <w:tcW w:w="128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28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r>
      <w:tr>
        <w:trPr>
          <w:trHeight w:val="230"/>
        </w:trPr>
        <w:tc>
          <w:tcPr>
            <w:tcW w:w="6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Amortization of finance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859</w:t>
            </w:r>
          </w:p>
        </w:tc>
        <w:tc>
          <w:tcPr>
            <w:tcW w:w="80" w:type="dxa"/>
            <w:vAlign w:val="bottom"/>
          </w:tcPr>
          <w:p>
            <w:pPr>
              <w:spacing w:after="0"/>
              <w:rPr>
                <w:sz w:val="20"/>
                <w:szCs w:val="20"/>
                <w:color w:val="auto"/>
              </w:rPr>
            </w:pPr>
          </w:p>
        </w:tc>
      </w:tr>
      <w:tr>
        <w:trPr>
          <w:trHeight w:val="230"/>
        </w:trPr>
        <w:tc>
          <w:tcPr>
            <w:tcW w:w="698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Interest on finance lease liabilities</w:t>
            </w:r>
          </w:p>
        </w:tc>
        <w:tc>
          <w:tcPr>
            <w:tcW w:w="180" w:type="dxa"/>
            <w:vAlign w:val="bottom"/>
            <w:shd w:val="clear" w:color="auto" w:fill="D1EBF3"/>
          </w:tcPr>
          <w:p>
            <w:pPr>
              <w:spacing w:after="0"/>
              <w:rPr>
                <w:sz w:val="20"/>
                <w:szCs w:val="20"/>
                <w:color w:val="auto"/>
              </w:rPr>
            </w:pPr>
          </w:p>
        </w:tc>
        <w:tc>
          <w:tcPr>
            <w:tcW w:w="1540" w:type="dxa"/>
            <w:vAlign w:val="bottom"/>
            <w:gridSpan w:val="2"/>
            <w:shd w:val="clear" w:color="auto" w:fill="D1EBF3"/>
          </w:tcPr>
          <w:p>
            <w:pPr>
              <w:jc w:val="right"/>
              <w:ind w:right="260"/>
              <w:spacing w:after="0"/>
              <w:rPr>
                <w:sz w:val="20"/>
                <w:szCs w:val="20"/>
                <w:color w:val="auto"/>
              </w:rPr>
            </w:pPr>
            <w:r>
              <w:rPr>
                <w:rFonts w:ascii="Times New Roman" w:cs="Times New Roman" w:eastAsia="Times New Roman" w:hAnsi="Times New Roman"/>
                <w:sz w:val="20"/>
                <w:szCs w:val="20"/>
                <w:color w:val="231F20"/>
              </w:rPr>
              <w:t>67</w:t>
            </w:r>
          </w:p>
        </w:tc>
        <w:tc>
          <w:tcPr>
            <w:tcW w:w="180" w:type="dxa"/>
            <w:vAlign w:val="bottom"/>
            <w:shd w:val="clear" w:color="auto" w:fill="D1EBF3"/>
          </w:tcPr>
          <w:p>
            <w:pPr>
              <w:spacing w:after="0"/>
              <w:rPr>
                <w:sz w:val="20"/>
                <w:szCs w:val="20"/>
                <w:color w:val="auto"/>
              </w:rPr>
            </w:pPr>
          </w:p>
        </w:tc>
        <w:tc>
          <w:tcPr>
            <w:tcW w:w="136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122</w:t>
            </w:r>
          </w:p>
        </w:tc>
      </w:tr>
      <w:tr>
        <w:trPr>
          <w:trHeight w:val="230"/>
        </w:trPr>
        <w:tc>
          <w:tcPr>
            <w:tcW w:w="6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Operating lease cost</w:t>
            </w:r>
          </w:p>
        </w:tc>
        <w:tc>
          <w:tcPr>
            <w:tcW w:w="18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1,142</w:t>
            </w:r>
          </w:p>
        </w:tc>
        <w:tc>
          <w:tcPr>
            <w:tcW w:w="1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1,343</w:t>
            </w:r>
          </w:p>
        </w:tc>
      </w:tr>
      <w:tr>
        <w:trPr>
          <w:trHeight w:val="230"/>
        </w:trPr>
        <w:tc>
          <w:tcPr>
            <w:tcW w:w="698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Short-term lease cost</w:t>
            </w:r>
          </w:p>
        </w:tc>
        <w:tc>
          <w:tcPr>
            <w:tcW w:w="180" w:type="dxa"/>
            <w:vAlign w:val="bottom"/>
            <w:shd w:val="clear" w:color="auto" w:fill="D1EBF3"/>
          </w:tcPr>
          <w:p>
            <w:pPr>
              <w:spacing w:after="0"/>
              <w:rPr>
                <w:sz w:val="20"/>
                <w:szCs w:val="20"/>
                <w:color w:val="auto"/>
              </w:rPr>
            </w:pPr>
          </w:p>
        </w:tc>
        <w:tc>
          <w:tcPr>
            <w:tcW w:w="1540" w:type="dxa"/>
            <w:vAlign w:val="bottom"/>
            <w:gridSpan w:val="2"/>
            <w:shd w:val="clear" w:color="auto" w:fill="D1EBF3"/>
          </w:tcPr>
          <w:p>
            <w:pPr>
              <w:jc w:val="right"/>
              <w:ind w:right="260"/>
              <w:spacing w:after="0"/>
              <w:rPr>
                <w:sz w:val="20"/>
                <w:szCs w:val="20"/>
                <w:color w:val="auto"/>
              </w:rPr>
            </w:pPr>
            <w:r>
              <w:rPr>
                <w:rFonts w:ascii="Times New Roman" w:cs="Times New Roman" w:eastAsia="Times New Roman" w:hAnsi="Times New Roman"/>
                <w:sz w:val="20"/>
                <w:szCs w:val="20"/>
                <w:color w:val="231F20"/>
              </w:rPr>
              <w:t>158</w:t>
            </w:r>
          </w:p>
        </w:tc>
        <w:tc>
          <w:tcPr>
            <w:tcW w:w="180" w:type="dxa"/>
            <w:vAlign w:val="bottom"/>
            <w:shd w:val="clear" w:color="auto" w:fill="D1EBF3"/>
          </w:tcPr>
          <w:p>
            <w:pPr>
              <w:spacing w:after="0"/>
              <w:rPr>
                <w:sz w:val="20"/>
                <w:szCs w:val="20"/>
                <w:color w:val="auto"/>
              </w:rPr>
            </w:pPr>
          </w:p>
        </w:tc>
        <w:tc>
          <w:tcPr>
            <w:tcW w:w="136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170</w:t>
            </w:r>
          </w:p>
        </w:tc>
      </w:tr>
      <w:tr>
        <w:trPr>
          <w:trHeight w:val="230"/>
        </w:trPr>
        <w:tc>
          <w:tcPr>
            <w:tcW w:w="6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Variable lease cost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134</w:t>
            </w:r>
          </w:p>
        </w:tc>
      </w:tr>
      <w:tr>
        <w:trPr>
          <w:trHeight w:val="225"/>
        </w:trPr>
        <w:tc>
          <w:tcPr>
            <w:tcW w:w="6980" w:type="dxa"/>
            <w:vAlign w:val="bottom"/>
            <w:tcBorders>
              <w:top w:val="single" w:sz="8" w:color="D1EBF3"/>
            </w:tcBorders>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 lease cost</w:t>
            </w:r>
          </w:p>
        </w:tc>
        <w:tc>
          <w:tcPr>
            <w:tcW w:w="180" w:type="dxa"/>
            <w:vAlign w:val="bottom"/>
            <w:tcBorders>
              <w:top w:val="single" w:sz="8" w:color="231F20"/>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top w:val="single" w:sz="8" w:color="231F20"/>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2,358</w:t>
            </w:r>
          </w:p>
        </w:tc>
        <w:tc>
          <w:tcPr>
            <w:tcW w:w="260" w:type="dxa"/>
            <w:vAlign w:val="bottom"/>
            <w:tcBorders>
              <w:top w:val="single" w:sz="8" w:color="D1EBF3"/>
            </w:tcBorders>
            <w:shd w:val="clear" w:color="auto" w:fill="D1EBF3"/>
          </w:tcPr>
          <w:p>
            <w:pPr>
              <w:spacing w:after="0"/>
              <w:rPr>
                <w:sz w:val="19"/>
                <w:szCs w:val="19"/>
                <w:color w:val="auto"/>
              </w:rPr>
            </w:pPr>
          </w:p>
        </w:tc>
        <w:tc>
          <w:tcPr>
            <w:tcW w:w="180" w:type="dxa"/>
            <w:vAlign w:val="bottom"/>
            <w:tcBorders>
              <w:top w:val="single" w:sz="8" w:color="231F20"/>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top w:val="single" w:sz="8" w:color="231F20"/>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2,628</w:t>
            </w:r>
          </w:p>
        </w:tc>
        <w:tc>
          <w:tcPr>
            <w:tcW w:w="80" w:type="dxa"/>
            <w:vAlign w:val="bottom"/>
            <w:tcBorders>
              <w:top w:val="single" w:sz="8" w:color="D1EBF3"/>
            </w:tcBorders>
            <w:shd w:val="clear" w:color="auto" w:fill="D1EBF3"/>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127</w:t>
      </w:r>
    </w:p>
    <w:p>
      <w:pPr>
        <w:sectPr>
          <w:pgSz w:w="11880" w:h="15480" w:orient="portrait"/>
          <w:cols w:equalWidth="0" w:num="1">
            <w:col w:w="10240"/>
          </w:cols>
          <w:pgMar w:left="820" w:top="746" w:right="820" w:bottom="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838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58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bottom w:val="single" w:sz="8" w:color="D1EBF3"/>
            </w:tcBorders>
          </w:tcPr>
          <w:p>
            <w:pPr>
              <w:spacing w:after="0"/>
              <w:rPr>
                <w:sz w:val="17"/>
                <w:szCs w:val="17"/>
                <w:color w:val="auto"/>
              </w:rPr>
            </w:pPr>
          </w:p>
        </w:tc>
      </w:tr>
      <w:tr>
        <w:trPr>
          <w:trHeight w:val="239"/>
        </w:trPr>
        <w:tc>
          <w:tcPr>
            <w:tcW w:w="8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Other Lease Information</w:t>
            </w:r>
          </w:p>
        </w:tc>
        <w:tc>
          <w:tcPr>
            <w:tcW w:w="220" w:type="dxa"/>
            <w:vAlign w:val="bottom"/>
            <w:shd w:val="clear" w:color="auto" w:fill="D1EBF3"/>
          </w:tcPr>
          <w:p>
            <w:pPr>
              <w:spacing w:after="0"/>
              <w:rPr>
                <w:sz w:val="20"/>
                <w:szCs w:val="20"/>
                <w:color w:val="auto"/>
              </w:rPr>
            </w:pPr>
          </w:p>
        </w:tc>
        <w:tc>
          <w:tcPr>
            <w:tcW w:w="1420" w:type="dxa"/>
            <w:vAlign w:val="bottom"/>
            <w:shd w:val="clear" w:color="auto" w:fill="D1EBF3"/>
          </w:tcPr>
          <w:p>
            <w:pPr>
              <w:spacing w:after="0"/>
              <w:rPr>
                <w:sz w:val="20"/>
                <w:szCs w:val="20"/>
                <w:color w:val="auto"/>
              </w:rPr>
            </w:pPr>
          </w:p>
        </w:tc>
        <w:tc>
          <w:tcPr>
            <w:tcW w:w="220" w:type="dxa"/>
            <w:vAlign w:val="bottom"/>
            <w:shd w:val="clear" w:color="auto" w:fill="D1EBF3"/>
          </w:tcPr>
          <w:p>
            <w:pPr>
              <w:spacing w:after="0"/>
              <w:rPr>
                <w:sz w:val="20"/>
                <w:szCs w:val="20"/>
                <w:color w:val="auto"/>
              </w:rPr>
            </w:pPr>
          </w:p>
        </w:tc>
      </w:tr>
      <w:tr>
        <w:trPr>
          <w:trHeight w:val="244"/>
        </w:trPr>
        <w:tc>
          <w:tcPr>
            <w:tcW w:w="8380" w:type="dxa"/>
            <w:vAlign w:val="bottom"/>
          </w:tcPr>
          <w:p>
            <w:pPr>
              <w:spacing w:after="0"/>
              <w:rPr>
                <w:sz w:val="20"/>
                <w:szCs w:val="20"/>
                <w:color w:val="auto"/>
              </w:rPr>
            </w:pPr>
            <w:r>
              <w:rPr>
                <w:rFonts w:ascii="Times New Roman" w:cs="Times New Roman" w:eastAsia="Times New Roman" w:hAnsi="Times New Roman"/>
                <w:sz w:val="20"/>
                <w:szCs w:val="20"/>
                <w:color w:val="231F20"/>
              </w:rPr>
              <w:t>Cash paid for amounts included in the measurement of lease liability – finance leases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759</w:t>
            </w:r>
          </w:p>
        </w:tc>
        <w:tc>
          <w:tcPr>
            <w:tcW w:w="220" w:type="dxa"/>
            <w:vAlign w:val="bottom"/>
          </w:tcPr>
          <w:p>
            <w:pPr>
              <w:spacing w:after="0"/>
              <w:rPr>
                <w:sz w:val="21"/>
                <w:szCs w:val="21"/>
                <w:color w:val="auto"/>
              </w:rPr>
            </w:pPr>
          </w:p>
        </w:tc>
      </w:tr>
      <w:tr>
        <w:trPr>
          <w:trHeight w:val="244"/>
        </w:trPr>
        <w:tc>
          <w:tcPr>
            <w:tcW w:w="8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 paid for amounts included in the measurement of lease liability – operating leases</w:t>
            </w:r>
          </w:p>
        </w:tc>
        <w:tc>
          <w:tcPr>
            <w:tcW w:w="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776</w:t>
            </w:r>
          </w:p>
        </w:tc>
        <w:tc>
          <w:tcPr>
            <w:tcW w:w="220" w:type="dxa"/>
            <w:vAlign w:val="bottom"/>
            <w:shd w:val="clear" w:color="auto" w:fill="D1EBF3"/>
          </w:tcPr>
          <w:p>
            <w:pPr>
              <w:spacing w:after="0"/>
              <w:rPr>
                <w:sz w:val="21"/>
                <w:szCs w:val="21"/>
                <w:color w:val="auto"/>
              </w:rPr>
            </w:pPr>
          </w:p>
        </w:tc>
      </w:tr>
      <w:tr>
        <w:trPr>
          <w:trHeight w:val="244"/>
        </w:trPr>
        <w:tc>
          <w:tcPr>
            <w:tcW w:w="838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remaining lease term – finance leases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0.87</w:t>
            </w:r>
          </w:p>
        </w:tc>
        <w:tc>
          <w:tcPr>
            <w:tcW w:w="220" w:type="dxa"/>
            <w:vAlign w:val="bottom"/>
          </w:tcPr>
          <w:p>
            <w:pPr>
              <w:spacing w:after="0"/>
              <w:rPr>
                <w:sz w:val="21"/>
                <w:szCs w:val="21"/>
                <w:color w:val="auto"/>
              </w:rPr>
            </w:pPr>
          </w:p>
        </w:tc>
      </w:tr>
      <w:tr>
        <w:trPr>
          <w:trHeight w:val="244"/>
        </w:trPr>
        <w:tc>
          <w:tcPr>
            <w:tcW w:w="8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Weighted-average remaining lease term – operating leases</w:t>
            </w:r>
          </w:p>
        </w:tc>
        <w:tc>
          <w:tcPr>
            <w:tcW w:w="220" w:type="dxa"/>
            <w:vAlign w:val="bottom"/>
            <w:shd w:val="clear" w:color="auto" w:fill="D1EBF3"/>
          </w:tcPr>
          <w:p>
            <w:pPr>
              <w:spacing w:after="0"/>
              <w:rPr>
                <w:sz w:val="21"/>
                <w:szCs w:val="21"/>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2.59</w:t>
            </w:r>
          </w:p>
        </w:tc>
        <w:tc>
          <w:tcPr>
            <w:tcW w:w="220" w:type="dxa"/>
            <w:vAlign w:val="bottom"/>
            <w:shd w:val="clear" w:color="auto" w:fill="D1EBF3"/>
          </w:tcPr>
          <w:p>
            <w:pPr>
              <w:spacing w:after="0"/>
              <w:rPr>
                <w:sz w:val="21"/>
                <w:szCs w:val="21"/>
                <w:color w:val="auto"/>
              </w:rPr>
            </w:pPr>
          </w:p>
        </w:tc>
      </w:tr>
      <w:tr>
        <w:trPr>
          <w:trHeight w:val="244"/>
        </w:trPr>
        <w:tc>
          <w:tcPr>
            <w:tcW w:w="838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discount rate – finance leases</w:t>
            </w:r>
          </w:p>
        </w:tc>
        <w:tc>
          <w:tcPr>
            <w:tcW w:w="220" w:type="dxa"/>
            <w:vAlign w:val="bottom"/>
          </w:tcPr>
          <w:p>
            <w:pPr>
              <w:spacing w:after="0"/>
              <w:rPr>
                <w:sz w:val="21"/>
                <w:szCs w:val="21"/>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13.1%</w:t>
            </w:r>
          </w:p>
        </w:tc>
      </w:tr>
      <w:tr>
        <w:trPr>
          <w:trHeight w:val="244"/>
        </w:trPr>
        <w:tc>
          <w:tcPr>
            <w:tcW w:w="8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Weighted-average discount rate – operating leases</w:t>
            </w:r>
          </w:p>
        </w:tc>
        <w:tc>
          <w:tcPr>
            <w:tcW w:w="220" w:type="dxa"/>
            <w:vAlign w:val="bottom"/>
            <w:shd w:val="clear" w:color="auto" w:fill="D1EBF3"/>
          </w:tcPr>
          <w:p>
            <w:pPr>
              <w:spacing w:after="0"/>
              <w:rPr>
                <w:sz w:val="21"/>
                <w:szCs w:val="21"/>
                <w:color w:val="auto"/>
              </w:rPr>
            </w:pPr>
          </w:p>
        </w:tc>
        <w:tc>
          <w:tcPr>
            <w:tcW w:w="164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14.7%</w:t>
            </w:r>
          </w:p>
        </w:tc>
      </w:tr>
    </w:tbl>
    <w:p>
      <w:pPr>
        <w:spacing w:after="0" w:line="257" w:lineRule="exact"/>
        <w:rPr>
          <w:sz w:val="20"/>
          <w:szCs w:val="20"/>
          <w:color w:val="auto"/>
        </w:rPr>
      </w:pPr>
    </w:p>
    <w:p>
      <w:pPr>
        <w:ind w:firstLine="403"/>
        <w:spacing w:after="0" w:line="277" w:lineRule="auto"/>
        <w:rPr>
          <w:sz w:val="20"/>
          <w:szCs w:val="20"/>
          <w:color w:val="auto"/>
        </w:rPr>
      </w:pPr>
      <w:r>
        <w:rPr>
          <w:rFonts w:ascii="Times New Roman" w:cs="Times New Roman" w:eastAsia="Times New Roman" w:hAnsi="Times New Roman"/>
          <w:sz w:val="20"/>
          <w:szCs w:val="20"/>
          <w:color w:val="231F20"/>
        </w:rPr>
        <w:t>The following table reconciles the undiscounted cash flows to the operating and financing lease liabilities at December 31,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Finance Leases</w:t>
            </w:r>
          </w:p>
        </w:tc>
        <w:tc>
          <w:tcPr>
            <w:tcW w:w="260" w:type="dxa"/>
            <w:vAlign w:val="bottom"/>
            <w:tcBorders>
              <w:bottom w:val="single" w:sz="8" w:color="D1EBF3"/>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w w:val="98"/>
              </w:rPr>
              <w:t>Operating Leases</w:t>
            </w:r>
          </w:p>
        </w:tc>
        <w:tc>
          <w:tcPr>
            <w:tcW w:w="80" w:type="dxa"/>
            <w:vAlign w:val="bottom"/>
            <w:tcBorders>
              <w:bottom w:val="single" w:sz="8" w:color="D1EBF3"/>
            </w:tcBorders>
          </w:tcPr>
          <w:p>
            <w:pPr>
              <w:spacing w:after="0"/>
              <w:rPr>
                <w:sz w:val="17"/>
                <w:szCs w:val="17"/>
                <w:color w:val="auto"/>
              </w:rPr>
            </w:pPr>
          </w:p>
        </w:tc>
      </w:tr>
      <w:tr>
        <w:trPr>
          <w:trHeight w:val="239"/>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2026</w:t>
            </w: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312</w:t>
            </w:r>
          </w:p>
        </w:tc>
        <w:tc>
          <w:tcPr>
            <w:tcW w:w="260" w:type="dxa"/>
            <w:vAlign w:val="bottom"/>
            <w:shd w:val="clear" w:color="auto" w:fill="D1EBF3"/>
          </w:tcPr>
          <w:p>
            <w:pPr>
              <w:spacing w:after="0"/>
              <w:rPr>
                <w:sz w:val="20"/>
                <w:szCs w:val="20"/>
                <w:color w:val="auto"/>
              </w:rPr>
            </w:pPr>
          </w:p>
        </w:tc>
        <w:tc>
          <w:tcPr>
            <w:tcW w:w="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1,217</w:t>
            </w:r>
          </w:p>
        </w:tc>
        <w:tc>
          <w:tcPr>
            <w:tcW w:w="80" w:type="dxa"/>
            <w:vAlign w:val="bottom"/>
            <w:shd w:val="clear" w:color="auto" w:fill="D1EBF3"/>
          </w:tcPr>
          <w:p>
            <w:pPr>
              <w:spacing w:after="0"/>
              <w:rPr>
                <w:sz w:val="20"/>
                <w:szCs w:val="20"/>
                <w:color w:val="auto"/>
              </w:rPr>
            </w:pPr>
          </w:p>
        </w:tc>
      </w:tr>
      <w:tr>
        <w:trPr>
          <w:trHeight w:val="244"/>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1,019</w:t>
            </w:r>
          </w:p>
        </w:tc>
        <w:tc>
          <w:tcPr>
            <w:tcW w:w="80" w:type="dxa"/>
            <w:vAlign w:val="bottom"/>
          </w:tcPr>
          <w:p>
            <w:pPr>
              <w:spacing w:after="0"/>
              <w:rPr>
                <w:sz w:val="21"/>
                <w:szCs w:val="21"/>
                <w:color w:val="auto"/>
              </w:rPr>
            </w:pPr>
          </w:p>
        </w:tc>
      </w:tr>
      <w:tr>
        <w:trPr>
          <w:trHeight w:val="244"/>
        </w:trPr>
        <w:tc>
          <w:tcPr>
            <w:tcW w:w="69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2028</w:t>
            </w:r>
          </w:p>
        </w:tc>
        <w:tc>
          <w:tcPr>
            <w:tcW w:w="160" w:type="dxa"/>
            <w:vAlign w:val="bottom"/>
            <w:shd w:val="clear" w:color="auto" w:fill="D1EBF3"/>
          </w:tcPr>
          <w:p>
            <w:pPr>
              <w:spacing w:after="0"/>
              <w:rPr>
                <w:sz w:val="21"/>
                <w:szCs w:val="21"/>
                <w:color w:val="auto"/>
              </w:rPr>
            </w:pPr>
          </w:p>
        </w:tc>
        <w:tc>
          <w:tcPr>
            <w:tcW w:w="1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3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680</w:t>
            </w:r>
          </w:p>
        </w:tc>
        <w:tc>
          <w:tcPr>
            <w:tcW w:w="80" w:type="dxa"/>
            <w:vAlign w:val="bottom"/>
            <w:shd w:val="clear" w:color="auto" w:fill="D1EBF3"/>
          </w:tcPr>
          <w:p>
            <w:pPr>
              <w:spacing w:after="0"/>
              <w:rPr>
                <w:sz w:val="21"/>
                <w:szCs w:val="21"/>
                <w:color w:val="auto"/>
              </w:rPr>
            </w:pPr>
          </w:p>
        </w:tc>
      </w:tr>
      <w:tr>
        <w:trPr>
          <w:trHeight w:val="244"/>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80" w:type="dxa"/>
            <w:vAlign w:val="bottom"/>
          </w:tcPr>
          <w:p>
            <w:pPr>
              <w:spacing w:after="0"/>
              <w:rPr>
                <w:sz w:val="21"/>
                <w:szCs w:val="21"/>
                <w:color w:val="auto"/>
              </w:rPr>
            </w:pPr>
          </w:p>
        </w:tc>
      </w:tr>
      <w:tr>
        <w:trPr>
          <w:trHeight w:val="264"/>
        </w:trPr>
        <w:tc>
          <w:tcPr>
            <w:tcW w:w="698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60" w:type="dxa"/>
            <w:vAlign w:val="bottom"/>
            <w:tcBorders>
              <w:bottom w:val="single" w:sz="8" w:color="231F20"/>
            </w:tcBorders>
            <w:shd w:val="clear" w:color="auto" w:fill="D1EBF3"/>
          </w:tcPr>
          <w:p>
            <w:pPr>
              <w:spacing w:after="0"/>
              <w:rPr>
                <w:sz w:val="22"/>
                <w:szCs w:val="22"/>
                <w:color w:val="auto"/>
              </w:rPr>
            </w:pPr>
          </w:p>
        </w:tc>
        <w:tc>
          <w:tcPr>
            <w:tcW w:w="13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Borders>
              <w:bottom w:val="single" w:sz="8" w:color="D1EBF3"/>
            </w:tcBorders>
            <w:shd w:val="clear" w:color="auto" w:fill="D1EBF3"/>
          </w:tcPr>
          <w:p>
            <w:pPr>
              <w:spacing w:after="0"/>
              <w:rPr>
                <w:sz w:val="22"/>
                <w:szCs w:val="22"/>
                <w:color w:val="auto"/>
              </w:rPr>
            </w:pPr>
          </w:p>
        </w:tc>
        <w:tc>
          <w:tcPr>
            <w:tcW w:w="120" w:type="dxa"/>
            <w:vAlign w:val="bottom"/>
            <w:tcBorders>
              <w:bottom w:val="single" w:sz="8" w:color="231F20"/>
            </w:tcBorders>
            <w:shd w:val="clear" w:color="auto" w:fill="D1EBF3"/>
          </w:tcPr>
          <w:p>
            <w:pPr>
              <w:spacing w:after="0"/>
              <w:rPr>
                <w:sz w:val="22"/>
                <w:szCs w:val="22"/>
                <w:color w:val="auto"/>
              </w:rPr>
            </w:pPr>
          </w:p>
        </w:tc>
        <w:tc>
          <w:tcPr>
            <w:tcW w:w="13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shd w:val="clear" w:color="auto" w:fill="D1EBF3"/>
          </w:tcPr>
          <w:p>
            <w:pPr>
              <w:spacing w:after="0"/>
              <w:rPr>
                <w:sz w:val="22"/>
                <w:szCs w:val="22"/>
                <w:color w:val="auto"/>
              </w:rPr>
            </w:pPr>
          </w:p>
        </w:tc>
      </w:tr>
      <w:tr>
        <w:trPr>
          <w:trHeight w:val="219"/>
        </w:trPr>
        <w:tc>
          <w:tcPr>
            <w:tcW w:w="6980" w:type="dxa"/>
            <w:vAlign w:val="bottom"/>
          </w:tcPr>
          <w:p>
            <w:pPr>
              <w:ind w:left="100"/>
              <w:spacing w:after="0" w:line="219" w:lineRule="exact"/>
              <w:rPr>
                <w:sz w:val="20"/>
                <w:szCs w:val="20"/>
                <w:color w:val="auto"/>
              </w:rPr>
            </w:pPr>
            <w:r>
              <w:rPr>
                <w:rFonts w:ascii="Times New Roman" w:cs="Times New Roman" w:eastAsia="Times New Roman" w:hAnsi="Times New Roman"/>
                <w:sz w:val="20"/>
                <w:szCs w:val="20"/>
                <w:color w:val="231F20"/>
              </w:rPr>
              <w:t>Total lease payment</w:t>
            </w:r>
          </w:p>
        </w:tc>
        <w:tc>
          <w:tcPr>
            <w:tcW w:w="160" w:type="dxa"/>
            <w:vAlign w:val="bottom"/>
          </w:tcPr>
          <w:p>
            <w:pPr>
              <w:spacing w:after="0"/>
              <w:rPr>
                <w:sz w:val="19"/>
                <w:szCs w:val="19"/>
                <w:color w:val="auto"/>
              </w:rPr>
            </w:pPr>
          </w:p>
        </w:tc>
        <w:tc>
          <w:tcPr>
            <w:tcW w:w="13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2,982</w:t>
            </w:r>
          </w:p>
        </w:tc>
        <w:tc>
          <w:tcPr>
            <w:tcW w:w="80" w:type="dxa"/>
            <w:vAlign w:val="bottom"/>
          </w:tcPr>
          <w:p>
            <w:pPr>
              <w:spacing w:after="0"/>
              <w:rPr>
                <w:sz w:val="19"/>
                <w:szCs w:val="19"/>
                <w:color w:val="auto"/>
              </w:rPr>
            </w:pPr>
          </w:p>
        </w:tc>
      </w:tr>
      <w:tr>
        <w:trPr>
          <w:trHeight w:val="264"/>
        </w:trPr>
        <w:tc>
          <w:tcPr>
            <w:tcW w:w="698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Less: interest</w:t>
            </w:r>
          </w:p>
        </w:tc>
        <w:tc>
          <w:tcPr>
            <w:tcW w:w="160" w:type="dxa"/>
            <w:vAlign w:val="bottom"/>
            <w:tcBorders>
              <w:bottom w:val="single" w:sz="8" w:color="231F20"/>
            </w:tcBorders>
            <w:shd w:val="clear" w:color="auto" w:fill="D1EBF3"/>
          </w:tcPr>
          <w:p>
            <w:pPr>
              <w:spacing w:after="0"/>
              <w:rPr>
                <w:sz w:val="22"/>
                <w:szCs w:val="22"/>
                <w:color w:val="auto"/>
              </w:rPr>
            </w:pPr>
          </w:p>
        </w:tc>
        <w:tc>
          <w:tcPr>
            <w:tcW w:w="13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260" w:type="dxa"/>
            <w:vAlign w:val="bottom"/>
            <w:tcBorders>
              <w:bottom w:val="single" w:sz="8" w:color="D1EBF3"/>
            </w:tcBorders>
            <w:shd w:val="clear" w:color="auto" w:fill="D1EBF3"/>
          </w:tcPr>
          <w:p>
            <w:pPr>
              <w:spacing w:after="0"/>
              <w:rPr>
                <w:sz w:val="22"/>
                <w:szCs w:val="22"/>
                <w:color w:val="auto"/>
              </w:rPr>
            </w:pPr>
          </w:p>
        </w:tc>
        <w:tc>
          <w:tcPr>
            <w:tcW w:w="120" w:type="dxa"/>
            <w:vAlign w:val="bottom"/>
            <w:tcBorders>
              <w:bottom w:val="single" w:sz="8" w:color="231F20"/>
            </w:tcBorders>
            <w:shd w:val="clear" w:color="auto" w:fill="D1EBF3"/>
          </w:tcPr>
          <w:p>
            <w:pPr>
              <w:spacing w:after="0"/>
              <w:rPr>
                <w:sz w:val="22"/>
                <w:szCs w:val="22"/>
                <w:color w:val="auto"/>
              </w:rPr>
            </w:pPr>
          </w:p>
        </w:tc>
        <w:tc>
          <w:tcPr>
            <w:tcW w:w="13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495</w:t>
            </w:r>
          </w:p>
        </w:tc>
        <w:tc>
          <w:tcPr>
            <w:tcW w:w="80" w:type="dxa"/>
            <w:vAlign w:val="bottom"/>
            <w:tcBorders>
              <w:bottom w:val="single" w:sz="8" w:color="D1EBF3"/>
            </w:tcBorders>
            <w:shd w:val="clear" w:color="auto" w:fill="D1EBF3"/>
          </w:tcPr>
          <w:p>
            <w:pPr>
              <w:spacing w:after="0"/>
              <w:rPr>
                <w:sz w:val="22"/>
                <w:szCs w:val="22"/>
                <w:color w:val="auto"/>
              </w:rPr>
            </w:pPr>
          </w:p>
        </w:tc>
      </w:tr>
      <w:tr>
        <w:trPr>
          <w:trHeight w:val="219"/>
        </w:trPr>
        <w:tc>
          <w:tcPr>
            <w:tcW w:w="69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lease liabilities</w:t>
            </w:r>
          </w:p>
        </w:tc>
        <w:tc>
          <w:tcPr>
            <w:tcW w:w="160" w:type="dxa"/>
            <w:vAlign w:val="bottom"/>
          </w:tcPr>
          <w:p>
            <w:pPr>
              <w:spacing w:after="0"/>
              <w:rPr>
                <w:sz w:val="19"/>
                <w:szCs w:val="19"/>
                <w:color w:val="auto"/>
              </w:rPr>
            </w:pPr>
          </w:p>
        </w:tc>
        <w:tc>
          <w:tcPr>
            <w:tcW w:w="13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295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2,487</w:t>
            </w:r>
          </w:p>
        </w:tc>
        <w:tc>
          <w:tcPr>
            <w:tcW w:w="80" w:type="dxa"/>
            <w:vAlign w:val="bottom"/>
          </w:tcPr>
          <w:p>
            <w:pPr>
              <w:spacing w:after="0"/>
              <w:rPr>
                <w:sz w:val="19"/>
                <w:szCs w:val="19"/>
                <w:color w:val="auto"/>
              </w:rPr>
            </w:pPr>
          </w:p>
        </w:tc>
      </w:tr>
      <w:tr>
        <w:trPr>
          <w:trHeight w:val="264"/>
        </w:trPr>
        <w:tc>
          <w:tcPr>
            <w:tcW w:w="698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Less: short-term lease liability</w:t>
            </w:r>
          </w:p>
        </w:tc>
        <w:tc>
          <w:tcPr>
            <w:tcW w:w="160" w:type="dxa"/>
            <w:vAlign w:val="bottom"/>
            <w:tcBorders>
              <w:bottom w:val="single" w:sz="8" w:color="231F20"/>
            </w:tcBorders>
            <w:shd w:val="clear" w:color="auto" w:fill="D1EBF3"/>
          </w:tcPr>
          <w:p>
            <w:pPr>
              <w:spacing w:after="0"/>
              <w:rPr>
                <w:sz w:val="22"/>
                <w:szCs w:val="22"/>
                <w:color w:val="auto"/>
              </w:rPr>
            </w:pPr>
          </w:p>
        </w:tc>
        <w:tc>
          <w:tcPr>
            <w:tcW w:w="13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295</w:t>
            </w:r>
          </w:p>
        </w:tc>
        <w:tc>
          <w:tcPr>
            <w:tcW w:w="260" w:type="dxa"/>
            <w:vAlign w:val="bottom"/>
            <w:tcBorders>
              <w:bottom w:val="single" w:sz="8" w:color="D1EBF3"/>
            </w:tcBorders>
            <w:shd w:val="clear" w:color="auto" w:fill="D1EBF3"/>
          </w:tcPr>
          <w:p>
            <w:pPr>
              <w:spacing w:after="0"/>
              <w:rPr>
                <w:sz w:val="22"/>
                <w:szCs w:val="22"/>
                <w:color w:val="auto"/>
              </w:rPr>
            </w:pPr>
          </w:p>
        </w:tc>
        <w:tc>
          <w:tcPr>
            <w:tcW w:w="120" w:type="dxa"/>
            <w:vAlign w:val="bottom"/>
            <w:tcBorders>
              <w:bottom w:val="single" w:sz="8" w:color="231F20"/>
            </w:tcBorders>
            <w:shd w:val="clear" w:color="auto" w:fill="D1EBF3"/>
          </w:tcPr>
          <w:p>
            <w:pPr>
              <w:spacing w:after="0"/>
              <w:rPr>
                <w:sz w:val="22"/>
                <w:szCs w:val="22"/>
                <w:color w:val="auto"/>
              </w:rPr>
            </w:pPr>
          </w:p>
        </w:tc>
        <w:tc>
          <w:tcPr>
            <w:tcW w:w="13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924</w:t>
            </w:r>
          </w:p>
        </w:tc>
        <w:tc>
          <w:tcPr>
            <w:tcW w:w="80" w:type="dxa"/>
            <w:vAlign w:val="bottom"/>
            <w:tcBorders>
              <w:bottom w:val="single" w:sz="8" w:color="D1EBF3"/>
            </w:tcBorders>
            <w:shd w:val="clear" w:color="auto" w:fill="D1EBF3"/>
          </w:tcPr>
          <w:p>
            <w:pPr>
              <w:spacing w:after="0"/>
              <w:rPr>
                <w:sz w:val="22"/>
                <w:szCs w:val="22"/>
                <w:color w:val="auto"/>
              </w:rPr>
            </w:pPr>
          </w:p>
        </w:tc>
      </w:tr>
      <w:tr>
        <w:trPr>
          <w:trHeight w:val="219"/>
        </w:trPr>
        <w:tc>
          <w:tcPr>
            <w:tcW w:w="6980" w:type="dxa"/>
            <w:vAlign w:val="bottom"/>
          </w:tcPr>
          <w:p>
            <w:pPr>
              <w:ind w:left="100"/>
              <w:spacing w:after="0" w:line="219" w:lineRule="exact"/>
              <w:rPr>
                <w:sz w:val="20"/>
                <w:szCs w:val="20"/>
                <w:color w:val="auto"/>
              </w:rPr>
            </w:pPr>
            <w:r>
              <w:rPr>
                <w:rFonts w:ascii="Times New Roman" w:cs="Times New Roman" w:eastAsia="Times New Roman" w:hAnsi="Times New Roman"/>
                <w:sz w:val="20"/>
                <w:szCs w:val="20"/>
                <w:color w:val="231F20"/>
              </w:rPr>
              <w:t>Long-term lease liability</w:t>
            </w:r>
          </w:p>
        </w:tc>
        <w:tc>
          <w:tcPr>
            <w:tcW w:w="1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3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1,563</w:t>
            </w: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14. SEGMENTS</w:t>
      </w:r>
    </w:p>
    <w:p>
      <w:pPr>
        <w:spacing w:after="0" w:line="124"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231F20"/>
        </w:rPr>
        <w:t>Operating segments are identified as components of an enterprise about which separate discrete financial information is available for evaluation by the CODM or decision-making group in making decisions on how to allocate resources and assess performance. The Company has one operating segment focused on the discovery, development and commercialization of gamma-delta T cell product candidates for solid and liquid tumors. The CODM is the Company’s CEO. The CEO manages the Company’s operations on a consolidated basis, assesses performance for the operating segment and decides how to allocate resources based on consolidated net loss, which is reported on the consolidated statements of operations. Depreciation expense, amortization expense, stock-based compensation expense, and non-cash lease expense are significant noncash items included in consolidated net loss reviewed by the CEO and are reported on the consolidated statements of cash flows. The measure of segment assets is reported on the consolidated balance sheets as total consolidated assets.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The following table presents certain financial data for the Company’s reportable segment:</w:t>
      </w:r>
    </w:p>
    <w:p>
      <w:pPr>
        <w:spacing w:after="0" w:line="24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231F20"/>
        </w:rPr>
        <w:t>Year Ended</w:t>
      </w:r>
    </w:p>
    <w:p>
      <w:pPr>
        <w:spacing w:after="0" w:line="2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3729355</wp:posOffset>
                </wp:positionH>
                <wp:positionV relativeFrom="paragraph">
                  <wp:posOffset>0</wp:posOffset>
                </wp:positionV>
                <wp:extent cx="272669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2669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65pt,0pt" to="508.35pt,0pt" o:allowincell="f" strokecolor="#231F20" strokeweight="0.75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Borders>
              <w:bottom w:val="single" w:sz="8" w:color="D1EBF3"/>
            </w:tcBorders>
          </w:tcPr>
          <w:p>
            <w:pPr>
              <w:spacing w:after="0"/>
              <w:rPr>
                <w:sz w:val="17"/>
                <w:szCs w:val="17"/>
                <w:color w:val="auto"/>
              </w:rPr>
            </w:pPr>
          </w:p>
        </w:tc>
        <w:tc>
          <w:tcPr>
            <w:tcW w:w="1300" w:type="dxa"/>
            <w:vAlign w:val="bottom"/>
            <w:tcBorders>
              <w:bottom w:val="single" w:sz="8" w:color="231F20"/>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700" w:type="dxa"/>
            <w:vAlign w:val="bottom"/>
            <w:tcBorders>
              <w:bottom w:val="single" w:sz="8" w:color="231F20"/>
            </w:tcBorders>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1540" w:type="dxa"/>
            <w:vAlign w:val="bottom"/>
            <w:tcBorders>
              <w:bottom w:val="single" w:sz="8" w:color="231F20"/>
            </w:tcBorders>
          </w:tcPr>
          <w:p>
            <w:pPr>
              <w:jc w:val="right"/>
              <w:ind w:right="74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7"/>
                <w:szCs w:val="17"/>
                <w:color w:val="auto"/>
              </w:rPr>
            </w:pPr>
          </w:p>
        </w:tc>
      </w:tr>
      <w:tr>
        <w:trPr>
          <w:trHeight w:val="278"/>
        </w:trPr>
        <w:tc>
          <w:tcPr>
            <w:tcW w:w="58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INB-100 research and development expenses</w:t>
            </w:r>
          </w:p>
        </w:tc>
        <w:tc>
          <w:tcPr>
            <w:tcW w:w="1300" w:type="dxa"/>
            <w:vAlign w:val="bottom"/>
            <w:shd w:val="clear" w:color="auto" w:fill="D1EBF3"/>
          </w:tcPr>
          <w:p>
            <w:pPr>
              <w:jc w:val="right"/>
              <w:ind w:right="1107"/>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974</w:t>
            </w:r>
          </w:p>
        </w:tc>
        <w:tc>
          <w:tcPr>
            <w:tcW w:w="100" w:type="dxa"/>
            <w:vAlign w:val="bottom"/>
            <w:shd w:val="clear" w:color="auto" w:fill="D1EBF3"/>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shd w:val="clear" w:color="auto" w:fill="D1EBF3"/>
          </w:tcPr>
          <w:p>
            <w:pPr>
              <w:jc w:val="right"/>
              <w:ind w:right="260"/>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913</w:t>
            </w:r>
          </w:p>
        </w:tc>
        <w:tc>
          <w:tcPr>
            <w:tcW w:w="80" w:type="dxa"/>
            <w:vAlign w:val="bottom"/>
            <w:shd w:val="clear" w:color="auto" w:fill="D1EBF3"/>
          </w:tcPr>
          <w:p>
            <w:pPr>
              <w:spacing w:after="0"/>
              <w:rPr>
                <w:sz w:val="24"/>
                <w:szCs w:val="24"/>
                <w:color w:val="auto"/>
              </w:rPr>
            </w:pPr>
          </w:p>
        </w:tc>
      </w:tr>
      <w:tr>
        <w:trPr>
          <w:trHeight w:val="283"/>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INB-200 research and development expenses</w:t>
            </w:r>
          </w:p>
        </w:tc>
        <w:tc>
          <w:tcPr>
            <w:tcW w:w="1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451</w:t>
            </w:r>
          </w:p>
        </w:tc>
        <w:tc>
          <w:tcPr>
            <w:tcW w:w="80" w:type="dxa"/>
            <w:vAlign w:val="bottom"/>
          </w:tcPr>
          <w:p>
            <w:pPr>
              <w:spacing w:after="0"/>
              <w:rPr>
                <w:sz w:val="24"/>
                <w:szCs w:val="24"/>
                <w:color w:val="auto"/>
              </w:rPr>
            </w:pPr>
          </w:p>
        </w:tc>
      </w:tr>
      <w:tr>
        <w:trPr>
          <w:trHeight w:val="283"/>
        </w:trPr>
        <w:tc>
          <w:tcPr>
            <w:tcW w:w="58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INB-400 research and development expenses</w:t>
            </w:r>
          </w:p>
        </w:tc>
        <w:tc>
          <w:tcPr>
            <w:tcW w:w="1300" w:type="dxa"/>
            <w:vAlign w:val="bottom"/>
            <w:shd w:val="clear" w:color="auto" w:fill="D1EBF3"/>
          </w:tcPr>
          <w:p>
            <w:pPr>
              <w:spacing w:after="0"/>
              <w:rPr>
                <w:sz w:val="24"/>
                <w:szCs w:val="24"/>
                <w:color w:val="auto"/>
              </w:rPr>
            </w:pPr>
          </w:p>
        </w:tc>
        <w:tc>
          <w:tcPr>
            <w:tcW w:w="7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697</w:t>
            </w:r>
          </w:p>
        </w:tc>
        <w:tc>
          <w:tcPr>
            <w:tcW w:w="100" w:type="dxa"/>
            <w:vAlign w:val="bottom"/>
            <w:shd w:val="clear" w:color="auto" w:fill="D1EBF3"/>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shd w:val="clear" w:color="auto" w:fill="D1EBF3"/>
          </w:tcPr>
          <w:p>
            <w:pPr>
              <w:spacing w:after="0"/>
              <w:rPr>
                <w:sz w:val="24"/>
                <w:szCs w:val="24"/>
                <w:color w:val="auto"/>
              </w:rPr>
            </w:pPr>
          </w:p>
        </w:tc>
        <w:tc>
          <w:tcPr>
            <w:tcW w:w="1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4,677</w:t>
            </w:r>
          </w:p>
        </w:tc>
        <w:tc>
          <w:tcPr>
            <w:tcW w:w="80" w:type="dxa"/>
            <w:vAlign w:val="bottom"/>
            <w:shd w:val="clear" w:color="auto" w:fill="D1EBF3"/>
          </w:tcPr>
          <w:p>
            <w:pPr>
              <w:spacing w:after="0"/>
              <w:rPr>
                <w:sz w:val="24"/>
                <w:szCs w:val="24"/>
                <w:color w:val="auto"/>
              </w:rPr>
            </w:pPr>
          </w:p>
        </w:tc>
      </w:tr>
      <w:tr>
        <w:trPr>
          <w:trHeight w:val="283"/>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Personnel-related indirect research and development expenses</w:t>
            </w:r>
          </w:p>
        </w:tc>
        <w:tc>
          <w:tcPr>
            <w:tcW w:w="1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7,674</w:t>
            </w:r>
          </w:p>
        </w:tc>
        <w:tc>
          <w:tcPr>
            <w:tcW w:w="80" w:type="dxa"/>
            <w:vAlign w:val="bottom"/>
          </w:tcPr>
          <w:p>
            <w:pPr>
              <w:spacing w:after="0"/>
              <w:rPr>
                <w:sz w:val="24"/>
                <w:szCs w:val="24"/>
                <w:color w:val="auto"/>
              </w:rPr>
            </w:pPr>
          </w:p>
        </w:tc>
      </w:tr>
      <w:tr>
        <w:trPr>
          <w:trHeight w:val="283"/>
        </w:trPr>
        <w:tc>
          <w:tcPr>
            <w:tcW w:w="58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general and administrative expenses</w:t>
            </w:r>
          </w:p>
        </w:tc>
        <w:tc>
          <w:tcPr>
            <w:tcW w:w="1300" w:type="dxa"/>
            <w:vAlign w:val="bottom"/>
            <w:shd w:val="clear" w:color="auto" w:fill="D1EBF3"/>
          </w:tcPr>
          <w:p>
            <w:pPr>
              <w:spacing w:after="0"/>
              <w:rPr>
                <w:sz w:val="24"/>
                <w:szCs w:val="24"/>
                <w:color w:val="auto"/>
              </w:rPr>
            </w:pPr>
          </w:p>
        </w:tc>
        <w:tc>
          <w:tcPr>
            <w:tcW w:w="7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9,650</w:t>
            </w:r>
          </w:p>
        </w:tc>
        <w:tc>
          <w:tcPr>
            <w:tcW w:w="100" w:type="dxa"/>
            <w:vAlign w:val="bottom"/>
            <w:shd w:val="clear" w:color="auto" w:fill="D1EBF3"/>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shd w:val="clear" w:color="auto" w:fill="D1EBF3"/>
          </w:tcPr>
          <w:p>
            <w:pPr>
              <w:spacing w:after="0"/>
              <w:rPr>
                <w:sz w:val="24"/>
                <w:szCs w:val="24"/>
                <w:color w:val="auto"/>
              </w:rPr>
            </w:pPr>
          </w:p>
        </w:tc>
        <w:tc>
          <w:tcPr>
            <w:tcW w:w="1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12,637</w:t>
            </w:r>
          </w:p>
        </w:tc>
        <w:tc>
          <w:tcPr>
            <w:tcW w:w="80" w:type="dxa"/>
            <w:vAlign w:val="bottom"/>
            <w:shd w:val="clear" w:color="auto" w:fill="D1EBF3"/>
          </w:tcPr>
          <w:p>
            <w:pPr>
              <w:spacing w:after="0"/>
              <w:rPr>
                <w:sz w:val="24"/>
                <w:szCs w:val="24"/>
                <w:color w:val="auto"/>
              </w:rPr>
            </w:pPr>
          </w:p>
        </w:tc>
      </w:tr>
      <w:tr>
        <w:trPr>
          <w:trHeight w:val="283"/>
        </w:trPr>
        <w:tc>
          <w:tcPr>
            <w:tcW w:w="5880" w:type="dxa"/>
            <w:vAlign w:val="bottom"/>
            <w:tcBorders>
              <w:bottom w:val="single" w:sz="8" w:color="D1EBF3"/>
            </w:tcBorders>
          </w:tcPr>
          <w:p>
            <w:pPr>
              <w:spacing w:after="0" w:line="282" w:lineRule="exact"/>
              <w:rPr>
                <w:sz w:val="20"/>
                <w:szCs w:val="20"/>
                <w:color w:val="auto"/>
              </w:rPr>
            </w:pPr>
            <w:r>
              <w:rPr>
                <w:rFonts w:ascii="Times New Roman" w:cs="Times New Roman" w:eastAsia="Times New Roman" w:hAnsi="Times New Roman"/>
                <w:sz w:val="20"/>
                <w:szCs w:val="20"/>
                <w:color w:val="231F20"/>
              </w:rPr>
              <w:t>Other segment items</w:t>
            </w:r>
            <w:r>
              <w:rPr>
                <w:rFonts w:ascii="Times New Roman" w:cs="Times New Roman" w:eastAsia="Times New Roman" w:hAnsi="Times New Roman"/>
                <w:sz w:val="26"/>
                <w:szCs w:val="26"/>
                <w:color w:val="231F20"/>
                <w:vertAlign w:val="superscript"/>
              </w:rPr>
              <w:t>1</w:t>
            </w:r>
          </w:p>
        </w:tc>
        <w:tc>
          <w:tcPr>
            <w:tcW w:w="130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2,810</w:t>
            </w:r>
          </w:p>
        </w:tc>
        <w:tc>
          <w:tcPr>
            <w:tcW w:w="100" w:type="dxa"/>
            <w:vAlign w:val="bottom"/>
            <w:tcBorders>
              <w:bottom w:val="single" w:sz="8" w:color="D1EBF3"/>
            </w:tcBorders>
          </w:tcPr>
          <w:p>
            <w:pPr>
              <w:spacing w:after="0"/>
              <w:rPr>
                <w:sz w:val="24"/>
                <w:szCs w:val="24"/>
                <w:color w:val="auto"/>
              </w:rPr>
            </w:pPr>
          </w:p>
        </w:tc>
        <w:tc>
          <w:tcPr>
            <w:tcW w:w="180" w:type="dxa"/>
            <w:vAlign w:val="bottom"/>
            <w:tcBorders>
              <w:bottom w:val="single" w:sz="8" w:color="D1EBF3"/>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1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4,085</w:t>
            </w:r>
          </w:p>
        </w:tc>
        <w:tc>
          <w:tcPr>
            <w:tcW w:w="80" w:type="dxa"/>
            <w:vAlign w:val="bottom"/>
            <w:tcBorders>
              <w:bottom w:val="single" w:sz="8" w:color="D1EBF3"/>
            </w:tcBorders>
          </w:tcPr>
          <w:p>
            <w:pPr>
              <w:spacing w:after="0"/>
              <w:rPr>
                <w:sz w:val="24"/>
                <w:szCs w:val="24"/>
                <w:color w:val="auto"/>
              </w:rPr>
            </w:pPr>
          </w:p>
        </w:tc>
      </w:tr>
      <w:tr>
        <w:trPr>
          <w:trHeight w:val="298"/>
        </w:trPr>
        <w:tc>
          <w:tcPr>
            <w:tcW w:w="588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Segment net loss</w:t>
            </w:r>
          </w:p>
        </w:tc>
        <w:tc>
          <w:tcPr>
            <w:tcW w:w="1300" w:type="dxa"/>
            <w:vAlign w:val="bottom"/>
            <w:tcBorders>
              <w:bottom w:val="single" w:sz="8" w:color="231F20"/>
            </w:tcBorders>
            <w:shd w:val="clear" w:color="auto" w:fill="D1EBF3"/>
          </w:tcPr>
          <w:p>
            <w:pPr>
              <w:jc w:val="right"/>
              <w:ind w:right="1107"/>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19,440</w:t>
            </w:r>
          </w:p>
        </w:tc>
        <w:tc>
          <w:tcPr>
            <w:tcW w:w="280" w:type="dxa"/>
            <w:vAlign w:val="bottom"/>
            <w:tcBorders>
              <w:bottom w:val="single" w:sz="8" w:color="D1EBF3"/>
            </w:tcBorders>
            <w:gridSpan w:val="2"/>
            <w:shd w:val="clear" w:color="auto" w:fill="D1EBF3"/>
          </w:tcPr>
          <w:p>
            <w:pPr>
              <w:spacing w:after="0"/>
              <w:rPr>
                <w:sz w:val="24"/>
                <w:szCs w:val="24"/>
                <w:color w:val="auto"/>
              </w:rPr>
            </w:pPr>
          </w:p>
        </w:tc>
        <w:tc>
          <w:tcPr>
            <w:tcW w:w="460" w:type="dxa"/>
            <w:vAlign w:val="bottom"/>
            <w:tcBorders>
              <w:bottom w:val="single" w:sz="8" w:color="231F20"/>
            </w:tcBorders>
            <w:shd w:val="clear" w:color="auto" w:fill="D1EBF3"/>
          </w:tcPr>
          <w:p>
            <w:pPr>
              <w:jc w:val="right"/>
              <w:ind w:right="260"/>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30,437</w:t>
            </w:r>
          </w:p>
        </w:tc>
        <w:tc>
          <w:tcPr>
            <w:tcW w:w="80" w:type="dxa"/>
            <w:vAlign w:val="bottom"/>
            <w:tcBorders>
              <w:bottom w:val="single" w:sz="8" w:color="D1EBF3"/>
            </w:tcBorders>
            <w:shd w:val="clear" w:color="auto" w:fill="D1EBF3"/>
          </w:tcPr>
          <w:p>
            <w:pPr>
              <w:spacing w:after="0"/>
              <w:rPr>
                <w:sz w:val="24"/>
                <w:szCs w:val="24"/>
                <w:color w:val="auto"/>
              </w:rPr>
            </w:pPr>
          </w:p>
        </w:tc>
      </w:tr>
      <w:tr>
        <w:trPr>
          <w:trHeight w:val="20"/>
        </w:trPr>
        <w:tc>
          <w:tcPr>
            <w:tcW w:w="5880" w:type="dxa"/>
            <w:vAlign w:val="bottom"/>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 Other segment items include preclinical expenses, severance and related charges, and interest income.</w:t>
      </w:r>
    </w:p>
    <w:p>
      <w:pPr>
        <w:sectPr>
          <w:pgSz w:w="11880" w:h="15480" w:orient="portrait"/>
          <w:cols w:equalWidth="0" w:num="1">
            <w:col w:w="10240"/>
          </w:cols>
          <w:pgMar w:left="820" w:top="76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128</w:t>
      </w:r>
    </w:p>
    <w:p>
      <w:pPr>
        <w:sectPr>
          <w:pgSz w:w="11880" w:h="15480" w:orient="portrait"/>
          <w:cols w:equalWidth="0" w:num="1">
            <w:col w:w="10240"/>
          </w:cols>
          <w:pgMar w:left="820" w:top="764" w:right="82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20"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Under the supervision of our Chief Executive Officer and Chief Financial Officer, we evaluated the effectiveness of our disclosure controls and procedures (as defined in Rules 13a-15(e) and 15d-15(e) of the Exchange Act) as of December 31, 2025. Based on that evaluation, our Chief Executive Officer and Chief Financial Officer have concluded that as of December 31, 2025 our disclosure controls and procedures were effective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discussion regarding required disclosures. 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Management’s Annual Report on Internal Control Over Financial Reporting</w:t>
      </w:r>
    </w:p>
    <w:p>
      <w:pPr>
        <w:spacing w:after="0" w:line="120"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20"/>
          <w:szCs w:val="20"/>
          <w:color w:val="231F20"/>
        </w:rPr>
        <w:t xml:space="preserve">Our management is responsible for establishing and maintaining adequate internal control over financial reporting (as defined in Rules 13a-15(f) and 15d-15(f) of the Exchange Act). Our management conducted an evaluation of the effectiveness of our internal control over financial reporting as of December 31, 2025 based on the criteria established in </w:t>
      </w:r>
      <w:r>
        <w:rPr>
          <w:rFonts w:ascii="Times New Roman" w:cs="Times New Roman" w:eastAsia="Times New Roman" w:hAnsi="Times New Roman"/>
          <w:sz w:val="20"/>
          <w:szCs w:val="20"/>
          <w:i w:val="1"/>
          <w:iCs w:val="1"/>
          <w:color w:val="231F20"/>
        </w:rPr>
        <w:t>Internal Control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Integrated Framework </w:t>
      </w:r>
      <w:r>
        <w:rPr>
          <w:rFonts w:ascii="Times New Roman" w:cs="Times New Roman" w:eastAsia="Times New Roman" w:hAnsi="Times New Roman"/>
          <w:sz w:val="20"/>
          <w:szCs w:val="20"/>
          <w:color w:val="231F20"/>
        </w:rPr>
        <w:t>(2013) issued by the Committee of Sponsoring Organizations of the Treadway Commission.</w:t>
      </w:r>
    </w:p>
    <w:p>
      <w:pPr>
        <w:spacing w:after="0" w:line="74"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Based on the results of its evaluation, management concluded that our internal control over financial reporting was effective as of December 31, 2025.</w:t>
      </w:r>
    </w:p>
    <w:p>
      <w:pPr>
        <w:spacing w:after="0" w:line="4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This Annual Report on Form 10-K does not include an attestation report of our independent registered public accounting firm on internal control over financial reporting due to the deferral allowed under the JOBS Act for emerging growth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Inherent Limitations on Controls and Procedures</w:t>
      </w:r>
    </w:p>
    <w:p>
      <w:pPr>
        <w:spacing w:after="0" w:line="120" w:lineRule="exact"/>
        <w:rPr>
          <w:sz w:val="20"/>
          <w:szCs w:val="20"/>
          <w:color w:val="auto"/>
        </w:rPr>
      </w:pPr>
    </w:p>
    <w:p>
      <w:pPr>
        <w:jc w:val="both"/>
        <w:ind w:firstLine="403"/>
        <w:spacing w:after="0" w:line="242" w:lineRule="auto"/>
        <w:rPr>
          <w:sz w:val="20"/>
          <w:szCs w:val="20"/>
          <w:color w:val="auto"/>
        </w:rPr>
      </w:pPr>
      <w:r>
        <w:rPr>
          <w:rFonts w:ascii="Times New Roman" w:cs="Times New Roman" w:eastAsia="Times New Roman" w:hAnsi="Times New Roman"/>
          <w:sz w:val="20"/>
          <w:szCs w:val="20"/>
          <w:color w:val="231F20"/>
        </w:rPr>
        <w:t>Our management, including the Chief Executive Officer and Chief Financial Officer, do not expect that our disclosure controls and procedures and our internal controls will prevent all error and all fraud. A control system, no matter how well designed and operated, can only provide reasonable assurances that the objectives of the control system are met. The design of a control system reflects resource constraints; the benefits of controls must be considered relative to their costs. Because there are inherent limitations in all control systems, no evaluation of controls can provide absolute assurance that all control issues and instances of fraud, if any, within the Company have been or will be detected. As these inherent limitations are known features of the financial reporting process, it is possible to design into the process safeguards to reduce, though not eliminate, these risks. These inherent limitations include the realities that judgments in decision-making can be faulty and that breakdowns occur because of simple error or mistake. Controls can be circumvented by the individual acts of some persons, by collusion of two or more people, or by management override of the control. The design of any system of controls is based in part upon certain assumptions about the likelihood of future events. While our disclosure controls and procedures are designed to provide reasonable assurance of achieving their objectives, there can be no assurance that any design will succeed in achieving its stated goals under all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spacing w:after="0" w:line="92"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20"/>
          <w:szCs w:val="20"/>
          <w:color w:val="231F20"/>
        </w:rPr>
        <w:t>We intend to review and evaluate the design and effectiveness of our disclosure controls and procedures on an ongoing basis and to improve our controls and procedures over time and to correct any deficiencies that we may discover in the future. While our Chief Executive Officer and Chief Financial Officer have concluded that, as of December 31, 2025, the design of our disclosure controls and procedures (as defined in Rule 13a-15(e) of the Exchange Act) was effective, future events affecting our business may cause us to significantly modify our disclosure controls and procedures.</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129</w:t>
      </w:r>
    </w:p>
    <w:p>
      <w:pPr>
        <w:sectPr>
          <w:pgSz w:w="11880" w:h="15480" w:orient="portrait"/>
          <w:cols w:equalWidth="0" w:num="1">
            <w:col w:w="10240"/>
          </w:cols>
          <w:pgMar w:left="820" w:top="746" w:right="82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 over Financial Reporting</w:t>
      </w:r>
    </w:p>
    <w:p>
      <w:pPr>
        <w:spacing w:after="0" w:line="12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There was no change in our internal control over financial reporting identified in connection with the evaluation required by Rules 13a-15(d) and 15d-15(d) of the Exchange Act that occurred during the three months ended December 31, 2025,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Rule 10b5-1 Trading Arrangements</w:t>
      </w:r>
    </w:p>
    <w:p>
      <w:pPr>
        <w:spacing w:after="0" w:line="120"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None of our directors or executive officers adopted, modified or terminated a “Rule 10b5-1 trading arrangement” or “non-Rule-10b5-1 trading arrangement,” as each term is defined in Item 408(a) of Regulation S-K, during the fiscal quarter ended December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240"/>
          </w:cols>
          <w:pgMar w:left="8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1880" w:h="15480" w:orient="portrait"/>
          <w:cols w:equalWidth="0" w:num="1">
            <w:col w:w="10240"/>
          </w:cols>
          <w:pgMar w:left="820" w:top="750" w:right="820" w:bottom="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12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Certain information required by Part III is omitted from this report because we will file with the SEC a definitive proxy statement pursuant to Regulation 14A, (the "2026 Proxy Statement"), no later than 120 days after the end of our fiscal year, and certain information included therein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information set forth in the sections titled “Proposal 1: Election of Directors,” “Executive Officers,” “Information Regarding the Board and Corporate Governance” and “Delinquent Section 16(a) Reports,” if applicable, in our 2026 Proxy Statement.</w:t>
      </w:r>
    </w:p>
    <w:p>
      <w:pPr>
        <w:spacing w:after="0" w:line="68" w:lineRule="exact"/>
        <w:rPr>
          <w:sz w:val="20"/>
          <w:szCs w:val="20"/>
          <w:color w:val="auto"/>
        </w:rPr>
      </w:pPr>
    </w:p>
    <w:p>
      <w:pPr>
        <w:jc w:val="both"/>
        <w:ind w:firstLine="403"/>
        <w:spacing w:after="0" w:line="243" w:lineRule="auto"/>
        <w:rPr>
          <w:sz w:val="20"/>
          <w:szCs w:val="20"/>
          <w:color w:val="auto"/>
        </w:rPr>
      </w:pPr>
      <w:r>
        <w:rPr>
          <w:rFonts w:ascii="Times New Roman" w:cs="Times New Roman" w:eastAsia="Times New Roman" w:hAnsi="Times New Roman"/>
          <w:sz w:val="20"/>
          <w:szCs w:val="20"/>
          <w:color w:val="231F20"/>
        </w:rPr>
        <w:t xml:space="preserve">Information regarding our Code of Business Conduct and Ethics (the "Code of Conduct"), required by this item will be contained in our 2026 Proxy Statement under the caption “Information Regarding the Board and Corporate Governance – Code of Business Conduct and Ethics,” and is hereby incorporated by reference. 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t>
      </w:r>
      <w:r>
        <w:rPr>
          <w:rFonts w:ascii="Times New Roman" w:cs="Times New Roman" w:eastAsia="Times New Roman" w:hAnsi="Times New Roman"/>
          <w:sz w:val="20"/>
          <w:szCs w:val="20"/>
          <w:i w:val="1"/>
          <w:iCs w:val="1"/>
          <w:color w:val="231F20"/>
        </w:rPr>
        <w:t>www.in8bio.com</w:t>
      </w:r>
      <w:r>
        <w:rPr>
          <w:rFonts w:ascii="Times New Roman" w:cs="Times New Roman" w:eastAsia="Times New Roman" w:hAnsi="Times New Roman"/>
          <w:sz w:val="20"/>
          <w:szCs w:val="20"/>
          <w:color w:val="231F20"/>
        </w:rPr>
        <w:t>. The reference to our website address does not constitute incorporation by reference of the information contained at or available through our website, and you should not consider it to be a part of this Annual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information set forth in the section titled “Executive Officer and Director Compensation” in our 2026 Proxy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2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information set forth in the sections titled “Equity Compensation Plan Information” and “Security Ownership of Certain Beneficial Owners and Management” in our 2026 Proxy 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2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information set forth in the sections titled “Transactions with Related Persons and Indemnification” and “Information Regarding the Board and Corporate Governance–Independence of Directors” in our 2026 Proxy 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24"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20"/>
          <w:szCs w:val="20"/>
          <w:color w:val="231F20"/>
        </w:rPr>
        <w:t>Information regarding accounting fees and services required by this item will be contained in our 2026 Proxy Statement in Proposal 2 under the captions “–Independent Registered Public Accounting Firm Fees” and “–Pre-Approval Policies and Procedures” and is hereby incorporated by reference.</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131</w:t>
      </w:r>
    </w:p>
    <w:p>
      <w:pPr>
        <w:sectPr>
          <w:pgSz w:w="11880" w:h="15480" w:orient="portrait"/>
          <w:cols w:equalWidth="0" w:num="1">
            <w:col w:w="10240"/>
          </w:cols>
          <w:pgMar w:left="820" w:top="746" w:right="820" w:bottom="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The financial statements schedules and exhibits filed as part of this Annual Report are as follows: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(a)(1) Financial Statements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Reference is made to the financial statements included in Item 8 of Part II hereof.</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(a)(2) Financial Statement Schedules</w:t>
      </w:r>
    </w:p>
    <w:p>
      <w:pPr>
        <w:spacing w:after="0" w:line="124" w:lineRule="exact"/>
        <w:rPr>
          <w:sz w:val="20"/>
          <w:szCs w:val="20"/>
          <w:color w:val="auto"/>
        </w:rPr>
      </w:pPr>
    </w:p>
    <w:p>
      <w:pPr>
        <w:ind w:firstLine="403"/>
        <w:spacing w:after="0" w:line="277" w:lineRule="auto"/>
        <w:rPr>
          <w:sz w:val="20"/>
          <w:szCs w:val="20"/>
          <w:color w:val="auto"/>
        </w:rPr>
      </w:pPr>
      <w:r>
        <w:rPr>
          <w:rFonts w:ascii="Times New Roman" w:cs="Times New Roman" w:eastAsia="Times New Roman" w:hAnsi="Times New Roman"/>
          <w:sz w:val="20"/>
          <w:szCs w:val="20"/>
          <w:color w:val="231F20"/>
        </w:rPr>
        <w:t>All other schedules are omitted because they are not required or the required information is included in the financial statements or notes thereto included in Item 8 of Part II hereof.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(a)(3) Exhibits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The exhibits required to be filed or furnished as part of this report are listed in the Exhibit List set forth below.</w:t>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132</w:t>
      </w:r>
    </w:p>
    <w:p>
      <w:pPr>
        <w:sectPr>
          <w:pgSz w:w="11880" w:h="15480" w:orient="portrait"/>
          <w:cols w:equalWidth="0" w:num="1">
            <w:col w:w="10240"/>
          </w:cols>
          <w:pgMar w:left="820" w:top="746" w:right="820" w:bottom="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74"/>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2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231F20"/>
              </w:rPr>
              <w:t>Exhibit Index</w:t>
            </w:r>
          </w:p>
        </w:tc>
        <w:tc>
          <w:tcPr>
            <w:tcW w:w="0" w:type="dxa"/>
            <w:vAlign w:val="bottom"/>
          </w:tcPr>
          <w:p>
            <w:pPr>
              <w:spacing w:after="0"/>
              <w:rPr>
                <w:sz w:val="1"/>
                <w:szCs w:val="1"/>
                <w:color w:val="auto"/>
              </w:rPr>
            </w:pPr>
          </w:p>
        </w:tc>
      </w:tr>
      <w:tr>
        <w:trPr>
          <w:trHeight w:val="435"/>
        </w:trPr>
        <w:tc>
          <w:tcPr>
            <w:tcW w:w="8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00" w:type="dxa"/>
            <w:vAlign w:val="bottom"/>
          </w:tcPr>
          <w:p>
            <w:pPr>
              <w:spacing w:after="0"/>
              <w:rPr>
                <w:sz w:val="17"/>
                <w:szCs w:val="17"/>
                <w:color w:val="auto"/>
              </w:rPr>
            </w:pPr>
          </w:p>
        </w:tc>
        <w:tc>
          <w:tcPr>
            <w:tcW w:w="9320" w:type="dxa"/>
            <w:vAlign w:val="bottom"/>
            <w:tcBorders>
              <w:bottom w:val="single" w:sz="8" w:color="231F20"/>
            </w:tcBorders>
          </w:tcPr>
          <w:p>
            <w:pPr>
              <w:ind w:left="4260"/>
              <w:spacing w:after="0"/>
              <w:rPr>
                <w:sz w:val="20"/>
                <w:szCs w:val="20"/>
                <w:color w:val="auto"/>
              </w:rPr>
            </w:pPr>
            <w:r>
              <w:rPr>
                <w:rFonts w:ascii="Times New Roman" w:cs="Times New Roman" w:eastAsia="Times New Roman" w:hAnsi="Times New Roman"/>
                <w:sz w:val="16"/>
                <w:szCs w:val="16"/>
                <w:b w:val="1"/>
                <w:bCs w:val="1"/>
                <w:color w:val="231F20"/>
              </w:rPr>
              <w:t>Description</w:t>
            </w:r>
          </w:p>
        </w:tc>
        <w:tc>
          <w:tcPr>
            <w:tcW w:w="0" w:type="dxa"/>
            <w:vAlign w:val="bottom"/>
          </w:tcPr>
          <w:p>
            <w:pPr>
              <w:spacing w:after="0"/>
              <w:rPr>
                <w:sz w:val="1"/>
                <w:szCs w:val="1"/>
                <w:color w:val="auto"/>
              </w:rPr>
            </w:pPr>
          </w:p>
        </w:tc>
      </w:tr>
      <w:tr>
        <w:trPr>
          <w:trHeight w:val="211"/>
        </w:trPr>
        <w:tc>
          <w:tcPr>
            <w:tcW w:w="8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3.1</w:t>
            </w:r>
          </w:p>
        </w:tc>
        <w:tc>
          <w:tcPr>
            <w:tcW w:w="100" w:type="dxa"/>
            <w:vAlign w:val="bottom"/>
          </w:tcPr>
          <w:p>
            <w:pPr>
              <w:spacing w:after="0"/>
              <w:rPr>
                <w:sz w:val="18"/>
                <w:szCs w:val="18"/>
                <w:color w:val="auto"/>
              </w:rPr>
            </w:pPr>
          </w:p>
        </w:tc>
        <w:tc>
          <w:tcPr>
            <w:tcW w:w="93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Amended and Restated Certificate of Incorporation of the Company (incorporated herein by reference to Exhibit</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3.1 to the Company’s Current Report on Form 8-K (File No. 001-39692), filed with the SEC on August 3, 2021).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3.2</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Certificate of Amendment of the Amended and Restated Certificate of Incorporation of the Company (incorporated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herein by reference to Exhibit 3.1 to the Company’s Current Report on Form 8-K (File No. 001-39692), filed with</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the SEC on June 4, 2025).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3.3</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Second Amended and Restated Bylaws of the Company (incorporated herein by reference to Exhibit 3.1 to the</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Company’s Current Report on Form 8-K (File No. 001-39692), filed with the SEC on December 7, 2023).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4.1</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Common Stock Certificate (incorporated herein by reference to Exhibit 4.1 to the Company’s Amendment</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No. 1 to Registration Statement on Form S-1 (File No. 333-249530), filed with the SEC on November 5, 2020).</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4.2</w:t>
            </w: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Description of the Registrant’s Securities.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4.3</w:t>
            </w:r>
          </w:p>
        </w:tc>
        <w:tc>
          <w:tcPr>
            <w:tcW w:w="10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Pre-Funded Warrant (incorporated herein by reference to Exhibit 4.1 to the Company’s Current Report on</w:t>
            </w: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8-K (File No. 001-39692), filed with the SEC on October 1, 2024).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4.4</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Pre-Funded Warrant (incorporated herein by reference to Exhibit 4.1 to the Company’s Current Report on</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8-K (File No. 001-39692), filed with the SEC on April 28, 2025).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4.5</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Pre-Funded Warrant (incorporated herein by reference to Exhibit 4.1 to the Company’s Current Report on</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8-K (File No. 001-39692), filed with the SEC on December 19, 2025).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4.6</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Series B Warrant (incorporated herein by reference to Exhibit 4.3 to the Company’s Current Report on</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8-K (File No. 001-39692), filed with the SEC on December 11, 2023).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4.7</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Amendment to Series B Warrant (incorporated herein by reference to Exhibit 4.4 to the Company’s</w:t>
            </w:r>
          </w:p>
        </w:tc>
        <w:tc>
          <w:tcPr>
            <w:tcW w:w="0" w:type="dxa"/>
            <w:vAlign w:val="bottom"/>
          </w:tcPr>
          <w:p>
            <w:pPr>
              <w:spacing w:after="0"/>
              <w:rPr>
                <w:sz w:val="1"/>
                <w:szCs w:val="1"/>
                <w:color w:val="auto"/>
              </w:rPr>
            </w:pPr>
          </w:p>
        </w:tc>
      </w:tr>
      <w:tr>
        <w:trPr>
          <w:trHeight w:val="245"/>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4.8</w:t>
            </w: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Current Report on Form 8-K (File No. 001-39692), filed with the SEC on April 28, 2025).</w:t>
            </w: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Series C Warrant (incorporated herein by reference to Exhibit 4.2 to the Company’s Current Report on</w:t>
            </w: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8-K (File No. 001-39692), filed with the SEC on October 1, 2024).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4.9</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Registration Rights Agreement (incorporated herein by reference to Exhibit 10.2 to the Company’s Current</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Report on Form 8-K (File No. 001-39692), filed with the SEC on December 11, 2023).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4.10</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Registration Rights Agreement (incorporated herein by reference to Exhibit 10.2 to the Company’s Current</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Report on Form 8-K (File No. 001-39692), filed with the SEC on October 1, 2024).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4.11</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Registration Rights Agreement, dated as of December 18, 2025 (incorporated by reference to Exhibit 10.2 to the</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Company’s Current Report on Form 8-K (File No. 001-39692), filed with the SEC on December 19, 2025).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 of Indemnity Agreement by and between the Company and its directors and executive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officers (incorporated herein by reference to Exhibit 10.1 to the Company’s Registration Statement on Form S-1/A</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(File No. 333-249530), filed with the Commission on November 5, 2020).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10.2+</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2018 Equity Incentive Plan (incorporated herein by reference to Exhibit 10.2 to the Company’s Registration</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Statement on Form S-1 (File No. 333-249530), filed with the Commission on October 16, 2020).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10.3+</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Forms of Option Grant Notice and Option Agreement under 2018 Equity Incentive Plan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reference to Exhibit 10.3 to the Company’s Registration Statement on Form S-1 (File No. 333-249530), filed with</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the Commission on October 16, 2020).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2020 Equity Incentive Plan (incorporated herein by reference to Exhibit 4.6 to the Company’s Registration</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Statement on Form S-8 (File No. 333-259458), filed with the SEC on September 10, 2021).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10.5+</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Forms of Option Grant Notice and Option Agreement under 2020 Equity Incentive Plan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reference to Exhibit 10.5 to the Company’s Registration Statement on Form S-1/A (File No. 333-249530), filed</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with the Commission on November 5, 2020).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10.6+</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2023 Equity Incentive Plan (incorporated herein by reference to Exhibit 10.1 to the</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Company’s Quarterly Report on Form 10-Q (File No. 001-39692), filed with the SEC on August 10, 2023).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10.7+</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Forms of Option Grant Notice and Option Agreement under the Amended and Restated 2023 Equity Incentive Plan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(incorporated herein by reference to Exhibit 10.2 to the Company’s Quarterly Report on Form 10-Q (File No. 001-</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39692), filed with the SEC on August 10, 2023).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10.8+</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2020 Employee Stock Purchase Plan (incorporated herein by reference to Exhibit 4.6 to the Company’s</w:t>
            </w:r>
          </w:p>
        </w:tc>
        <w:tc>
          <w:tcPr>
            <w:tcW w:w="0" w:type="dxa"/>
            <w:vAlign w:val="bottom"/>
          </w:tcPr>
          <w:p>
            <w:pPr>
              <w:spacing w:after="0"/>
              <w:rPr>
                <w:sz w:val="1"/>
                <w:szCs w:val="1"/>
                <w:color w:val="auto"/>
              </w:rPr>
            </w:pPr>
          </w:p>
        </w:tc>
      </w:tr>
      <w:tr>
        <w:trPr>
          <w:trHeight w:val="245"/>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10.9+</w:t>
            </w:r>
          </w:p>
        </w:tc>
        <w:tc>
          <w:tcPr>
            <w:tcW w:w="100" w:type="dxa"/>
            <w:vAlign w:val="bottom"/>
          </w:tcPr>
          <w:p>
            <w:pPr>
              <w:spacing w:after="0"/>
              <w:rPr>
                <w:sz w:val="21"/>
                <w:szCs w:val="21"/>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Registration Statement on Form S-8 (File No. 333-259458), filed with the SEC on September 10, 2021).</w:t>
            </w: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Non-Employee Director Compensation Policy (as amended August 30, 2024) (incorporated herein by reference to</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Exhibit 10.9 to the Company’s Quarterly Report on Form 10-Q (File No. 001-39692), filed with the SEC on</w:t>
            </w: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0"/>
                <w:szCs w:val="20"/>
                <w:color w:val="231F20"/>
              </w:rPr>
              <w:t>November 12,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-7922895</wp:posOffset>
            </wp:positionV>
            <wp:extent cx="6492240" cy="7912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7">
                      <a:extLst>
                        <a:ext uri="{28A0092B-C50C-407E-A947-70E740481C1C}"/>
                      </a:extLst>
                    </a:blip>
                    <a:srcRect/>
                    <a:stretch>
                      <a:fillRect/>
                    </a:stretch>
                  </pic:blipFill>
                  <pic:spPr bwMode="auto">
                    <a:xfrm>
                      <a:off x="0" y="0"/>
                      <a:ext cx="6492240" cy="7912735"/>
                    </a:xfrm>
                    <a:prstGeom prst="rect">
                      <a:avLst/>
                    </a:prstGeom>
                    <a:noFill/>
                  </pic:spPr>
                </pic:pic>
              </a:graphicData>
            </a:graphic>
          </wp:anchor>
        </w:drawing>
      </w:r>
    </w:p>
    <w:p>
      <w:pPr>
        <w:sectPr>
          <w:pgSz w:w="11880" w:h="15480" w:orient="portrait"/>
          <w:cols w:equalWidth="0" w:num="1">
            <w:col w:w="10240"/>
          </w:cols>
          <w:pgMar w:left="820" w:top="7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133</w:t>
      </w:r>
    </w:p>
    <w:p>
      <w:pPr>
        <w:sectPr>
          <w:pgSz w:w="11880" w:h="15480" w:orient="portrait"/>
          <w:cols w:equalWidth="0" w:num="1">
            <w:col w:w="10240"/>
          </w:cols>
          <w:pgMar w:left="820" w:top="746" w:right="820" w:bottom="0" w:gutter="0" w:footer="0" w:header="0"/>
          <w:type w:val="continuous"/>
        </w:sectPr>
      </w:pPr>
    </w:p>
    <w:bookmarkStart w:id="139" w:name="page140"/>
    <w:bookmarkEnd w:id="139"/>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10.10+</w:t>
      </w:r>
      <w:r>
        <w:rPr>
          <w:sz w:val="20"/>
          <w:szCs w:val="20"/>
          <w:color w:val="auto"/>
        </w:rPr>
        <w:tab/>
      </w:r>
      <w:r>
        <w:rPr>
          <w:rFonts w:ascii="Times New Roman" w:cs="Times New Roman" w:eastAsia="Times New Roman" w:hAnsi="Times New Roman"/>
          <w:sz w:val="20"/>
          <w:szCs w:val="20"/>
          <w:color w:val="231F20"/>
        </w:rPr>
        <w:t>Non-Employee Director Compensation Policy (as amended February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6492240" cy="8651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a:extLst>
                        <a:ext uri="{28A0092B-C50C-407E-A947-70E740481C1C}"/>
                      </a:extLst>
                    </a:blip>
                    <a:srcRect/>
                    <a:stretch>
                      <a:fillRect/>
                    </a:stretch>
                  </pic:blipFill>
                  <pic:spPr bwMode="auto">
                    <a:xfrm>
                      <a:off x="0" y="0"/>
                      <a:ext cx="6492240" cy="8651875"/>
                    </a:xfrm>
                    <a:prstGeom prst="rect">
                      <a:avLst/>
                    </a:prstGeom>
                    <a:noFill/>
                  </pic:spPr>
                </pic:pic>
              </a:graphicData>
            </a:graphic>
          </wp:anchor>
        </w:drawing>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10.11†</w:t>
      </w:r>
      <w:r>
        <w:rPr>
          <w:sz w:val="20"/>
          <w:szCs w:val="20"/>
          <w:color w:val="auto"/>
        </w:rPr>
        <w:tab/>
      </w:r>
      <w:r>
        <w:rPr>
          <w:rFonts w:ascii="Times New Roman" w:cs="Times New Roman" w:eastAsia="Times New Roman" w:hAnsi="Times New Roman"/>
          <w:sz w:val="20"/>
          <w:szCs w:val="20"/>
          <w:color w:val="231F20"/>
        </w:rPr>
        <w:t>Exclusive License Agreement, dated March 10, 2016, between the Company and The UAB</w:t>
      </w:r>
    </w:p>
    <w:p>
      <w:pPr>
        <w:spacing w:after="0" w:line="7"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0"/>
          <w:szCs w:val="20"/>
          <w:color w:val="231F20"/>
        </w:rPr>
        <w:t>Research Foundation (incorporated herein by reference to Exhibit 10.8 to the Company’s Registration Statement on Form S-1 (File No. 333-249530), filed with the Commission on October 16, 2020).</w:t>
      </w:r>
    </w:p>
    <w:p>
      <w:pPr>
        <w:spacing w:after="0" w:line="1" w:lineRule="exact"/>
        <w:rPr>
          <w:sz w:val="20"/>
          <w:szCs w:val="20"/>
          <w:color w:val="auto"/>
        </w:rPr>
      </w:pPr>
    </w:p>
    <w:p>
      <w:pPr>
        <w:ind w:left="920" w:right="460" w:hanging="908"/>
        <w:spacing w:after="0" w:line="245" w:lineRule="auto"/>
        <w:tabs>
          <w:tab w:leader="none" w:pos="900" w:val="left"/>
        </w:tabs>
        <w:rPr>
          <w:sz w:val="20"/>
          <w:szCs w:val="20"/>
          <w:color w:val="auto"/>
        </w:rPr>
      </w:pPr>
      <w:r>
        <w:rPr>
          <w:rFonts w:ascii="Times New Roman" w:cs="Times New Roman" w:eastAsia="Times New Roman" w:hAnsi="Times New Roman"/>
          <w:sz w:val="20"/>
          <w:szCs w:val="20"/>
          <w:color w:val="231F20"/>
        </w:rPr>
        <w:t>10.12†</w:t>
      </w:r>
      <w:r>
        <w:rPr>
          <w:sz w:val="20"/>
          <w:szCs w:val="20"/>
          <w:color w:val="auto"/>
        </w:rPr>
        <w:tab/>
      </w:r>
      <w:r>
        <w:rPr>
          <w:rFonts w:ascii="Times New Roman" w:cs="Times New Roman" w:eastAsia="Times New Roman" w:hAnsi="Times New Roman"/>
          <w:sz w:val="20"/>
          <w:szCs w:val="20"/>
          <w:color w:val="231F20"/>
        </w:rPr>
        <w:t>First Amendment to Exclusive License Agreement, dated December 14, 2016, between the UAB Research Foundation and the Company (incorporated herein by reference to Exhibit 10.9 to the Company’s Registration Statement on Form S-1 (File No. 333-249530), filed with the Commission on October 16, 2020).</w:t>
      </w:r>
    </w:p>
    <w:p>
      <w:pPr>
        <w:spacing w:after="0" w:line="1" w:lineRule="exact"/>
        <w:rPr>
          <w:sz w:val="20"/>
          <w:szCs w:val="20"/>
          <w:color w:val="auto"/>
        </w:rPr>
      </w:pPr>
    </w:p>
    <w:p>
      <w:pPr>
        <w:ind w:left="920" w:right="360" w:hanging="908"/>
        <w:spacing w:after="0" w:line="245" w:lineRule="auto"/>
        <w:tabs>
          <w:tab w:leader="none" w:pos="900" w:val="left"/>
        </w:tabs>
        <w:rPr>
          <w:sz w:val="20"/>
          <w:szCs w:val="20"/>
          <w:color w:val="auto"/>
        </w:rPr>
      </w:pPr>
      <w:r>
        <w:rPr>
          <w:rFonts w:ascii="Times New Roman" w:cs="Times New Roman" w:eastAsia="Times New Roman" w:hAnsi="Times New Roman"/>
          <w:sz w:val="20"/>
          <w:szCs w:val="20"/>
          <w:color w:val="231F20"/>
        </w:rPr>
        <w:t>10.13†</w:t>
      </w:r>
      <w:r>
        <w:rPr>
          <w:sz w:val="20"/>
          <w:szCs w:val="20"/>
          <w:color w:val="auto"/>
        </w:rPr>
        <w:tab/>
      </w:r>
      <w:r>
        <w:rPr>
          <w:rFonts w:ascii="Times New Roman" w:cs="Times New Roman" w:eastAsia="Times New Roman" w:hAnsi="Times New Roman"/>
          <w:sz w:val="20"/>
          <w:szCs w:val="20"/>
          <w:color w:val="231F20"/>
        </w:rPr>
        <w:t>Second Amendment to Exclusive License Agreement, dated December 14, 2016, between the UAB Research Foundation and the Company (incorporated herein by reference to Exhibit 10.10 to the Company’s Registration Statement on Form S-1 (File No. 333-249530), filed with the Commission on October 16, 2020).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10.14†</w:t>
      </w:r>
      <w:r>
        <w:rPr>
          <w:sz w:val="20"/>
          <w:szCs w:val="20"/>
          <w:color w:val="auto"/>
        </w:rPr>
        <w:tab/>
      </w:r>
      <w:r>
        <w:rPr>
          <w:rFonts w:ascii="Times New Roman" w:cs="Times New Roman" w:eastAsia="Times New Roman" w:hAnsi="Times New Roman"/>
          <w:sz w:val="20"/>
          <w:szCs w:val="20"/>
          <w:color w:val="231F20"/>
        </w:rPr>
        <w:t>Third Amendment to Exclusive License Agreement, dated December 14, 2016, between the</w:t>
      </w:r>
    </w:p>
    <w:p>
      <w:pPr>
        <w:spacing w:after="0" w:line="7" w:lineRule="exact"/>
        <w:rPr>
          <w:sz w:val="20"/>
          <w:szCs w:val="20"/>
          <w:color w:val="auto"/>
        </w:rPr>
      </w:pPr>
    </w:p>
    <w:p>
      <w:pPr>
        <w:ind w:left="920" w:right="140"/>
        <w:spacing w:after="0" w:line="257" w:lineRule="auto"/>
        <w:rPr>
          <w:sz w:val="20"/>
          <w:szCs w:val="20"/>
          <w:color w:val="auto"/>
        </w:rPr>
      </w:pPr>
      <w:r>
        <w:rPr>
          <w:rFonts w:ascii="Times New Roman" w:cs="Times New Roman" w:eastAsia="Times New Roman" w:hAnsi="Times New Roman"/>
          <w:sz w:val="19"/>
          <w:szCs w:val="19"/>
          <w:color w:val="231F20"/>
        </w:rPr>
        <w:t>UAB Research Foundation and the Company (incorporated herein by reference to Exhibit 10.11 to the Company’s Registration Statement on Form S-1 (File No. 333-249530), filed with the Commission on October 16, 2020).</w:t>
      </w:r>
    </w:p>
    <w:p>
      <w:pPr>
        <w:ind w:left="920" w:right="360" w:hanging="908"/>
        <w:spacing w:after="0" w:line="245" w:lineRule="auto"/>
        <w:tabs>
          <w:tab w:leader="none" w:pos="900" w:val="left"/>
        </w:tabs>
        <w:rPr>
          <w:sz w:val="20"/>
          <w:szCs w:val="20"/>
          <w:color w:val="auto"/>
        </w:rPr>
      </w:pPr>
      <w:r>
        <w:rPr>
          <w:rFonts w:ascii="Times New Roman" w:cs="Times New Roman" w:eastAsia="Times New Roman" w:hAnsi="Times New Roman"/>
          <w:sz w:val="20"/>
          <w:szCs w:val="20"/>
          <w:color w:val="231F20"/>
        </w:rPr>
        <w:t>10.15†</w:t>
      </w:r>
      <w:r>
        <w:rPr>
          <w:sz w:val="20"/>
          <w:szCs w:val="20"/>
          <w:color w:val="auto"/>
        </w:rPr>
        <w:tab/>
      </w:r>
      <w:r>
        <w:rPr>
          <w:rFonts w:ascii="Times New Roman" w:cs="Times New Roman" w:eastAsia="Times New Roman" w:hAnsi="Times New Roman"/>
          <w:sz w:val="20"/>
          <w:szCs w:val="20"/>
          <w:color w:val="231F20"/>
        </w:rPr>
        <w:t>Fourth Amendment to Exclusive License Agreement, dated December 14, 2016, between the UAB Research Foundation and the Company (incorporated herein by reference to Exhibit 10.12 to the Company’s Registration Statement on Form S-1 (File No. 333-249530), filed with the Commission on October 16, 2020).</w:t>
      </w:r>
    </w:p>
    <w:p>
      <w:pPr>
        <w:spacing w:after="0" w:line="1" w:lineRule="exact"/>
        <w:rPr>
          <w:sz w:val="20"/>
          <w:szCs w:val="20"/>
          <w:color w:val="auto"/>
        </w:rPr>
      </w:pPr>
    </w:p>
    <w:p>
      <w:pPr>
        <w:ind w:left="920" w:right="120" w:hanging="908"/>
        <w:spacing w:after="0" w:line="243" w:lineRule="auto"/>
        <w:tabs>
          <w:tab w:leader="none" w:pos="900" w:val="left"/>
        </w:tabs>
        <w:rPr>
          <w:sz w:val="20"/>
          <w:szCs w:val="20"/>
          <w:color w:val="auto"/>
        </w:rPr>
      </w:pPr>
      <w:r>
        <w:rPr>
          <w:rFonts w:ascii="Times New Roman" w:cs="Times New Roman" w:eastAsia="Times New Roman" w:hAnsi="Times New Roman"/>
          <w:sz w:val="20"/>
          <w:szCs w:val="20"/>
          <w:color w:val="231F20"/>
        </w:rPr>
        <w:t>10.16†</w:t>
      </w:r>
      <w:r>
        <w:rPr>
          <w:sz w:val="20"/>
          <w:szCs w:val="20"/>
          <w:color w:val="auto"/>
        </w:rPr>
        <w:tab/>
      </w:r>
      <w:r>
        <w:rPr>
          <w:rFonts w:ascii="Times New Roman" w:cs="Times New Roman" w:eastAsia="Times New Roman" w:hAnsi="Times New Roman"/>
          <w:sz w:val="20"/>
          <w:szCs w:val="20"/>
          <w:color w:val="231F20"/>
        </w:rPr>
        <w:t>Exclusive License Agreement, dated June 10, 2016, between Emory University, Children’s Healthcare of Atlanta, Inc., and UAB Research Foundation and the Company (incorporated herein by reference to Exhibit 10.13 to the Company’s Registration Statement on Form S-1 (File No. 333-249530), filed with the Commission on October 16, 2020).</w:t>
      </w:r>
    </w:p>
    <w:p>
      <w:pPr>
        <w:spacing w:after="0" w:line="4" w:lineRule="exact"/>
        <w:rPr>
          <w:sz w:val="20"/>
          <w:szCs w:val="20"/>
          <w:color w:val="auto"/>
        </w:rPr>
      </w:pPr>
    </w:p>
    <w:p>
      <w:pPr>
        <w:ind w:left="920" w:right="120" w:hanging="908"/>
        <w:spacing w:after="0" w:line="243" w:lineRule="auto"/>
        <w:tabs>
          <w:tab w:leader="none" w:pos="900" w:val="left"/>
        </w:tabs>
        <w:rPr>
          <w:sz w:val="20"/>
          <w:szCs w:val="20"/>
          <w:color w:val="auto"/>
        </w:rPr>
      </w:pPr>
      <w:r>
        <w:rPr>
          <w:rFonts w:ascii="Times New Roman" w:cs="Times New Roman" w:eastAsia="Times New Roman" w:hAnsi="Times New Roman"/>
          <w:sz w:val="20"/>
          <w:szCs w:val="20"/>
          <w:color w:val="231F20"/>
        </w:rPr>
        <w:t>10.17†</w:t>
      </w:r>
      <w:r>
        <w:rPr>
          <w:sz w:val="20"/>
          <w:szCs w:val="20"/>
          <w:color w:val="auto"/>
        </w:rPr>
        <w:tab/>
      </w:r>
      <w:r>
        <w:rPr>
          <w:rFonts w:ascii="Times New Roman" w:cs="Times New Roman" w:eastAsia="Times New Roman" w:hAnsi="Times New Roman"/>
          <w:sz w:val="20"/>
          <w:szCs w:val="20"/>
          <w:color w:val="231F20"/>
        </w:rPr>
        <w:t>First Amendment to Exclusive License Agreement between Emory University, Children’s Healthcare of Atlanta, Inc., The UAB Research Foundation and the Company (incorporated herein by reference to Exhibit 10.14 to the Company’s Registration Statement on Form S-1 (File No. 333-249530), filed with the Commission on October 16, 2020).</w:t>
      </w:r>
    </w:p>
    <w:p>
      <w:pPr>
        <w:spacing w:after="0" w:line="4" w:lineRule="exact"/>
        <w:rPr>
          <w:sz w:val="20"/>
          <w:szCs w:val="20"/>
          <w:color w:val="auto"/>
        </w:rPr>
      </w:pPr>
    </w:p>
    <w:p>
      <w:pPr>
        <w:ind w:left="920" w:right="40" w:hanging="908"/>
        <w:spacing w:after="0" w:line="243" w:lineRule="auto"/>
        <w:tabs>
          <w:tab w:leader="none" w:pos="900" w:val="left"/>
        </w:tabs>
        <w:rPr>
          <w:sz w:val="20"/>
          <w:szCs w:val="20"/>
          <w:color w:val="auto"/>
        </w:rPr>
      </w:pPr>
      <w:r>
        <w:rPr>
          <w:rFonts w:ascii="Times New Roman" w:cs="Times New Roman" w:eastAsia="Times New Roman" w:hAnsi="Times New Roman"/>
          <w:sz w:val="20"/>
          <w:szCs w:val="20"/>
          <w:color w:val="231F20"/>
        </w:rPr>
        <w:t>10.18†</w:t>
      </w:r>
      <w:r>
        <w:rPr>
          <w:sz w:val="20"/>
          <w:szCs w:val="20"/>
          <w:color w:val="auto"/>
        </w:rPr>
        <w:tab/>
      </w:r>
      <w:r>
        <w:rPr>
          <w:rFonts w:ascii="Times New Roman" w:cs="Times New Roman" w:eastAsia="Times New Roman" w:hAnsi="Times New Roman"/>
          <w:sz w:val="20"/>
          <w:szCs w:val="20"/>
          <w:color w:val="231F20"/>
        </w:rPr>
        <w:t>Second Amendment to Exclusive License Agreement between Emory University, Children’s Healthcare of Atlanta, Inc., The UAB Research Foundation and the Company (incorporated herein by reference to Exhibit 10.15 to the Company’s Registration Statement on Form S-1 (File No. 333-249530), filed with the Commission on October 16, 2020).</w:t>
      </w:r>
    </w:p>
    <w:p>
      <w:pPr>
        <w:spacing w:after="0" w:line="4" w:lineRule="exact"/>
        <w:rPr>
          <w:sz w:val="20"/>
          <w:szCs w:val="20"/>
          <w:color w:val="auto"/>
        </w:rPr>
      </w:pPr>
    </w:p>
    <w:p>
      <w:pPr>
        <w:jc w:val="both"/>
        <w:ind w:left="920" w:right="140" w:hanging="908"/>
        <w:spacing w:after="0" w:line="245" w:lineRule="auto"/>
        <w:tabs>
          <w:tab w:leader="none" w:pos="900" w:val="left"/>
        </w:tabs>
        <w:rPr>
          <w:sz w:val="20"/>
          <w:szCs w:val="20"/>
          <w:color w:val="auto"/>
        </w:rPr>
      </w:pPr>
      <w:r>
        <w:rPr>
          <w:rFonts w:ascii="Times New Roman" w:cs="Times New Roman" w:eastAsia="Times New Roman" w:hAnsi="Times New Roman"/>
          <w:sz w:val="20"/>
          <w:szCs w:val="20"/>
          <w:color w:val="231F20"/>
        </w:rPr>
        <w:t>10.19+</w:t>
      </w:r>
      <w:r>
        <w:rPr>
          <w:sz w:val="20"/>
          <w:szCs w:val="20"/>
          <w:color w:val="auto"/>
        </w:rPr>
        <w:tab/>
      </w:r>
      <w:r>
        <w:rPr>
          <w:rFonts w:ascii="Times New Roman" w:cs="Times New Roman" w:eastAsia="Times New Roman" w:hAnsi="Times New Roman"/>
          <w:sz w:val="20"/>
          <w:szCs w:val="20"/>
          <w:color w:val="231F20"/>
        </w:rPr>
        <w:t>Amended and Restated Employment Agreement, between the Company and William Ho, dated December 1, 2020 (incorporated herein by reference to Exhibit 10.16 to the Company’s Registration Statement on Form S-1/A (File No. 333-249530), filed with the Commission on July 22, 2021).</w:t>
      </w:r>
    </w:p>
    <w:p>
      <w:pPr>
        <w:spacing w:after="0" w:line="1" w:lineRule="exact"/>
        <w:rPr>
          <w:sz w:val="20"/>
          <w:szCs w:val="20"/>
          <w:color w:val="auto"/>
        </w:rPr>
      </w:pPr>
    </w:p>
    <w:p>
      <w:pPr>
        <w:jc w:val="both"/>
        <w:ind w:left="920" w:right="140" w:hanging="908"/>
        <w:spacing w:after="0" w:line="245" w:lineRule="auto"/>
        <w:tabs>
          <w:tab w:leader="none" w:pos="900" w:val="left"/>
        </w:tabs>
        <w:rPr>
          <w:sz w:val="20"/>
          <w:szCs w:val="20"/>
          <w:color w:val="auto"/>
        </w:rPr>
      </w:pPr>
      <w:r>
        <w:rPr>
          <w:rFonts w:ascii="Times New Roman" w:cs="Times New Roman" w:eastAsia="Times New Roman" w:hAnsi="Times New Roman"/>
          <w:sz w:val="20"/>
          <w:szCs w:val="20"/>
          <w:color w:val="231F20"/>
        </w:rPr>
        <w:t>10.20+</w:t>
      </w:r>
      <w:r>
        <w:rPr>
          <w:sz w:val="20"/>
          <w:szCs w:val="20"/>
          <w:color w:val="auto"/>
        </w:rPr>
        <w:tab/>
      </w:r>
      <w:r>
        <w:rPr>
          <w:rFonts w:ascii="Times New Roman" w:cs="Times New Roman" w:eastAsia="Times New Roman" w:hAnsi="Times New Roman"/>
          <w:sz w:val="20"/>
          <w:szCs w:val="20"/>
          <w:color w:val="231F20"/>
        </w:rPr>
        <w:t>Amendment to Amended and Restated Employment Agreement, between the Company and William Ho, dated as of August 30, 2024 (incorporated herein by reference to Exhibit 10.1 to the Company's Current Report on Form 8-K (File No. 001-39692), filed with the SEC on September 6, 2024).</w:t>
      </w:r>
    </w:p>
    <w:p>
      <w:pPr>
        <w:spacing w:after="0" w:line="1" w:lineRule="exact"/>
        <w:rPr>
          <w:sz w:val="20"/>
          <w:szCs w:val="20"/>
          <w:color w:val="auto"/>
        </w:rPr>
      </w:pPr>
    </w:p>
    <w:p>
      <w:pPr>
        <w:jc w:val="both"/>
        <w:ind w:left="920" w:right="180" w:hanging="908"/>
        <w:spacing w:after="0" w:line="245" w:lineRule="auto"/>
        <w:tabs>
          <w:tab w:leader="none" w:pos="900" w:val="left"/>
        </w:tabs>
        <w:rPr>
          <w:sz w:val="20"/>
          <w:szCs w:val="20"/>
          <w:color w:val="auto"/>
        </w:rPr>
      </w:pPr>
      <w:r>
        <w:rPr>
          <w:rFonts w:ascii="Times New Roman" w:cs="Times New Roman" w:eastAsia="Times New Roman" w:hAnsi="Times New Roman"/>
          <w:sz w:val="20"/>
          <w:szCs w:val="20"/>
          <w:color w:val="231F20"/>
        </w:rPr>
        <w:t>10.21+</w:t>
      </w:r>
      <w:r>
        <w:rPr>
          <w:sz w:val="20"/>
          <w:szCs w:val="20"/>
          <w:color w:val="auto"/>
        </w:rPr>
        <w:tab/>
      </w:r>
      <w:r>
        <w:rPr>
          <w:rFonts w:ascii="Times New Roman" w:cs="Times New Roman" w:eastAsia="Times New Roman" w:hAnsi="Times New Roman"/>
          <w:sz w:val="20"/>
          <w:szCs w:val="20"/>
          <w:color w:val="231F20"/>
        </w:rPr>
        <w:t>Amended and Restated Employment Agreement between the Company and Lawrence Lamb, dated December 31, 2020 (incorporated herein by reference to Exhibit 10.17 to the Company’s Registration Statement on Form S-1/A (File No. 333-249530), filed with the Commission on July 22, 2021).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10.22+</w:t>
      </w:r>
      <w:r>
        <w:rPr>
          <w:sz w:val="20"/>
          <w:szCs w:val="20"/>
          <w:color w:val="auto"/>
        </w:rPr>
        <w:tab/>
      </w:r>
      <w:r>
        <w:rPr>
          <w:rFonts w:ascii="Times New Roman" w:cs="Times New Roman" w:eastAsia="Times New Roman" w:hAnsi="Times New Roman"/>
          <w:sz w:val="19"/>
          <w:szCs w:val="19"/>
          <w:color w:val="231F20"/>
        </w:rPr>
        <w:t>Amendment to Employment Agreement, by and between the Company and Lawrence Lamb, dated as of August 30,</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231F20"/>
        </w:rPr>
        <w:t>2024 (incorporated herein by reference to Exhibit 10.3 to the Company’s Current Report on Form 8-K (File No.</w:t>
      </w:r>
    </w:p>
    <w:p>
      <w:pPr>
        <w:ind w:left="920"/>
        <w:spacing w:after="0"/>
        <w:rPr>
          <w:sz w:val="20"/>
          <w:szCs w:val="20"/>
          <w:color w:val="auto"/>
        </w:rPr>
      </w:pPr>
      <w:r>
        <w:rPr>
          <w:rFonts w:ascii="Times New Roman" w:cs="Times New Roman" w:eastAsia="Times New Roman" w:hAnsi="Times New Roman"/>
          <w:sz w:val="20"/>
          <w:szCs w:val="20"/>
          <w:color w:val="231F20"/>
        </w:rPr>
        <w:t>001-39692), filed with the SEC on September 6, 2024).</w:t>
      </w:r>
    </w:p>
    <w:p>
      <w:pPr>
        <w:spacing w:after="0" w:line="8" w:lineRule="exact"/>
        <w:rPr>
          <w:sz w:val="20"/>
          <w:szCs w:val="20"/>
          <w:color w:val="auto"/>
        </w:rPr>
      </w:pPr>
    </w:p>
    <w:p>
      <w:pPr>
        <w:ind w:left="920" w:hanging="908"/>
        <w:spacing w:after="0" w:line="245" w:lineRule="auto"/>
        <w:tabs>
          <w:tab w:leader="none" w:pos="900" w:val="left"/>
        </w:tabs>
        <w:rPr>
          <w:sz w:val="20"/>
          <w:szCs w:val="20"/>
          <w:color w:val="auto"/>
        </w:rPr>
      </w:pPr>
      <w:r>
        <w:rPr>
          <w:rFonts w:ascii="Times New Roman" w:cs="Times New Roman" w:eastAsia="Times New Roman" w:hAnsi="Times New Roman"/>
          <w:sz w:val="20"/>
          <w:szCs w:val="20"/>
          <w:color w:val="231F20"/>
        </w:rPr>
        <w:t>10.23+</w:t>
      </w:r>
      <w:r>
        <w:rPr>
          <w:sz w:val="20"/>
          <w:szCs w:val="20"/>
          <w:color w:val="auto"/>
        </w:rPr>
        <w:tab/>
      </w:r>
      <w:r>
        <w:rPr>
          <w:rFonts w:ascii="Times New Roman" w:cs="Times New Roman" w:eastAsia="Times New Roman" w:hAnsi="Times New Roman"/>
          <w:sz w:val="20"/>
          <w:szCs w:val="20"/>
          <w:color w:val="231F20"/>
        </w:rPr>
        <w:t>Employment Agreement between the Company and Patrick McCall, dated January 20, 2021 (incorporated herein by reference to Exhibit 10.20 to the Company’s Annual Report on Form 10-K (File No. 001-39692), filed with the SEC on March 17, 2022).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10.24+</w:t>
      </w:r>
      <w:r>
        <w:rPr>
          <w:sz w:val="20"/>
          <w:szCs w:val="20"/>
          <w:color w:val="auto"/>
        </w:rPr>
        <w:tab/>
      </w:r>
      <w:r>
        <w:rPr>
          <w:rFonts w:ascii="Times New Roman" w:cs="Times New Roman" w:eastAsia="Times New Roman" w:hAnsi="Times New Roman"/>
          <w:sz w:val="20"/>
          <w:szCs w:val="20"/>
          <w:color w:val="231F20"/>
        </w:rPr>
        <w:t>Amendment to Employment Agreement, by and between the Company and Patrick McCall, dated as of August 30,</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231F20"/>
        </w:rPr>
        <w:t>2024 (incorporated herein by reference to Exhibit 10.4 to the Company’s Current Report on Form 8-K (File No.</w:t>
      </w:r>
    </w:p>
    <w:p>
      <w:pPr>
        <w:ind w:left="920"/>
        <w:spacing w:after="0"/>
        <w:rPr>
          <w:sz w:val="20"/>
          <w:szCs w:val="20"/>
          <w:color w:val="auto"/>
        </w:rPr>
      </w:pPr>
      <w:r>
        <w:rPr>
          <w:rFonts w:ascii="Times New Roman" w:cs="Times New Roman" w:eastAsia="Times New Roman" w:hAnsi="Times New Roman"/>
          <w:sz w:val="20"/>
          <w:szCs w:val="20"/>
          <w:color w:val="231F20"/>
        </w:rPr>
        <w:t>001-39692), filed with the SEC on September 6, 2024).</w:t>
      </w:r>
    </w:p>
    <w:p>
      <w:pPr>
        <w:spacing w:after="0" w:line="8" w:lineRule="exact"/>
        <w:rPr>
          <w:sz w:val="20"/>
          <w:szCs w:val="20"/>
          <w:color w:val="auto"/>
        </w:rPr>
      </w:pPr>
    </w:p>
    <w:p>
      <w:pPr>
        <w:ind w:left="920" w:right="260" w:hanging="908"/>
        <w:spacing w:after="0" w:line="245" w:lineRule="auto"/>
        <w:tabs>
          <w:tab w:leader="none" w:pos="900" w:val="left"/>
        </w:tabs>
        <w:rPr>
          <w:sz w:val="20"/>
          <w:szCs w:val="20"/>
          <w:color w:val="auto"/>
        </w:rPr>
      </w:pPr>
      <w:r>
        <w:rPr>
          <w:rFonts w:ascii="Times New Roman" w:cs="Times New Roman" w:eastAsia="Times New Roman" w:hAnsi="Times New Roman"/>
          <w:sz w:val="20"/>
          <w:szCs w:val="20"/>
          <w:color w:val="231F20"/>
        </w:rPr>
        <w:t>10.25+</w:t>
      </w:r>
      <w:r>
        <w:rPr>
          <w:sz w:val="20"/>
          <w:szCs w:val="20"/>
          <w:color w:val="auto"/>
        </w:rPr>
        <w:tab/>
      </w:r>
      <w:r>
        <w:rPr>
          <w:rFonts w:ascii="Times New Roman" w:cs="Times New Roman" w:eastAsia="Times New Roman" w:hAnsi="Times New Roman"/>
          <w:sz w:val="20"/>
          <w:szCs w:val="20"/>
          <w:color w:val="231F20"/>
        </w:rPr>
        <w:t>Employment Agreement between the Company and Kate Rochlin, dated March 14, 2024 (incorporated herein by reference to Exhibit 10.23 to the Company’s Annual Report on Form 10-K (File No. 001-39692), filed with the SEC on March 14, 2024).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10.26+</w:t>
      </w:r>
      <w:r>
        <w:rPr>
          <w:sz w:val="20"/>
          <w:szCs w:val="20"/>
          <w:color w:val="auto"/>
        </w:rPr>
        <w:tab/>
      </w:r>
      <w:r>
        <w:rPr>
          <w:rFonts w:ascii="Times New Roman" w:cs="Times New Roman" w:eastAsia="Times New Roman" w:hAnsi="Times New Roman"/>
          <w:sz w:val="20"/>
          <w:szCs w:val="20"/>
          <w:color w:val="231F20"/>
        </w:rPr>
        <w:t>Amendment to Employment Agreement, by and between the Company and Kate Rochlin, dated as of August 30,</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231F20"/>
        </w:rPr>
        <w:t>2024 (incorporated herein by reference to Exhibit 10.5 to the Company’s Current Report on Form 8-K (File No.</w:t>
      </w:r>
    </w:p>
    <w:p>
      <w:pPr>
        <w:ind w:left="920"/>
        <w:spacing w:after="0"/>
        <w:rPr>
          <w:sz w:val="20"/>
          <w:szCs w:val="20"/>
          <w:color w:val="auto"/>
        </w:rPr>
      </w:pPr>
      <w:r>
        <w:rPr>
          <w:rFonts w:ascii="Times New Roman" w:cs="Times New Roman" w:eastAsia="Times New Roman" w:hAnsi="Times New Roman"/>
          <w:sz w:val="20"/>
          <w:szCs w:val="20"/>
          <w:color w:val="231F20"/>
        </w:rPr>
        <w:t>001-39692), filed with the SEC on September 6, 2024).</w:t>
      </w:r>
    </w:p>
    <w:p>
      <w:pPr>
        <w:spacing w:after="0" w:line="8" w:lineRule="exact"/>
        <w:rPr>
          <w:sz w:val="20"/>
          <w:szCs w:val="20"/>
          <w:color w:val="auto"/>
        </w:rPr>
      </w:pPr>
    </w:p>
    <w:p>
      <w:pPr>
        <w:ind w:left="920" w:right="120" w:hanging="908"/>
        <w:spacing w:after="0" w:line="245" w:lineRule="auto"/>
        <w:tabs>
          <w:tab w:leader="none" w:pos="900" w:val="left"/>
        </w:tabs>
        <w:rPr>
          <w:sz w:val="20"/>
          <w:szCs w:val="20"/>
          <w:color w:val="auto"/>
        </w:rPr>
      </w:pPr>
      <w:r>
        <w:rPr>
          <w:rFonts w:ascii="Times New Roman" w:cs="Times New Roman" w:eastAsia="Times New Roman" w:hAnsi="Times New Roman"/>
          <w:sz w:val="20"/>
          <w:szCs w:val="20"/>
          <w:color w:val="231F20"/>
        </w:rPr>
        <w:t>10.27</w:t>
      </w:r>
      <w:r>
        <w:rPr>
          <w:sz w:val="20"/>
          <w:szCs w:val="20"/>
          <w:color w:val="auto"/>
        </w:rPr>
        <w:tab/>
      </w:r>
      <w:r>
        <w:rPr>
          <w:rFonts w:ascii="Times New Roman" w:cs="Times New Roman" w:eastAsia="Times New Roman" w:hAnsi="Times New Roman"/>
          <w:sz w:val="20"/>
          <w:szCs w:val="20"/>
          <w:color w:val="231F20"/>
        </w:rPr>
        <w:t>Lease Agreement (Suite 210) between the Company and Sloss Martin Biscuit, Ltd., dated March 16, 2024 (incorporated herein by reference to Exhibit 10.2 to the Company’s Quarterly Report on Form 10-Q (File No. 001-39692), filed with the SEC on May 9, 2024).</w:t>
      </w:r>
    </w:p>
    <w:p>
      <w:pPr>
        <w:spacing w:after="0" w:line="1" w:lineRule="exact"/>
        <w:rPr>
          <w:sz w:val="20"/>
          <w:szCs w:val="20"/>
          <w:color w:val="auto"/>
        </w:rPr>
      </w:pPr>
    </w:p>
    <w:p>
      <w:pPr>
        <w:ind w:left="920" w:right="140" w:hanging="908"/>
        <w:spacing w:after="0" w:line="247" w:lineRule="auto"/>
        <w:tabs>
          <w:tab w:leader="none" w:pos="900" w:val="left"/>
        </w:tabs>
        <w:rPr>
          <w:sz w:val="20"/>
          <w:szCs w:val="20"/>
          <w:color w:val="auto"/>
        </w:rPr>
      </w:pPr>
      <w:r>
        <w:rPr>
          <w:rFonts w:ascii="Times New Roman" w:cs="Times New Roman" w:eastAsia="Times New Roman" w:hAnsi="Times New Roman"/>
          <w:sz w:val="20"/>
          <w:szCs w:val="20"/>
          <w:color w:val="231F20"/>
        </w:rPr>
        <w:t>10.28</w:t>
      </w:r>
      <w:r>
        <w:rPr>
          <w:sz w:val="20"/>
          <w:szCs w:val="20"/>
          <w:color w:val="auto"/>
        </w:rPr>
        <w:tab/>
      </w:r>
      <w:r>
        <w:rPr>
          <w:rFonts w:ascii="Times New Roman" w:cs="Times New Roman" w:eastAsia="Times New Roman" w:hAnsi="Times New Roman"/>
          <w:sz w:val="20"/>
          <w:szCs w:val="20"/>
          <w:color w:val="231F20"/>
        </w:rPr>
        <w:t>Second Amendment to Lease Agreement between the Company (Suite 230) and Sloss Martin Biscuit, Ltd., dated March 16, 2024 (incorporated herein by reference to Exhibit 10.3 to the Company’s Quarterly Report on Form 10-Q (File No. 001-39692), filed with the SEC on May 9, 2024).</w:t>
      </w:r>
    </w:p>
    <w:p>
      <w:pPr>
        <w:sectPr>
          <w:pgSz w:w="11880" w:h="15480" w:orient="portrait"/>
          <w:cols w:equalWidth="0" w:num="1">
            <w:col w:w="10220"/>
          </w:cols>
          <w:pgMar w:left="820" w:top="765" w:right="840" w:bottom="0" w:gutter="0" w:footer="0" w:header="0"/>
        </w:sect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134</w:t>
      </w:r>
    </w:p>
    <w:p>
      <w:pPr>
        <w:sectPr>
          <w:pgSz w:w="11880" w:h="15480" w:orient="portrait"/>
          <w:cols w:equalWidth="0" w:num="1">
            <w:col w:w="10220"/>
          </w:cols>
          <w:pgMar w:left="820" w:top="765" w:right="840" w:bottom="0" w:gutter="0" w:footer="0" w:header="0"/>
          <w:type w:val="continuous"/>
        </w:sectPr>
      </w:pPr>
    </w:p>
    <w:bookmarkStart w:id="140" w:name="page141"/>
    <w:bookmarkEnd w:id="140"/>
    <w:p>
      <w:pPr>
        <w:ind w:left="920" w:right="160" w:hanging="90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231F20"/>
        </w:rPr>
        <w:t>10.29</w:t>
      </w:r>
      <w:r>
        <w:rPr>
          <w:sz w:val="20"/>
          <w:szCs w:val="20"/>
          <w:color w:val="auto"/>
        </w:rPr>
        <w:tab/>
      </w:r>
      <w:r>
        <w:rPr>
          <w:rFonts w:ascii="Times New Roman" w:cs="Times New Roman" w:eastAsia="Times New Roman" w:hAnsi="Times New Roman"/>
          <w:sz w:val="20"/>
          <w:szCs w:val="20"/>
          <w:color w:val="231F20"/>
        </w:rPr>
        <w:t>Second Amendment to Lease Agreement between the Company (Suite 270) and Sloss Martin Biscuit, Ltd., dated March 16, 2024 (incorporated herein by reference to Exhibit 10.4 to the Company’s Quarterly Report on Form 10-Q (File No. 001-39692), filed with the SEC on 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6492240" cy="3025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a:extLst>
                        <a:ext uri="{28A0092B-C50C-407E-A947-70E740481C1C}"/>
                      </a:extLst>
                    </a:blip>
                    <a:srcRect/>
                    <a:stretch>
                      <a:fillRect/>
                    </a:stretch>
                  </pic:blipFill>
                  <pic:spPr bwMode="auto">
                    <a:xfrm>
                      <a:off x="0" y="0"/>
                      <a:ext cx="6492240" cy="3025775"/>
                    </a:xfrm>
                    <a:prstGeom prst="rect">
                      <a:avLst/>
                    </a:prstGeom>
                    <a:noFill/>
                  </pic:spPr>
                </pic:pic>
              </a:graphicData>
            </a:graphic>
          </wp:anchor>
        </w:drawing>
      </w: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19.1</w:t>
      </w:r>
      <w:r>
        <w:rPr>
          <w:sz w:val="20"/>
          <w:szCs w:val="20"/>
          <w:color w:val="auto"/>
        </w:rPr>
        <w:tab/>
      </w:r>
      <w:r>
        <w:rPr>
          <w:rFonts w:ascii="Times New Roman" w:cs="Times New Roman" w:eastAsia="Times New Roman" w:hAnsi="Times New Roman"/>
          <w:sz w:val="19"/>
          <w:szCs w:val="19"/>
          <w:color w:val="231F20"/>
        </w:rPr>
        <w:t>Insider Trading Policy (incorporated herein by reference to Exhibit 19.1 to the Company’s Annual Report on Form</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231F20"/>
        </w:rPr>
        <w:t>10-K (File No. 001-39692), filed with the SEC on March 13, 2025).</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23.1</w:t>
      </w:r>
      <w:r>
        <w:rPr>
          <w:sz w:val="20"/>
          <w:szCs w:val="20"/>
          <w:color w:val="auto"/>
        </w:rPr>
        <w:tab/>
      </w:r>
      <w:r>
        <w:rPr>
          <w:rFonts w:ascii="Times New Roman" w:cs="Times New Roman" w:eastAsia="Times New Roman" w:hAnsi="Times New Roman"/>
          <w:sz w:val="19"/>
          <w:szCs w:val="19"/>
          <w:color w:val="231F20"/>
        </w:rPr>
        <w:t>Consent of Independent Registered Public Accounting Firm.</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24.1</w:t>
      </w:r>
      <w:r>
        <w:rPr>
          <w:sz w:val="20"/>
          <w:szCs w:val="20"/>
          <w:color w:val="auto"/>
        </w:rPr>
        <w:tab/>
      </w:r>
      <w:r>
        <w:rPr>
          <w:rFonts w:ascii="Times New Roman" w:cs="Times New Roman" w:eastAsia="Times New Roman" w:hAnsi="Times New Roman"/>
          <w:sz w:val="20"/>
          <w:szCs w:val="20"/>
          <w:color w:val="231F20"/>
        </w:rPr>
        <w:t>Power of Attorney (included on the signature page to this report).</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31.1</w:t>
      </w:r>
      <w:r>
        <w:rPr>
          <w:sz w:val="20"/>
          <w:szCs w:val="20"/>
          <w:color w:val="auto"/>
        </w:rPr>
        <w:tab/>
      </w:r>
      <w:r>
        <w:rPr>
          <w:rFonts w:ascii="Times New Roman" w:cs="Times New Roman" w:eastAsia="Times New Roman" w:hAnsi="Times New Roman"/>
          <w:sz w:val="19"/>
          <w:szCs w:val="19"/>
          <w:color w:val="231F20"/>
        </w:rPr>
        <w:t>Certification of Principal Executive Officer Pursuant to Rules 13a-14(a) and 15d-14(a) under the Securities</w:t>
      </w:r>
    </w:p>
    <w:p>
      <w:pPr>
        <w:spacing w:after="0" w:line="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0"/>
          <w:szCs w:val="20"/>
          <w:color w:val="231F20"/>
        </w:rPr>
        <w:t>Exchange Act of 1934, as Adopted Pursuant to Section 302 of the Sarbanes-Oxley Act of 2002.</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31.2</w:t>
      </w:r>
      <w:r>
        <w:rPr>
          <w:sz w:val="20"/>
          <w:szCs w:val="20"/>
          <w:color w:val="auto"/>
        </w:rPr>
        <w:tab/>
      </w:r>
      <w:r>
        <w:rPr>
          <w:rFonts w:ascii="Times New Roman" w:cs="Times New Roman" w:eastAsia="Times New Roman" w:hAnsi="Times New Roman"/>
          <w:sz w:val="19"/>
          <w:szCs w:val="19"/>
          <w:color w:val="231F20"/>
        </w:rPr>
        <w:t>Certification of Principal Financial Officer Pursuant to Rules 13a-14(a) and 15d-14(a) under the Securities</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231F20"/>
        </w:rPr>
        <w:t>Exchange Act of 1934, as Adopted Pursuant to Section 302 of the Sarbanes-Oxley Act of 2002.</w:t>
      </w:r>
    </w:p>
    <w:p>
      <w:pPr>
        <w:spacing w:after="0" w:line="8" w:lineRule="exact"/>
        <w:rPr>
          <w:sz w:val="20"/>
          <w:szCs w:val="20"/>
          <w:color w:val="auto"/>
        </w:rPr>
      </w:pPr>
    </w:p>
    <w:p>
      <w:pPr>
        <w:ind w:left="920" w:right="160" w:hanging="908"/>
        <w:spacing w:after="0" w:line="247" w:lineRule="auto"/>
        <w:tabs>
          <w:tab w:leader="none" w:pos="900" w:val="left"/>
        </w:tabs>
        <w:rPr>
          <w:sz w:val="20"/>
          <w:szCs w:val="20"/>
          <w:color w:val="auto"/>
        </w:rPr>
      </w:pPr>
      <w:r>
        <w:rPr>
          <w:rFonts w:ascii="Times New Roman" w:cs="Times New Roman" w:eastAsia="Times New Roman" w:hAnsi="Times New Roman"/>
          <w:sz w:val="20"/>
          <w:szCs w:val="20"/>
          <w:color w:val="231F20"/>
        </w:rPr>
        <w:t>32.1*</w:t>
      </w:r>
      <w:r>
        <w:rPr>
          <w:sz w:val="20"/>
          <w:szCs w:val="20"/>
          <w:color w:val="auto"/>
        </w:rPr>
        <w:tab/>
      </w:r>
      <w:r>
        <w:rPr>
          <w:rFonts w:ascii="Times New Roman" w:cs="Times New Roman" w:eastAsia="Times New Roman" w:hAnsi="Times New Roman"/>
          <w:sz w:val="20"/>
          <w:szCs w:val="20"/>
          <w:color w:val="231F20"/>
        </w:rPr>
        <w:t>Certification of Principal Executive Officer and Principal Financial Officer Pursuant to 18 U.S.C. Section 1350, as Adopted Pursuant to Section 906 of the Sarbanes-Oxley Act of 2002.</w:t>
      </w:r>
    </w:p>
    <w:p>
      <w:pPr>
        <w:spacing w:after="0" w:line="2" w:lineRule="exact"/>
        <w:rPr>
          <w:sz w:val="20"/>
          <w:szCs w:val="20"/>
          <w:color w:val="auto"/>
        </w:rPr>
      </w:pPr>
    </w:p>
    <w:p>
      <w:pPr>
        <w:ind w:left="920" w:right="20" w:hanging="912"/>
        <w:spacing w:after="0" w:line="245" w:lineRule="auto"/>
        <w:tabs>
          <w:tab w:leader="none" w:pos="9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IN8bio, Inc. Incentive Compensation Recoupment Policy, dated October 23, 2023 (incorporated herein by reference to Exhibit 97 to the Company’s Annual Report on Form 10-K (File No. 001-39692), filed with the SEC on March 14, 2024).</w:t>
      </w:r>
    </w:p>
    <w:tbl>
      <w:tblPr>
        <w:tblLayout w:type="fixed"/>
        <w:tblInd w:w="0" w:type="dxa"/>
        <w:tblCellMar>
          <w:top w:w="0" w:type="dxa"/>
          <w:left w:w="0" w:type="dxa"/>
          <w:bottom w:w="0" w:type="dxa"/>
          <w:right w:w="0" w:type="dxa"/>
        </w:tblCellMar>
      </w:tblPr>
      <w:tr>
        <w:trPr>
          <w:trHeight w:val="209"/>
        </w:trPr>
        <w:tc>
          <w:tcPr>
            <w:tcW w:w="8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231F20"/>
              </w:rPr>
              <w:t>101.INS</w:t>
            </w:r>
          </w:p>
        </w:tc>
        <w:tc>
          <w:tcPr>
            <w:tcW w:w="9220" w:type="dxa"/>
            <w:vAlign w:val="bottom"/>
          </w:tcPr>
          <w:p>
            <w:pPr>
              <w:ind w:left="80"/>
              <w:spacing w:after="0" w:line="209" w:lineRule="exact"/>
              <w:rPr>
                <w:sz w:val="20"/>
                <w:szCs w:val="20"/>
                <w:color w:val="auto"/>
              </w:rPr>
            </w:pPr>
            <w:r>
              <w:rPr>
                <w:rFonts w:ascii="Times New Roman" w:cs="Times New Roman" w:eastAsia="Times New Roman" w:hAnsi="Times New Roman"/>
                <w:sz w:val="20"/>
                <w:szCs w:val="20"/>
                <w:color w:val="231F20"/>
                <w:w w:val="99"/>
              </w:rPr>
              <w:t>Inline XBRL Instance Document - the instance document does not appear in the Interactive Data File as its XBRL</w:t>
            </w:r>
          </w:p>
        </w:tc>
      </w:tr>
      <w:tr>
        <w:trPr>
          <w:trHeight w:val="245"/>
        </w:trPr>
        <w:tc>
          <w:tcPr>
            <w:tcW w:w="840" w:type="dxa"/>
            <w:vAlign w:val="bottom"/>
          </w:tcPr>
          <w:p>
            <w:pPr>
              <w:spacing w:after="0"/>
              <w:rPr>
                <w:sz w:val="21"/>
                <w:szCs w:val="21"/>
                <w:color w:val="auto"/>
              </w:rPr>
            </w:pPr>
          </w:p>
        </w:tc>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tags are embedded within the Inline XBRL document.</w:t>
            </w:r>
          </w:p>
        </w:tc>
      </w:tr>
      <w:tr>
        <w:trPr>
          <w:trHeight w:val="24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101.SCH</w:t>
            </w:r>
          </w:p>
        </w:tc>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Inline XBRL Taxonomy Extension Schema With Embedded Linkbase Documents.</w:t>
            </w:r>
          </w:p>
        </w:tc>
      </w:tr>
      <w:tr>
        <w:trPr>
          <w:trHeight w:val="266"/>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Cover Page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92710</wp:posOffset>
                </wp:positionV>
                <wp:extent cx="77724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7.3pt" to="61.6pt,7.3pt" o:allowincell="f" strokecolor="#231F20" strokeweight="0.5pt"/>
            </w:pict>
          </mc:Fallback>
        </mc:AlternateContent>
      </w:r>
    </w:p>
    <w:p>
      <w:pPr>
        <w:spacing w:after="0" w:line="232" w:lineRule="exact"/>
        <w:rPr>
          <w:sz w:val="20"/>
          <w:szCs w:val="20"/>
          <w:color w:val="auto"/>
        </w:rPr>
      </w:pPr>
    </w:p>
    <w:p>
      <w:pPr>
        <w:jc w:val="both"/>
        <w:ind w:firstLine="8"/>
        <w:spacing w:after="0" w:line="252" w:lineRule="auto"/>
        <w:tabs>
          <w:tab w:leader="none" w:pos="176"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Indicates a management contract or compensatory plan.</w:t>
      </w:r>
    </w:p>
    <w:p>
      <w:pPr>
        <w:spacing w:after="0" w:line="120" w:lineRule="exact"/>
        <w:rPr>
          <w:sz w:val="20"/>
          <w:szCs w:val="20"/>
          <w:color w:val="auto"/>
        </w:rPr>
      </w:pPr>
    </w:p>
    <w:p>
      <w:pPr>
        <w:jc w:val="both"/>
        <w:ind w:firstLine="8"/>
        <w:spacing w:after="0" w:line="258" w:lineRule="auto"/>
        <w:tabs>
          <w:tab w:leader="none" w:pos="197"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Pursuant to Item 601(b)(10)(iv) of Regulation S-K promulgated by the Securities and Exchange Commission, certain portions of this exhibit have been redacted. The Registrant hereby agrees to furnish supplementally to the Securities and Exchange Commission, upon its request, an unredacted copy of this exhibit.</w:t>
      </w:r>
    </w:p>
    <w:p>
      <w:pPr>
        <w:spacing w:after="0" w:line="68" w:lineRule="exact"/>
        <w:rPr>
          <w:sz w:val="20"/>
          <w:szCs w:val="20"/>
          <w:color w:val="auto"/>
        </w:rPr>
      </w:pPr>
    </w:p>
    <w:p>
      <w:pPr>
        <w:ind w:firstLine="8"/>
        <w:spacing w:after="0" w:line="277" w:lineRule="auto"/>
        <w:tabs>
          <w:tab w:leader="none" w:pos="16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of the exhibits and schedules to this Exhibit have been omitted in accordance with Regulation S-K Item 601(a)(5). The Registrant agrees to furnish a copy of all omitted exhibits and schedules to the SEC upon its request.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240"/>
          </w:cols>
          <w:pgMar w:left="820" w:top="76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135</w:t>
      </w:r>
    </w:p>
    <w:p>
      <w:pPr>
        <w:sectPr>
          <w:pgSz w:w="11880" w:h="15480" w:orient="portrait"/>
          <w:cols w:equalWidth="0" w:num="1">
            <w:col w:w="10240"/>
          </w:cols>
          <w:pgMar w:left="820" w:top="765" w:right="820" w:bottom="0"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124" w:lineRule="exact"/>
        <w:rPr>
          <w:sz w:val="20"/>
          <w:szCs w:val="20"/>
          <w:color w:val="auto"/>
        </w:rPr>
      </w:pPr>
    </w:p>
    <w:p>
      <w:pPr>
        <w:jc w:val="both"/>
        <w:ind w:firstLine="403"/>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231F20"/>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180" w:type="dxa"/>
            <w:vAlign w:val="bottom"/>
          </w:tcPr>
          <w:p>
            <w:pPr>
              <w:spacing w:after="0"/>
              <w:rPr>
                <w:sz w:val="23"/>
                <w:szCs w:val="23"/>
                <w:color w:val="auto"/>
              </w:rPr>
            </w:pPr>
          </w:p>
        </w:tc>
        <w:tc>
          <w:tcPr>
            <w:tcW w:w="7060" w:type="dxa"/>
            <w:vAlign w:val="bottom"/>
            <w:gridSpan w:val="2"/>
          </w:tcPr>
          <w:p>
            <w:pPr>
              <w:ind w:left="1880"/>
              <w:spacing w:after="0"/>
              <w:rPr>
                <w:sz w:val="20"/>
                <w:szCs w:val="20"/>
                <w:color w:val="auto"/>
              </w:rPr>
            </w:pPr>
            <w:r>
              <w:rPr>
                <w:rFonts w:ascii="Times New Roman" w:cs="Times New Roman" w:eastAsia="Times New Roman" w:hAnsi="Times New Roman"/>
                <w:sz w:val="20"/>
                <w:szCs w:val="20"/>
                <w:b w:val="1"/>
                <w:bCs w:val="1"/>
                <w:color w:val="231F20"/>
              </w:rPr>
              <w:t>IN8bio, Inc.</w:t>
            </w:r>
          </w:p>
        </w:tc>
      </w:tr>
      <w:tr>
        <w:trPr>
          <w:trHeight w:val="561"/>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231F20"/>
              </w:rPr>
              <w:t>March 12, 2026</w:t>
            </w:r>
          </w:p>
        </w:tc>
        <w:tc>
          <w:tcPr>
            <w:tcW w:w="7060" w:type="dxa"/>
            <w:vAlign w:val="bottom"/>
            <w:gridSpan w:val="2"/>
          </w:tcPr>
          <w:p>
            <w:pPr>
              <w:ind w:left="1880"/>
              <w:spacing w:after="0"/>
              <w:rPr>
                <w:sz w:val="20"/>
                <w:szCs w:val="20"/>
                <w:color w:val="auto"/>
              </w:rPr>
            </w:pPr>
            <w:r>
              <w:rPr>
                <w:rFonts w:ascii="Times New Roman" w:cs="Times New Roman" w:eastAsia="Times New Roman" w:hAnsi="Times New Roman"/>
                <w:sz w:val="20"/>
                <w:szCs w:val="20"/>
                <w:color w:val="231F20"/>
              </w:rPr>
              <w:t>By: /s/ William Ho</w:t>
            </w:r>
          </w:p>
        </w:tc>
      </w:tr>
      <w:tr>
        <w:trPr>
          <w:trHeight w:val="226"/>
        </w:trPr>
        <w:tc>
          <w:tcPr>
            <w:tcW w:w="3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760" w:type="dxa"/>
            <w:vAlign w:val="bottom"/>
            <w:tcBorders>
              <w:top w:val="single" w:sz="8" w:color="231F20"/>
            </w:tcBorders>
          </w:tcPr>
          <w:p>
            <w:pPr>
              <w:spacing w:after="0" w:line="226" w:lineRule="exact"/>
              <w:rPr>
                <w:sz w:val="20"/>
                <w:szCs w:val="20"/>
                <w:color w:val="auto"/>
              </w:rPr>
            </w:pPr>
            <w:r>
              <w:rPr>
                <w:rFonts w:ascii="Times New Roman" w:cs="Times New Roman" w:eastAsia="Times New Roman" w:hAnsi="Times New Roman"/>
                <w:sz w:val="20"/>
                <w:szCs w:val="20"/>
                <w:color w:val="231F20"/>
              </w:rPr>
              <w:t>William Ho</w:t>
            </w:r>
          </w:p>
        </w:tc>
      </w:tr>
      <w:tr>
        <w:trPr>
          <w:trHeight w:val="230"/>
        </w:trPr>
        <w:tc>
          <w:tcPr>
            <w:tcW w:w="3180" w:type="dxa"/>
            <w:vAlign w:val="bottom"/>
          </w:tcPr>
          <w:p>
            <w:pPr>
              <w:spacing w:after="0"/>
              <w:rPr>
                <w:sz w:val="20"/>
                <w:szCs w:val="20"/>
                <w:color w:val="auto"/>
              </w:rPr>
            </w:pPr>
          </w:p>
        </w:tc>
        <w:tc>
          <w:tcPr>
            <w:tcW w:w="7060" w:type="dxa"/>
            <w:vAlign w:val="bottom"/>
            <w:gridSpan w:val="2"/>
          </w:tcPr>
          <w:p>
            <w:pPr>
              <w:ind w:left="2300"/>
              <w:spacing w:after="0"/>
              <w:rPr>
                <w:sz w:val="20"/>
                <w:szCs w:val="20"/>
                <w:color w:val="auto"/>
              </w:rPr>
            </w:pPr>
            <w:r>
              <w:rPr>
                <w:rFonts w:ascii="Times New Roman" w:cs="Times New Roman" w:eastAsia="Times New Roman" w:hAnsi="Times New Roman"/>
                <w:sz w:val="20"/>
                <w:szCs w:val="20"/>
                <w:color w:val="231F20"/>
              </w:rPr>
              <w:t>Chief Executive Officer</w:t>
            </w:r>
          </w:p>
        </w:tc>
      </w:tr>
      <w:tr>
        <w:trPr>
          <w:trHeight w:val="266"/>
        </w:trPr>
        <w:tc>
          <w:tcPr>
            <w:tcW w:w="3180" w:type="dxa"/>
            <w:vAlign w:val="bottom"/>
          </w:tcPr>
          <w:p>
            <w:pPr>
              <w:spacing w:after="0"/>
              <w:rPr>
                <w:sz w:val="23"/>
                <w:szCs w:val="23"/>
                <w:color w:val="auto"/>
              </w:rPr>
            </w:pPr>
          </w:p>
        </w:tc>
        <w:tc>
          <w:tcPr>
            <w:tcW w:w="7060" w:type="dxa"/>
            <w:vAlign w:val="bottom"/>
            <w:gridSpan w:val="2"/>
          </w:tcPr>
          <w:p>
            <w:pPr>
              <w:ind w:left="2300"/>
              <w:spacing w:after="0"/>
              <w:rPr>
                <w:sz w:val="20"/>
                <w:szCs w:val="20"/>
                <w:color w:val="auto"/>
              </w:rPr>
            </w:pPr>
            <w:r>
              <w:rPr>
                <w:rFonts w:ascii="Times New Roman" w:cs="Times New Roman" w:eastAsia="Times New Roman" w:hAnsi="Times New Roman"/>
                <w:sz w:val="20"/>
                <w:szCs w:val="20"/>
                <w:color w:val="231F20"/>
              </w:rPr>
              <w:t>(Principal Executive Officer)</w:t>
            </w:r>
          </w:p>
        </w:tc>
      </w:tr>
      <w:tr>
        <w:trPr>
          <w:trHeight w:val="427"/>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231F20"/>
              </w:rPr>
              <w:t>March 12, 2026</w:t>
            </w:r>
          </w:p>
        </w:tc>
        <w:tc>
          <w:tcPr>
            <w:tcW w:w="7060" w:type="dxa"/>
            <w:vAlign w:val="bottom"/>
            <w:gridSpan w:val="2"/>
          </w:tcPr>
          <w:p>
            <w:pPr>
              <w:ind w:left="1880"/>
              <w:spacing w:after="0"/>
              <w:rPr>
                <w:sz w:val="20"/>
                <w:szCs w:val="20"/>
                <w:color w:val="auto"/>
              </w:rPr>
            </w:pPr>
            <w:r>
              <w:rPr>
                <w:rFonts w:ascii="Times New Roman" w:cs="Times New Roman" w:eastAsia="Times New Roman" w:hAnsi="Times New Roman"/>
                <w:sz w:val="20"/>
                <w:szCs w:val="20"/>
                <w:color w:val="231F20"/>
              </w:rPr>
              <w:t>By: /s/ Patrick McCall</w:t>
            </w:r>
          </w:p>
        </w:tc>
      </w:tr>
      <w:tr>
        <w:trPr>
          <w:trHeight w:val="226"/>
        </w:trPr>
        <w:tc>
          <w:tcPr>
            <w:tcW w:w="3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760" w:type="dxa"/>
            <w:vAlign w:val="bottom"/>
            <w:tcBorders>
              <w:top w:val="single" w:sz="8" w:color="231F20"/>
            </w:tcBorders>
          </w:tcPr>
          <w:p>
            <w:pPr>
              <w:spacing w:after="0" w:line="226" w:lineRule="exact"/>
              <w:rPr>
                <w:sz w:val="20"/>
                <w:szCs w:val="20"/>
                <w:color w:val="auto"/>
              </w:rPr>
            </w:pPr>
            <w:r>
              <w:rPr>
                <w:rFonts w:ascii="Times New Roman" w:cs="Times New Roman" w:eastAsia="Times New Roman" w:hAnsi="Times New Roman"/>
                <w:sz w:val="20"/>
                <w:szCs w:val="20"/>
                <w:color w:val="231F20"/>
              </w:rPr>
              <w:t>Patrick McCall</w:t>
            </w:r>
          </w:p>
        </w:tc>
      </w:tr>
      <w:tr>
        <w:trPr>
          <w:trHeight w:val="230"/>
        </w:trPr>
        <w:tc>
          <w:tcPr>
            <w:tcW w:w="3180" w:type="dxa"/>
            <w:vAlign w:val="bottom"/>
          </w:tcPr>
          <w:p>
            <w:pPr>
              <w:spacing w:after="0"/>
              <w:rPr>
                <w:sz w:val="20"/>
                <w:szCs w:val="20"/>
                <w:color w:val="auto"/>
              </w:rPr>
            </w:pPr>
          </w:p>
        </w:tc>
        <w:tc>
          <w:tcPr>
            <w:tcW w:w="7060" w:type="dxa"/>
            <w:vAlign w:val="bottom"/>
            <w:gridSpan w:val="2"/>
          </w:tcPr>
          <w:p>
            <w:pPr>
              <w:ind w:left="2300"/>
              <w:spacing w:after="0"/>
              <w:rPr>
                <w:sz w:val="20"/>
                <w:szCs w:val="20"/>
                <w:color w:val="auto"/>
              </w:rPr>
            </w:pPr>
            <w:r>
              <w:rPr>
                <w:rFonts w:ascii="Times New Roman" w:cs="Times New Roman" w:eastAsia="Times New Roman" w:hAnsi="Times New Roman"/>
                <w:sz w:val="20"/>
                <w:szCs w:val="20"/>
                <w:color w:val="231F20"/>
              </w:rPr>
              <w:t>Chief Financial Officer and Secretary</w:t>
            </w:r>
          </w:p>
        </w:tc>
      </w:tr>
      <w:tr>
        <w:trPr>
          <w:trHeight w:val="266"/>
        </w:trPr>
        <w:tc>
          <w:tcPr>
            <w:tcW w:w="3180" w:type="dxa"/>
            <w:vAlign w:val="bottom"/>
          </w:tcPr>
          <w:p>
            <w:pPr>
              <w:spacing w:after="0"/>
              <w:rPr>
                <w:sz w:val="23"/>
                <w:szCs w:val="23"/>
                <w:color w:val="auto"/>
              </w:rPr>
            </w:pPr>
          </w:p>
        </w:tc>
        <w:tc>
          <w:tcPr>
            <w:tcW w:w="7060" w:type="dxa"/>
            <w:vAlign w:val="bottom"/>
            <w:gridSpan w:val="2"/>
          </w:tcPr>
          <w:p>
            <w:pPr>
              <w:ind w:left="2300"/>
              <w:spacing w:after="0"/>
              <w:rPr>
                <w:sz w:val="20"/>
                <w:szCs w:val="20"/>
                <w:color w:val="auto"/>
              </w:rPr>
            </w:pPr>
            <w:r>
              <w:rPr>
                <w:rFonts w:ascii="Times New Roman" w:cs="Times New Roman" w:eastAsia="Times New Roman" w:hAnsi="Times New Roman"/>
                <w:sz w:val="20"/>
                <w:szCs w:val="20"/>
                <w:color w:val="231F20"/>
              </w:rPr>
              <w:t>(Principal Financial and Accounting Officer)</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124"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231F20"/>
        </w:rPr>
        <w:t>Each person whose individual signature appears below hereby authorizes and appoints William Ho and Patrick McCall,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82" w:lineRule="exact"/>
        <w:rPr>
          <w:sz w:val="20"/>
          <w:szCs w:val="20"/>
          <w:color w:val="auto"/>
        </w:rPr>
      </w:pPr>
    </w:p>
    <w:p>
      <w:pPr>
        <w:jc w:val="both"/>
        <w:ind w:firstLine="403"/>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report has been signed below by the following persons on behalf of the Registrant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Name</w:t>
            </w:r>
          </w:p>
        </w:tc>
        <w:tc>
          <w:tcPr>
            <w:tcW w:w="100" w:type="dxa"/>
            <w:vAlign w:val="bottom"/>
          </w:tcPr>
          <w:p>
            <w:pPr>
              <w:spacing w:after="0"/>
              <w:rPr>
                <w:sz w:val="17"/>
                <w:szCs w:val="17"/>
                <w:color w:val="auto"/>
              </w:rPr>
            </w:pPr>
          </w:p>
        </w:tc>
        <w:tc>
          <w:tcPr>
            <w:tcW w:w="4440" w:type="dxa"/>
            <w:vAlign w:val="bottom"/>
            <w:tcBorders>
              <w:bottom w:val="single" w:sz="8" w:color="231F20"/>
            </w:tcBorders>
          </w:tcPr>
          <w:p>
            <w:pPr>
              <w:ind w:left="2060"/>
              <w:spacing w:after="0"/>
              <w:rPr>
                <w:sz w:val="20"/>
                <w:szCs w:val="20"/>
                <w:color w:val="auto"/>
              </w:rPr>
            </w:pPr>
            <w:r>
              <w:rPr>
                <w:rFonts w:ascii="Times New Roman" w:cs="Times New Roman" w:eastAsia="Times New Roman" w:hAnsi="Times New Roman"/>
                <w:sz w:val="16"/>
                <w:szCs w:val="16"/>
                <w:b w:val="1"/>
                <w:bCs w:val="1"/>
                <w:color w:val="231F20"/>
              </w:rPr>
              <w:t>Title</w:t>
            </w:r>
          </w:p>
        </w:tc>
        <w:tc>
          <w:tcPr>
            <w:tcW w:w="100" w:type="dxa"/>
            <w:vAlign w:val="bottom"/>
          </w:tcPr>
          <w:p>
            <w:pPr>
              <w:spacing w:after="0"/>
              <w:rPr>
                <w:sz w:val="17"/>
                <w:szCs w:val="17"/>
                <w:color w:val="auto"/>
              </w:rPr>
            </w:pPr>
          </w:p>
        </w:tc>
        <w:tc>
          <w:tcPr>
            <w:tcW w:w="2220" w:type="dxa"/>
            <w:vAlign w:val="bottom"/>
            <w:tcBorders>
              <w:bottom w:val="single" w:sz="8" w:color="231F20"/>
            </w:tcBorders>
          </w:tcPr>
          <w:p>
            <w:pPr>
              <w:ind w:left="940"/>
              <w:spacing w:after="0"/>
              <w:rPr>
                <w:sz w:val="20"/>
                <w:szCs w:val="20"/>
                <w:color w:val="auto"/>
              </w:rPr>
            </w:pPr>
            <w:r>
              <w:rPr>
                <w:rFonts w:ascii="Times New Roman" w:cs="Times New Roman" w:eastAsia="Times New Roman" w:hAnsi="Times New Roman"/>
                <w:sz w:val="16"/>
                <w:szCs w:val="16"/>
                <w:b w:val="1"/>
                <w:bCs w:val="1"/>
                <w:color w:val="231F20"/>
              </w:rPr>
              <w:t>Date</w:t>
            </w:r>
          </w:p>
        </w:tc>
      </w:tr>
      <w:tr>
        <w:trPr>
          <w:trHeight w:val="318"/>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Chief Executive Officer and Director</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50"/>
        </w:trPr>
        <w:tc>
          <w:tcPr>
            <w:tcW w:w="3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William Ho</w:t>
            </w:r>
          </w:p>
        </w:tc>
        <w:tc>
          <w:tcPr>
            <w:tcW w:w="100" w:type="dxa"/>
            <w:vAlign w:val="bottom"/>
          </w:tcPr>
          <w:p>
            <w:pPr>
              <w:spacing w:after="0"/>
              <w:rPr>
                <w:sz w:val="21"/>
                <w:szCs w:val="21"/>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(Principal Executive Officer)</w:t>
            </w:r>
          </w:p>
        </w:tc>
        <w:tc>
          <w:tcPr>
            <w:tcW w:w="10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March 12, 2026</w:t>
            </w:r>
          </w:p>
        </w:tc>
      </w:tr>
      <w:tr>
        <w:trPr>
          <w:trHeight w:val="264"/>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William Ho</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349"/>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Chief Financial Officer and Secretary</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50"/>
        </w:trPr>
        <w:tc>
          <w:tcPr>
            <w:tcW w:w="3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Patrick McCall</w:t>
            </w:r>
          </w:p>
        </w:tc>
        <w:tc>
          <w:tcPr>
            <w:tcW w:w="100" w:type="dxa"/>
            <w:vAlign w:val="bottom"/>
          </w:tcPr>
          <w:p>
            <w:pPr>
              <w:spacing w:after="0"/>
              <w:rPr>
                <w:sz w:val="21"/>
                <w:szCs w:val="21"/>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(Principal Financial and Accounting Officer)</w:t>
            </w:r>
          </w:p>
        </w:tc>
        <w:tc>
          <w:tcPr>
            <w:tcW w:w="10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March 12, 2026</w:t>
            </w:r>
          </w:p>
        </w:tc>
      </w:tr>
      <w:tr>
        <w:trPr>
          <w:trHeight w:val="264"/>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Patrick McCall</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369"/>
        </w:trPr>
        <w:tc>
          <w:tcPr>
            <w:tcW w:w="3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Jeremy R. Graff</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Interim Chairman of the Board of Directors</w:t>
            </w:r>
          </w:p>
        </w:tc>
        <w:tc>
          <w:tcPr>
            <w:tcW w:w="1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March 12, 2026</w:t>
            </w:r>
          </w:p>
        </w:tc>
      </w:tr>
      <w:tr>
        <w:trPr>
          <w:trHeight w:val="264"/>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Jeremy R. Graff</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369"/>
        </w:trPr>
        <w:tc>
          <w:tcPr>
            <w:tcW w:w="3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Peter Brandt</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March 12, 2026</w:t>
            </w:r>
          </w:p>
        </w:tc>
      </w:tr>
      <w:tr>
        <w:trPr>
          <w:trHeight w:val="264"/>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Peter Brandt</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369"/>
        </w:trPr>
        <w:tc>
          <w:tcPr>
            <w:tcW w:w="3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Corinne Epperly</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March 12, 2026</w:t>
            </w:r>
          </w:p>
        </w:tc>
      </w:tr>
      <w:tr>
        <w:trPr>
          <w:trHeight w:val="264"/>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Corinne Epperly</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369"/>
        </w:trPr>
        <w:tc>
          <w:tcPr>
            <w:tcW w:w="3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Emily Fairbairn</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March 12, 2026</w:t>
            </w:r>
          </w:p>
        </w:tc>
      </w:tr>
      <w:tr>
        <w:trPr>
          <w:trHeight w:val="259"/>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Emily Fairbairn</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369"/>
        </w:trPr>
        <w:tc>
          <w:tcPr>
            <w:tcW w:w="3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Luba Greenwood</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March 12, 2026</w:t>
            </w:r>
          </w:p>
        </w:tc>
      </w:tr>
      <w:tr>
        <w:trPr>
          <w:trHeight w:val="259"/>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Luba Greenwood</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r>
    </w:tbl>
    <w:p>
      <w:pPr>
        <w:sectPr>
          <w:pgSz w:w="11880" w:h="15480" w:orient="portrait"/>
          <w:cols w:equalWidth="0" w:num="1">
            <w:col w:w="10240"/>
          </w:cols>
          <w:pgMar w:left="820" w:top="746" w:right="82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231F20"/>
        </w:rPr>
        <w:t>EXECUTIVE OFFICERS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William Ho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Chief Executive Officer and Co-Founder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Kate Rochlin, Ph.D.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President and 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Patrick McCall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Chief Financial Officer and Corporate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Lawrence Lamb, Ph.D.</w:t>
      </w:r>
    </w:p>
    <w:p>
      <w:pPr>
        <w:spacing w:after="0" w:line="2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i w:val="1"/>
          <w:iCs w:val="1"/>
          <w:color w:val="231F20"/>
        </w:rPr>
        <w:t>Executive Vice President, Chief Scientific Officer and Co-Founder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Jeremy Graff</w:t>
      </w:r>
    </w:p>
    <w:p>
      <w:pPr>
        <w:spacing w:after="0" w:line="28" w:lineRule="exact"/>
        <w:rPr>
          <w:sz w:val="20"/>
          <w:szCs w:val="20"/>
          <w:color w:val="auto"/>
        </w:rPr>
      </w:pPr>
    </w:p>
    <w:p>
      <w:pPr>
        <w:ind w:right="1000"/>
        <w:spacing w:after="0" w:line="248" w:lineRule="auto"/>
        <w:rPr>
          <w:sz w:val="20"/>
          <w:szCs w:val="20"/>
          <w:color w:val="auto"/>
        </w:rPr>
      </w:pPr>
      <w:r>
        <w:rPr>
          <w:rFonts w:ascii="Times New Roman" w:cs="Times New Roman" w:eastAsia="Times New Roman" w:hAnsi="Times New Roman"/>
          <w:sz w:val="20"/>
          <w:szCs w:val="20"/>
          <w:i w:val="1"/>
          <w:iCs w:val="1"/>
          <w:color w:val="231F20"/>
        </w:rPr>
        <w:t>President and Chief Development Officer Allarity Therapeutics,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Peter Brandt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Former Chair of the Board</w:t>
      </w:r>
    </w:p>
    <w:p>
      <w:pPr>
        <w:spacing w:after="0"/>
        <w:rPr>
          <w:sz w:val="20"/>
          <w:szCs w:val="20"/>
          <w:color w:val="auto"/>
        </w:rPr>
      </w:pPr>
      <w:r>
        <w:rPr>
          <w:rFonts w:ascii="Times New Roman" w:cs="Times New Roman" w:eastAsia="Times New Roman" w:hAnsi="Times New Roman"/>
          <w:sz w:val="20"/>
          <w:szCs w:val="20"/>
          <w:i w:val="1"/>
          <w:iCs w:val="1"/>
          <w:color w:val="231F20"/>
        </w:rPr>
        <w:t>Rexahn Pharmaceuticals,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Corrine Epperly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Board Member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Emily Wang Fairbairn</w:t>
      </w:r>
    </w:p>
    <w:p>
      <w:pPr>
        <w:spacing w:after="0" w:line="28"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20"/>
          <w:szCs w:val="20"/>
          <w:i w:val="1"/>
          <w:iCs w:val="1"/>
          <w:color w:val="231F20"/>
        </w:rPr>
        <w:t>Co-Founder and Former Chief Executive Officer Ascend Capital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Luba Greenwood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Entrepreneur-in-Residence, PureTech Health plc</w:t>
      </w:r>
    </w:p>
    <w:p>
      <w:pPr>
        <w:spacing w:after="0"/>
        <w:rPr>
          <w:sz w:val="20"/>
          <w:szCs w:val="20"/>
          <w:color w:val="auto"/>
        </w:rPr>
      </w:pPr>
      <w:r>
        <w:rPr>
          <w:rFonts w:ascii="Times New Roman" w:cs="Times New Roman" w:eastAsia="Times New Roman" w:hAnsi="Times New Roman"/>
          <w:sz w:val="20"/>
          <w:szCs w:val="20"/>
          <w:i w:val="1"/>
          <w:iCs w:val="1"/>
          <w:color w:val="231F20"/>
        </w:rPr>
        <w:t>Chief Executive Officer and Co-Founder, Gallop</w:t>
      </w:r>
    </w:p>
    <w:p>
      <w:pPr>
        <w:spacing w:after="0"/>
        <w:rPr>
          <w:sz w:val="20"/>
          <w:szCs w:val="20"/>
          <w:color w:val="auto"/>
        </w:rPr>
      </w:pPr>
      <w:r>
        <w:rPr>
          <w:rFonts w:ascii="Times New Roman" w:cs="Times New Roman" w:eastAsia="Times New Roman" w:hAnsi="Times New Roman"/>
          <w:sz w:val="20"/>
          <w:szCs w:val="20"/>
          <w:i w:val="1"/>
          <w:iCs w:val="1"/>
          <w:color w:val="231F20"/>
        </w:rPr>
        <w:t>Oncology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William Ho</w:t>
      </w:r>
    </w:p>
    <w:p>
      <w:pPr>
        <w:spacing w:after="0" w:line="28" w:lineRule="exact"/>
        <w:rPr>
          <w:sz w:val="20"/>
          <w:szCs w:val="20"/>
          <w:color w:val="auto"/>
        </w:rPr>
      </w:pPr>
    </w:p>
    <w:p>
      <w:pPr>
        <w:ind w:right="1060"/>
        <w:spacing w:after="0" w:line="245" w:lineRule="auto"/>
        <w:rPr>
          <w:sz w:val="20"/>
          <w:szCs w:val="20"/>
          <w:color w:val="auto"/>
        </w:rPr>
      </w:pPr>
      <w:r>
        <w:rPr>
          <w:rFonts w:ascii="Times New Roman" w:cs="Times New Roman" w:eastAsia="Times New Roman" w:hAnsi="Times New Roman"/>
          <w:sz w:val="20"/>
          <w:szCs w:val="20"/>
          <w:i w:val="1"/>
          <w:iCs w:val="1"/>
          <w:color w:val="231F20"/>
        </w:rPr>
        <w:t>Chief Executive Officer and Co-Founder IN8bio,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231F20"/>
        </w:rPr>
        <w:t>LISTING</w:t>
      </w:r>
    </w:p>
    <w:p>
      <w:pPr>
        <w:spacing w:after="0" w:line="124"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20"/>
          <w:szCs w:val="20"/>
          <w:color w:val="231F20"/>
        </w:rPr>
        <w:t>Our common stock is listed on Nasdaq under the ticker symbols “INAB.”</w:t>
      </w:r>
    </w:p>
    <w:p>
      <w:pPr>
        <w:spacing w:after="0" w:line="280" w:lineRule="exact"/>
        <w:rPr>
          <w:sz w:val="20"/>
          <w:szCs w:val="20"/>
          <w:color w:val="auto"/>
        </w:rPr>
      </w:pPr>
    </w:p>
    <w:p>
      <w:pPr>
        <w:ind w:right="600"/>
        <w:spacing w:after="0" w:line="332" w:lineRule="auto"/>
        <w:rPr>
          <w:sz w:val="20"/>
          <w:szCs w:val="20"/>
          <w:color w:val="auto"/>
        </w:rPr>
      </w:pPr>
      <w:r>
        <w:rPr>
          <w:rFonts w:ascii="Times New Roman" w:cs="Times New Roman" w:eastAsia="Times New Roman" w:hAnsi="Times New Roman"/>
          <w:sz w:val="19"/>
          <w:szCs w:val="19"/>
          <w:b w:val="1"/>
          <w:bCs w:val="1"/>
          <w:color w:val="231F20"/>
        </w:rPr>
        <w:t>TRANSFER AGENT AND REGISTRAR Computershare Investor Services</w:t>
      </w:r>
    </w:p>
    <w:p>
      <w:pPr>
        <w:spacing w:after="0" w:line="1" w:lineRule="exact"/>
        <w:rPr>
          <w:sz w:val="20"/>
          <w:szCs w:val="20"/>
          <w:color w:val="auto"/>
        </w:rPr>
      </w:pPr>
    </w:p>
    <w:p>
      <w:pPr>
        <w:ind w:right="1320"/>
        <w:spacing w:after="0" w:line="242" w:lineRule="auto"/>
        <w:tabs>
          <w:tab w:leader="none" w:pos="353" w:val="left"/>
        </w:tabs>
        <w:numPr>
          <w:ilvl w:val="0"/>
          <w:numId w:val="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South 4</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9"/>
          <w:szCs w:val="19"/>
          <w:color w:val="231F20"/>
        </w:rPr>
        <w:t xml:space="preserve"> Street, Suite 1600 Louisville, KY 40202 </w:t>
      </w:r>
      <w:r>
        <w:rPr>
          <w:rFonts w:ascii="Times New Roman" w:cs="Times New Roman" w:eastAsia="Times New Roman" w:hAnsi="Times New Roman"/>
          <w:sz w:val="19"/>
          <w:szCs w:val="19"/>
          <w:b w:val="1"/>
          <w:bCs w:val="1"/>
          <w:color w:val="231F20"/>
        </w:rPr>
        <w:t>www.computershare.com webqueries@computershare.com</w:t>
      </w:r>
    </w:p>
    <w:p>
      <w:pPr>
        <w:spacing w:after="0" w:line="306"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20"/>
          <w:szCs w:val="20"/>
          <w:b w:val="1"/>
          <w:bCs w:val="1"/>
          <w:color w:val="231F20"/>
        </w:rPr>
        <w:t>INDEPENDENT REGISTERED PUBLIC ACCOUNTING FIRM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CohnReznick LLP</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LEGAL COUNSEL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Cooley LLP</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ANNUAL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May 7, 2026, at 9:00 a.m. Eastern Time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 xml:space="preserve">Virtual Meeting Only: </w:t>
      </w:r>
      <w:r>
        <w:rPr>
          <w:rFonts w:ascii="Times New Roman" w:cs="Times New Roman" w:eastAsia="Times New Roman" w:hAnsi="Times New Roman"/>
          <w:sz w:val="19"/>
          <w:szCs w:val="19"/>
          <w:b w:val="1"/>
          <w:bCs w:val="1"/>
          <w:color w:val="231F20"/>
        </w:rPr>
        <w:t>www.proxydocs.com/INAB</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FORM 10-K</w:t>
      </w:r>
    </w:p>
    <w:p>
      <w:pPr>
        <w:spacing w:after="0" w:line="12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231F20"/>
        </w:rPr>
        <w:t>A copy of our Form 10-K filed with the Securities and Exchange Commission (SEC) will be made available to all stockholders at no charge.</w:t>
      </w:r>
    </w:p>
    <w:p>
      <w:pPr>
        <w:spacing w:after="0" w:line="1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231F20"/>
        </w:rPr>
        <w:t xml:space="preserve">The Form 10 -K also can be accessed through the SEC website at </w:t>
      </w:r>
      <w:r>
        <w:rPr>
          <w:rFonts w:ascii="Times New Roman" w:cs="Times New Roman" w:eastAsia="Times New Roman" w:hAnsi="Times New Roman"/>
          <w:sz w:val="20"/>
          <w:szCs w:val="20"/>
          <w:b w:val="1"/>
          <w:bCs w:val="1"/>
          <w:color w:val="231F20"/>
        </w:rPr>
        <w:t>www.sec.gov</w:t>
      </w:r>
      <w:r>
        <w:rPr>
          <w:rFonts w:ascii="Times New Roman" w:cs="Times New Roman" w:eastAsia="Times New Roman" w:hAnsi="Times New Roman"/>
          <w:sz w:val="20"/>
          <w:szCs w:val="20"/>
          <w:color w:val="231F20"/>
        </w:rPr>
        <w:t xml:space="preserve">, or through our Investor website at </w:t>
      </w:r>
      <w:r>
        <w:rPr>
          <w:rFonts w:ascii="Times New Roman" w:cs="Times New Roman" w:eastAsia="Times New Roman" w:hAnsi="Times New Roman"/>
          <w:sz w:val="20"/>
          <w:szCs w:val="20"/>
          <w:b w:val="1"/>
          <w:bCs w:val="1"/>
          <w:color w:val="231F20"/>
        </w:rPr>
        <w:t>investors.in8bio.com</w:t>
      </w:r>
      <w:r>
        <w:rPr>
          <w:rFonts w:ascii="Times New Roman" w:cs="Times New Roman" w:eastAsia="Times New Roman" w:hAnsi="Times New Roman"/>
          <w:sz w:val="20"/>
          <w:szCs w:val="20"/>
          <w:color w:val="231F20"/>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receive a copy by mail please contact: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IN8bio, Inc.</w:t>
      </w:r>
    </w:p>
    <w:p>
      <w:pPr>
        <w:ind w:right="1980"/>
        <w:spacing w:after="0" w:line="227" w:lineRule="auto"/>
        <w:tabs>
          <w:tab w:leader="none" w:pos="353"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w:t>
      </w:r>
      <w:r>
        <w:rPr>
          <w:rFonts w:ascii="Times New Roman" w:cs="Times New Roman" w:eastAsia="Times New Roman" w:hAnsi="Times New Roman"/>
          <w:sz w:val="25"/>
          <w:szCs w:val="25"/>
          <w:color w:val="231F20"/>
          <w:vertAlign w:val="superscript"/>
        </w:rPr>
        <w:t>th</w:t>
      </w:r>
      <w:r>
        <w:rPr>
          <w:rFonts w:ascii="Times New Roman" w:cs="Times New Roman" w:eastAsia="Times New Roman" w:hAnsi="Times New Roman"/>
          <w:sz w:val="20"/>
          <w:szCs w:val="20"/>
          <w:color w:val="231F20"/>
        </w:rPr>
        <w:t xml:space="preserve"> Avenue, Suite 5330 New York, NY 10118 </w:t>
      </w:r>
      <w:r>
        <w:rPr>
          <w:rFonts w:ascii="Times New Roman" w:cs="Times New Roman" w:eastAsia="Times New Roman" w:hAnsi="Times New Roman"/>
          <w:sz w:val="20"/>
          <w:szCs w:val="20"/>
          <w:b w:val="1"/>
          <w:bCs w:val="1"/>
          <w:color w:val="231F20"/>
        </w:rPr>
        <w:t>info@in8bio.com</w:t>
      </w:r>
    </w:p>
    <w:p>
      <w:pPr>
        <w:sectPr>
          <w:pgSz w:w="11880" w:h="15480" w:orient="portrait"/>
          <w:cols w:equalWidth="0" w:num="2">
            <w:col w:w="4320" w:space="720"/>
            <w:col w:w="4160"/>
          </w:cols>
          <w:pgMar w:left="1260" w:top="1237" w:right="1420" w:bottom="1440" w:gutter="0" w:footer="0" w:header="0"/>
        </w:sectPr>
      </w:pPr>
    </w:p>
    <w:bookmarkStart w:id="143" w:name="page144"/>
    <w:bookmarkEnd w:id="14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300"/>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2"/>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2"/>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decimal"/>
      <w:start w:val="12"/>
    </w:lvl>
  </w:abstractNum>
  <w:abstractNum w:abstractNumId="45">
    <w:nsid w:val="32FFF902"/>
    <w:multiLevelType w:val="hybridMultilevel"/>
    <w:lvl w:ilvl="0">
      <w:lvlJc w:val="left"/>
      <w:lvlText w:val="%1"/>
      <w:numFmt w:val="decimal"/>
      <w:start w:val="97"/>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462"/>
    </w:lvl>
  </w:abstractNum>
  <w:abstractNum w:abstractNumId="50">
    <w:nsid w:val="1BA026FA"/>
    <w:multiLevelType w:val="hybridMultilevel"/>
    <w:lvl w:ilvl="0">
      <w:lvlJc w:val="left"/>
      <w:lvlText w:val="%1"/>
      <w:numFmt w:val="decimal"/>
      <w:start w:val="3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2026-03-26T15:40:14Z</dcterms:created>
  <dcterms:modified xsi:type="dcterms:W3CDTF">2026-03-26T15:40:14Z</dcterms:modified>
</cp:coreProperties>
</file>