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193040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233680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Pursuant to Section 13 or 15(d)</w:t>
      </w: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of the Securities Exchange Act of 1934</w:t>
      </w:r>
    </w:p>
    <w:p>
      <w:pPr>
        <w:spacing w:after="0" w:line="124"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February 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210820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43"/>
          <w:szCs w:val="43"/>
          <w:b w:val="1"/>
          <w:bCs w:val="1"/>
          <w:color w:val="auto"/>
        </w:rPr>
        <w:t>IN8bio, Inc.</w:t>
      </w:r>
    </w:p>
    <w:p>
      <w:pPr>
        <w:spacing w:after="0" w:line="5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201930</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sectPr>
      </w:pPr>
    </w:p>
    <w:p>
      <w:pPr>
        <w:spacing w:after="0" w:line="200" w:lineRule="exact"/>
        <w:rPr>
          <w:sz w:val="24"/>
          <w:szCs w:val="24"/>
          <w:color w:val="auto"/>
        </w:rPr>
      </w:pPr>
    </w:p>
    <w:p>
      <w:pPr>
        <w:spacing w:after="0" w:line="352" w:lineRule="exact"/>
        <w:rPr>
          <w:sz w:val="24"/>
          <w:szCs w:val="24"/>
          <w:color w:val="auto"/>
        </w:rPr>
      </w:pPr>
    </w:p>
    <w:p>
      <w:pPr>
        <w:ind w:left="1504"/>
        <w:spacing w:after="0"/>
        <w:rPr>
          <w:sz w:val="20"/>
          <w:szCs w:val="20"/>
          <w:color w:val="auto"/>
        </w:rPr>
      </w:pPr>
      <w:r>
        <w:rPr>
          <w:rFonts w:ascii="Times New Roman" w:cs="Times New Roman" w:eastAsia="Times New Roman" w:hAnsi="Times New Roman"/>
          <w:sz w:val="17"/>
          <w:szCs w:val="17"/>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jc w:val="center"/>
        <w:ind w:right="2100"/>
        <w:spacing w:after="0"/>
        <w:rPr>
          <w:sz w:val="20"/>
          <w:szCs w:val="20"/>
          <w:color w:val="auto"/>
        </w:rPr>
      </w:pPr>
      <w:r>
        <w:rPr>
          <w:rFonts w:ascii="Times New Roman" w:cs="Times New Roman" w:eastAsia="Times New Roman" w:hAnsi="Times New Roman"/>
          <w:sz w:val="17"/>
          <w:szCs w:val="17"/>
          <w:b w:val="1"/>
          <w:bCs w:val="1"/>
          <w:color w:val="auto"/>
        </w:rPr>
        <w:t>001-39692</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82-5462585</w:t>
      </w:r>
    </w:p>
    <w:p>
      <w:pPr>
        <w:spacing w:after="0" w:line="24" w:lineRule="exact"/>
        <w:rPr>
          <w:sz w:val="24"/>
          <w:szCs w:val="24"/>
          <w:color w:val="auto"/>
        </w:rPr>
      </w:pPr>
    </w:p>
    <w:p>
      <w:pPr>
        <w:sectPr>
          <w:pgSz w:w="11900" w:h="16838" w:orient="portrait"/>
          <w:cols w:equalWidth="0" w:num="3">
            <w:col w:w="4504" w:space="720"/>
            <w:col w:w="2880" w:space="720"/>
            <w:col w:w="2200"/>
          </w:cols>
          <w:pgMar w:left="436" w:top="443" w:right="439" w:bottom="1440" w:gutter="0" w:footer="0" w:header="0"/>
          <w:type w:val="continuous"/>
        </w:sectPr>
      </w:pP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p>
      <w:pPr>
        <w:jc w:val="center"/>
        <w:ind w:right="736"/>
        <w:spacing w:after="0"/>
        <w:rPr>
          <w:sz w:val="20"/>
          <w:szCs w:val="20"/>
          <w:color w:val="auto"/>
        </w:rPr>
      </w:pPr>
      <w:r>
        <w:rPr>
          <w:rFonts w:ascii="Times New Roman" w:cs="Times New Roman" w:eastAsia="Times New Roman" w:hAnsi="Times New Roman"/>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Times New Roman" w:cs="Times New Roman" w:eastAsia="Times New Roman" w:hAnsi="Times New Roman"/>
          <w:sz w:val="14"/>
          <w:szCs w:val="14"/>
          <w:b w:val="1"/>
          <w:bCs w:val="1"/>
          <w:color w:val="auto"/>
        </w:rPr>
        <w:t>(Commission</w:t>
      </w:r>
    </w:p>
    <w:p>
      <w:pPr>
        <w:spacing w:after="0"/>
        <w:rPr>
          <w:sz w:val="20"/>
          <w:szCs w:val="20"/>
          <w:color w:val="auto"/>
        </w:rPr>
      </w:pPr>
      <w:r>
        <w:rPr>
          <w:rFonts w:ascii="Times New Roman" w:cs="Times New Roman" w:eastAsia="Times New Roman" w:hAnsi="Times New Roman"/>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(IRS Employer</w:t>
      </w:r>
    </w:p>
    <w:p>
      <w:pPr>
        <w:jc w:val="center"/>
        <w:ind w:right="1200"/>
        <w:spacing w:after="0"/>
        <w:rPr>
          <w:sz w:val="20"/>
          <w:szCs w:val="20"/>
          <w:color w:val="auto"/>
        </w:rPr>
      </w:pPr>
      <w:r>
        <w:rPr>
          <w:rFonts w:ascii="Times New Roman" w:cs="Times New Roman" w:eastAsia="Times New Roman" w:hAnsi="Times New Roman"/>
          <w:sz w:val="14"/>
          <w:szCs w:val="14"/>
          <w:b w:val="1"/>
          <w:bCs w:val="1"/>
          <w:color w:val="auto"/>
        </w:rPr>
        <w:t>Identification No.)</w:t>
      </w:r>
    </w:p>
    <w:p>
      <w:pPr>
        <w:spacing w:after="0" w:line="188" w:lineRule="exact"/>
        <w:rPr>
          <w:sz w:val="24"/>
          <w:szCs w:val="24"/>
          <w:color w:val="auto"/>
        </w:rPr>
      </w:pPr>
    </w:p>
    <w:p>
      <w:pPr>
        <w:sectPr>
          <w:pgSz w:w="11900" w:h="16838" w:orient="portrait"/>
          <w:cols w:equalWidth="0" w:num="3">
            <w:col w:w="4484" w:space="720"/>
            <w:col w:w="2760" w:space="720"/>
            <w:col w:w="2340"/>
          </w:cols>
          <w:pgMar w:left="436" w:top="443" w:right="439" w:bottom="1440" w:gutter="0" w:footer="0" w:header="0"/>
          <w:type w:val="continuous"/>
        </w:sectPr>
      </w:pPr>
    </w:p>
    <w:p>
      <w:pPr>
        <w:jc w:val="center"/>
        <w:ind w:right="1856"/>
        <w:spacing w:after="0"/>
        <w:rPr>
          <w:sz w:val="20"/>
          <w:szCs w:val="20"/>
          <w:color w:val="auto"/>
        </w:rPr>
      </w:pPr>
      <w:r>
        <w:rPr>
          <w:rFonts w:ascii="Times New Roman" w:cs="Times New Roman" w:eastAsia="Times New Roman" w:hAnsi="Times New Roman"/>
          <w:sz w:val="17"/>
          <w:szCs w:val="17"/>
          <w:b w:val="1"/>
          <w:bCs w:val="1"/>
          <w:color w:val="auto"/>
        </w:rPr>
        <w:t>350 5th Avenue, Suite 5330</w:t>
      </w:r>
    </w:p>
    <w:p>
      <w:pPr>
        <w:spacing w:after="0" w:line="43" w:lineRule="exact"/>
        <w:rPr>
          <w:sz w:val="24"/>
          <w:szCs w:val="24"/>
          <w:color w:val="auto"/>
        </w:rPr>
      </w:pPr>
    </w:p>
    <w:p>
      <w:pPr>
        <w:jc w:val="center"/>
        <w:ind w:right="1856"/>
        <w:spacing w:after="0"/>
        <w:rPr>
          <w:sz w:val="20"/>
          <w:szCs w:val="20"/>
          <w:color w:val="auto"/>
        </w:rPr>
      </w:pPr>
      <w:r>
        <w:rPr>
          <w:rFonts w:ascii="Times New Roman" w:cs="Times New Roman" w:eastAsia="Times New Roman" w:hAnsi="Times New Roman"/>
          <w:sz w:val="18"/>
          <w:szCs w:val="18"/>
          <w:b w:val="1"/>
          <w:bCs w:val="1"/>
          <w:color w:val="auto"/>
        </w:rPr>
        <w:t>New York, New York</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10118</w:t>
      </w:r>
    </w:p>
    <w:p>
      <w:pPr>
        <w:spacing w:after="0" w:line="42" w:lineRule="exact"/>
        <w:rPr>
          <w:sz w:val="24"/>
          <w:szCs w:val="24"/>
          <w:color w:val="auto"/>
        </w:rPr>
      </w:pPr>
    </w:p>
    <w:p>
      <w:pPr>
        <w:sectPr>
          <w:pgSz w:w="11900" w:h="16838" w:orient="portrait"/>
          <w:cols w:equalWidth="0" w:num="2">
            <w:col w:w="7404" w:space="720"/>
            <w:col w:w="2900"/>
          </w:cols>
          <w:pgMar w:left="436" w:top="443" w:right="439" w:bottom="1440" w:gutter="0" w:footer="0" w:header="0"/>
          <w:type w:val="continuous"/>
        </w:sectPr>
      </w:pPr>
    </w:p>
    <w:p>
      <w:pPr>
        <w:ind w:left="1544"/>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sectPr>
          <w:pgSz w:w="11900" w:h="16838" w:orient="portrait"/>
          <w:cols w:equalWidth="0" w:num="2">
            <w:col w:w="7284" w:space="720"/>
            <w:col w:w="3020"/>
          </w:cols>
          <w:pgMar w:left="436" w:top="443" w:right="439" w:bottom="1440"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(646) 600-6438</w:t>
      </w:r>
    </w:p>
    <w:p>
      <w:pPr>
        <w:spacing w:after="0" w:line="171"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5"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193675</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ind w:left="4" w:right="4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67"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rFonts w:ascii="MS PGothic" w:cs="MS PGothic" w:eastAsia="MS PGothic" w:hAnsi="MS PGothic"/>
          <w:sz w:val="18"/>
          <w:szCs w:val="18"/>
          <w:color w:val="auto"/>
        </w:rPr>
      </w:pPr>
    </w:p>
    <w:p>
      <w:pPr>
        <w:ind w:left="3304"/>
        <w:spacing w:after="0"/>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97" w:lineRule="exact"/>
        <w:rPr>
          <w:sz w:val="24"/>
          <w:szCs w:val="24"/>
          <w:color w:val="auto"/>
        </w:rPr>
      </w:pPr>
    </w:p>
    <w:tbl>
      <w:tblPr>
        <w:tblLayout w:type="fixed"/>
        <w:tblInd w:w="4" w:type="dxa"/>
        <w:tblCellMar>
          <w:top w:w="0" w:type="dxa"/>
          <w:left w:w="0" w:type="dxa"/>
          <w:bottom w:w="0" w:type="dxa"/>
          <w:right w:w="0" w:type="dxa"/>
        </w:tblCellMar>
      </w:tblPr>
      <w:tr>
        <w:trPr>
          <w:trHeight w:val="161"/>
        </w:trPr>
        <w:tc>
          <w:tcPr>
            <w:tcW w:w="38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w:t>
            </w:r>
          </w:p>
        </w:tc>
        <w:tc>
          <w:tcPr>
            <w:tcW w:w="0" w:type="dxa"/>
            <w:vAlign w:val="bottom"/>
          </w:tcPr>
          <w:p>
            <w:pPr>
              <w:spacing w:after="0"/>
              <w:rPr>
                <w:sz w:val="1"/>
                <w:szCs w:val="1"/>
                <w:color w:val="auto"/>
              </w:rPr>
            </w:pPr>
          </w:p>
        </w:tc>
      </w:tr>
      <w:tr>
        <w:trPr>
          <w:trHeight w:val="187"/>
        </w:trPr>
        <w:tc>
          <w:tcPr>
            <w:tcW w:w="3860" w:type="dxa"/>
            <w:vAlign w:val="bottom"/>
            <w:gridSpan w:val="2"/>
            <w:vMerge w:val="continue"/>
          </w:tcPr>
          <w:p>
            <w:pPr>
              <w:spacing w:after="0"/>
              <w:rPr>
                <w:sz w:val="16"/>
                <w:szCs w:val="16"/>
                <w:color w:val="auto"/>
              </w:rPr>
            </w:pPr>
          </w:p>
        </w:tc>
        <w:tc>
          <w:tcPr>
            <w:tcW w:w="36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on which registered</w:t>
            </w:r>
          </w:p>
        </w:tc>
        <w:tc>
          <w:tcPr>
            <w:tcW w:w="0" w:type="dxa"/>
            <w:vAlign w:val="bottom"/>
          </w:tcPr>
          <w:p>
            <w:pPr>
              <w:spacing w:after="0"/>
              <w:rPr>
                <w:sz w:val="1"/>
                <w:szCs w:val="1"/>
                <w:color w:val="auto"/>
              </w:rPr>
            </w:pPr>
          </w:p>
        </w:tc>
      </w:tr>
      <w:tr>
        <w:trPr>
          <w:trHeight w:val="228"/>
        </w:trPr>
        <w:tc>
          <w:tcPr>
            <w:tcW w:w="3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$0.0001 par value per share</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INAB</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4" w:right="26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67" w:lineRule="exact"/>
        <w:rPr>
          <w:sz w:val="24"/>
          <w:szCs w:val="24"/>
          <w:color w:val="auto"/>
        </w:rPr>
      </w:pPr>
    </w:p>
    <w:p>
      <w:pPr>
        <w:ind w:left="4"/>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12" w:lineRule="exact"/>
        <w:rPr>
          <w:sz w:val="24"/>
          <w:szCs w:val="24"/>
          <w:color w:val="auto"/>
        </w:rPr>
      </w:pPr>
    </w:p>
    <w:p>
      <w:pPr>
        <w:ind w:left="4" w:right="30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128270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171450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43" w:right="4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7"/>
          <w:szCs w:val="17"/>
          <w:b w:val="1"/>
          <w:bCs w:val="1"/>
          <w:color w:val="auto"/>
        </w:rPr>
        <w:t>Item 5.02</w:t>
      </w:r>
    </w:p>
    <w:p>
      <w:pPr>
        <w:spacing w:after="0" w:line="20" w:lineRule="exact"/>
        <w:rPr>
          <w:sz w:val="20"/>
          <w:szCs w:val="20"/>
          <w:color w:val="auto"/>
        </w:rPr>
      </w:pPr>
      <w:r>
        <w:rPr>
          <w:sz w:val="20"/>
          <w:szCs w:val="20"/>
          <w:color w:val="auto"/>
        </w:rPr>
        <w:br w:type="column"/>
      </w:r>
    </w:p>
    <w:p>
      <w:pPr>
        <w:ind w:right="640"/>
        <w:spacing w:after="0" w:line="286" w:lineRule="auto"/>
        <w:rPr>
          <w:sz w:val="20"/>
          <w:szCs w:val="20"/>
          <w:color w:val="auto"/>
        </w:rPr>
      </w:pP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-845185</wp:posOffset>
            </wp:positionH>
            <wp:positionV relativeFrom="paragraph">
              <wp:posOffset>-409575</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r>
    </w:p>
    <w:p>
      <w:pPr>
        <w:spacing w:after="0" w:line="51" w:lineRule="exact"/>
        <w:rPr>
          <w:sz w:val="20"/>
          <w:szCs w:val="20"/>
          <w:color w:val="auto"/>
        </w:rPr>
      </w:pPr>
    </w:p>
    <w:p>
      <w:pPr>
        <w:sectPr>
          <w:pgSz w:w="11900" w:h="16838" w:orient="portrait"/>
          <w:cols w:equalWidth="0" w:num="2">
            <w:col w:w="700" w:space="500"/>
            <w:col w:w="9440"/>
          </w:cols>
          <w:pgMar w:left="440" w:top="293" w:right="819" w:bottom="1440" w:gutter="0" w:footer="0" w:header="0"/>
        </w:sectPr>
      </w:pPr>
    </w:p>
    <w:p>
      <w:pPr>
        <w:ind w:right="40" w:firstLine="440"/>
        <w:spacing w:after="0" w:line="282" w:lineRule="auto"/>
        <w:rPr>
          <w:sz w:val="20"/>
          <w:szCs w:val="20"/>
          <w:color w:val="auto"/>
        </w:rPr>
      </w:pPr>
      <w:r>
        <w:rPr>
          <w:rFonts w:ascii="Times New Roman" w:cs="Times New Roman" w:eastAsia="Times New Roman" w:hAnsi="Times New Roman"/>
          <w:sz w:val="18"/>
          <w:szCs w:val="18"/>
          <w:color w:val="auto"/>
        </w:rPr>
        <w:t>On February 4, 2026, the Company’s Board of Directors appointed Kate Rochlin, the Company’s Chief Operating Officer, as President of the Company, effective February 4, 2026. Dr. Rochlin will continue to serve as the Company’s Chief Operating Officer.</w:t>
      </w:r>
    </w:p>
    <w:p>
      <w:pPr>
        <w:spacing w:after="0" w:line="16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Biographical information about Dr. Rochlin can be found in the section of the Company’s 2025 Proxy Statement, filed with the Securities and Exchange Commission on April 29, 2025, entitled “Executive Officers,” which is incorporated by reference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There is no family relationship between Dr. Rochlin and any other person that would require disclosure under Item 401(d) of Regulation S-K.</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Dr. Rochlin is also not a party to any transactions that would require disclosure under Item 404(a) of Regulation S-K.</w:t>
      </w:r>
    </w:p>
    <w:p>
      <w:pPr>
        <w:sectPr>
          <w:pgSz w:w="11900" w:h="16838" w:orient="portrait"/>
          <w:cols w:equalWidth="0" w:num="1">
            <w:col w:w="10640"/>
          </w:cols>
          <w:pgMar w:left="440" w:top="293" w:right="819" w:bottom="1440" w:gutter="0" w:footer="0" w:header="0"/>
          <w:type w:val="continuous"/>
        </w:sectPr>
      </w:pPr>
    </w:p>
    <w:bookmarkStart w:id="2" w:name="page3"/>
    <w:bookmarkEnd w:id="2"/>
    <w:p>
      <w:pPr>
        <w:ind w:left="49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IN8bio, Inc.</w:t>
      </w:r>
    </w:p>
    <w:p>
      <w:pPr>
        <w:spacing w:after="0" w:line="229" w:lineRule="exact"/>
        <w:rPr>
          <w:sz w:val="20"/>
          <w:szCs w:val="20"/>
          <w:color w:val="auto"/>
        </w:rPr>
      </w:pPr>
    </w:p>
    <w:p>
      <w:pPr>
        <w:spacing w:after="0"/>
        <w:tabs>
          <w:tab w:leader="none" w:pos="5600" w:val="left"/>
          <w:tab w:leader="none" w:pos="6040" w:val="left"/>
        </w:tabs>
        <w:rPr>
          <w:sz w:val="20"/>
          <w:szCs w:val="20"/>
          <w:color w:val="auto"/>
        </w:rPr>
      </w:pPr>
      <w:r>
        <w:rPr>
          <w:rFonts w:ascii="Times New Roman" w:cs="Times New Roman" w:eastAsia="Times New Roman" w:hAnsi="Times New Roman"/>
          <w:sz w:val="18"/>
          <w:szCs w:val="18"/>
          <w:color w:val="auto"/>
        </w:rPr>
        <w:t>Date: February 9,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Patrick McCall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3846195</wp:posOffset>
            </wp:positionH>
            <wp:positionV relativeFrom="paragraph">
              <wp:posOffset>17145</wp:posOffset>
            </wp:positionV>
            <wp:extent cx="314579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45790" cy="8255"/>
                    </a:xfrm>
                    <a:prstGeom prst="rect">
                      <a:avLst/>
                    </a:prstGeom>
                    <a:noFill/>
                  </pic:spPr>
                </pic:pic>
              </a:graphicData>
            </a:graphic>
          </wp:anchor>
        </w:drawing>
      </w:r>
    </w:p>
    <w:p>
      <w:pPr>
        <w:spacing w:after="0" w:line="34"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Patrick McCall</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b w:val="1"/>
          <w:bCs w:val="1"/>
          <w:color w:val="auto"/>
        </w:rPr>
        <w:t>Chief Financial Officer and Secretary</w:t>
      </w:r>
    </w:p>
    <w:p>
      <w:pPr>
        <w:spacing w:after="0" w:line="9" w:lineRule="exact"/>
        <w:rPr>
          <w:sz w:val="20"/>
          <w:szCs w:val="20"/>
          <w:color w:val="auto"/>
        </w:rPr>
      </w:pPr>
    </w:p>
    <w:p>
      <w:pPr>
        <w:ind w:left="6060"/>
        <w:spacing w:after="0"/>
        <w:rPr>
          <w:sz w:val="20"/>
          <w:szCs w:val="20"/>
          <w:color w:val="auto"/>
        </w:rPr>
      </w:pPr>
      <w:r>
        <w:rPr>
          <w:rFonts w:ascii="Times New Roman" w:cs="Times New Roman" w:eastAsia="Times New Roman" w:hAnsi="Times New Roman"/>
          <w:sz w:val="18"/>
          <w:szCs w:val="18"/>
          <w:i w:val="1"/>
          <w:iCs w:val="1"/>
          <w:color w:val="auto"/>
        </w:rPr>
        <w:t>(Principal Financial and Accounting Officer)</w:t>
      </w:r>
    </w:p>
    <w:sectPr>
      <w:pgSz w:w="11900" w:h="16838" w:orient="portrait"/>
      <w:cols w:equalWidth="0" w:num="1">
        <w:col w:w="10260"/>
      </w:cols>
      <w:pgMar w:left="440" w:top="293" w:right="1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2026-02-09T07:35:29Z</dcterms:created>
  <dcterms:modified xsi:type="dcterms:W3CDTF">2026-02-09T07:35:29Z</dcterms:modified>
</cp:coreProperties>
</file>