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3660" w:right="1600" w:hanging="3652"/>
        <w:spacing w:after="0" w:line="215" w:lineRule="auto"/>
        <w:tabs>
          <w:tab w:leader="none" w:pos="472"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001-39692</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82-5462585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6" w:lineRule="exact"/>
        <w:rPr>
          <w:sz w:val="24"/>
          <w:szCs w:val="24"/>
          <w:color w:val="auto"/>
        </w:rPr>
      </w:pPr>
    </w:p>
    <w:p>
      <w:pPr>
        <w:sectPr>
          <w:pgSz w:w="11900" w:h="16838" w:orient="portrait"/>
          <w:cols w:equalWidth="0" w:num="2">
            <w:col w:w="7660" w:space="200"/>
            <w:col w:w="3380"/>
          </w:cols>
          <w:pgMar w:left="320" w:top="965"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6"/>
          <w:szCs w:val="16"/>
          <w:b w:val="1"/>
          <w:bCs w:val="1"/>
          <w:color w:val="auto"/>
        </w:rPr>
        <w:t>350 5th Avenue, Suite 5330</w:t>
      </w:r>
    </w:p>
    <w:p>
      <w:pPr>
        <w:spacing w:after="0" w:line="28" w:lineRule="exact"/>
        <w:rPr>
          <w:sz w:val="24"/>
          <w:szCs w:val="24"/>
          <w:color w:val="auto"/>
        </w:rPr>
      </w:pPr>
    </w:p>
    <w:p>
      <w:pPr>
        <w:ind w:left="2060"/>
        <w:spacing w:after="0"/>
        <w:tabs>
          <w:tab w:leader="none" w:pos="8200" w:val="left"/>
        </w:tabs>
        <w:rPr>
          <w:sz w:val="20"/>
          <w:szCs w:val="20"/>
          <w:color w:val="auto"/>
        </w:rPr>
      </w:pPr>
      <w:r>
        <w:rPr>
          <w:rFonts w:ascii="Times New Roman" w:cs="Times New Roman" w:eastAsia="Times New Roman" w:hAnsi="Times New Roman"/>
          <w:sz w:val="16"/>
          <w:szCs w:val="16"/>
          <w:b w:val="1"/>
          <w:bCs w:val="1"/>
          <w:color w:val="auto"/>
        </w:rPr>
        <w:t>New York, New York</w:t>
      </w:r>
      <w:r>
        <w:rPr>
          <w:sz w:val="20"/>
          <w:szCs w:val="20"/>
          <w:color w:val="auto"/>
        </w:rPr>
        <w:tab/>
      </w:r>
      <w:r>
        <w:rPr>
          <w:rFonts w:ascii="Times New Roman" w:cs="Times New Roman" w:eastAsia="Times New Roman" w:hAnsi="Times New Roman"/>
          <w:sz w:val="16"/>
          <w:szCs w:val="16"/>
          <w:b w:val="1"/>
          <w:bCs w:val="1"/>
          <w:color w:val="auto"/>
        </w:rPr>
        <w:t>10118</w:t>
      </w:r>
    </w:p>
    <w:p>
      <w:pPr>
        <w:spacing w:after="0" w:line="18"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3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(646) 600-6438</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INAB</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cs="Times New Roman" w:eastAsia="Times New Roman" w:hAnsi="Times New Roman"/>
          <w:sz w:val="10"/>
          <w:szCs w:val="10"/>
          <w:color w:val="auto"/>
        </w:rPr>
        <w:t>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cs="Times New Roman" w:eastAsia="Times New Roman" w:hAnsi="Times New Roman"/>
          <w:sz w:val="10"/>
          <w:szCs w:val="10"/>
          <w:color w:val="auto"/>
        </w:rPr>
        <w:t>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36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880"/>
        <w:spacing w:after="0" w:line="24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w:t>
      </w:r>
      <w:r>
        <w:rPr>
          <w:rFonts w:ascii="Times New Roman" w:cs="Times New Roman" w:eastAsia="Times New Roman" w:hAnsi="Times New Roman"/>
          <w:sz w:val="10"/>
          <w:szCs w:val="10"/>
          <w:color w:val="auto"/>
        </w:rPr>
        <w:t>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November 3, 2025 was 4,634,396.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040" w:type="dxa"/>
            <w:vAlign w:val="bottom"/>
            <w:gridSpan w:val="10"/>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80" w:type="dxa"/>
            <w:vAlign w:val="bottom"/>
            <w:tcBorders>
              <w:bottom w:val="single" w:sz="8" w:color="0000FF"/>
            </w:tcBorders>
            <w:gridSpan w:val="9"/>
            <w:vMerge w:val="continue"/>
          </w:tcPr>
          <w:p>
            <w:pPr>
              <w:spacing w:after="0"/>
              <w:rPr>
                <w:sz w:val="14"/>
                <w:szCs w:val="14"/>
                <w:color w:val="auto"/>
              </w:rPr>
            </w:pPr>
          </w:p>
        </w:tc>
        <w:tc>
          <w:tcPr>
            <w:tcW w:w="7040" w:type="dxa"/>
            <w:vAlign w:val="bottom"/>
            <w:gridSpan w:val="1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60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59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20" w:type="dxa"/>
            <w:vAlign w:val="bottom"/>
            <w:tcBorders>
              <w:top w:val="single" w:sz="8" w:color="0000FF"/>
            </w:tcBorders>
            <w:gridSpan w:val="3"/>
          </w:tcPr>
          <w:p>
            <w:pPr>
              <w:spacing w:after="0"/>
              <w:rPr>
                <w:sz w:val="17"/>
                <w:szCs w:val="17"/>
                <w:color w:val="auto"/>
              </w:rPr>
            </w:pPr>
          </w:p>
        </w:tc>
        <w:tc>
          <w:tcPr>
            <w:tcW w:w="73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70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4"/>
                <w:szCs w:val="14"/>
                <w:color w:val="auto"/>
              </w:rPr>
              <w:t>(Note 2)</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finance lease liability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10,000,000 shares authorized at September 30, 2025 and</w:t>
            </w:r>
          </w:p>
        </w:tc>
        <w:tc>
          <w:tcPr>
            <w:tcW w:w="22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 no shares issued and outstanding</w:t>
            </w:r>
          </w:p>
        </w:tc>
        <w:tc>
          <w:tcPr>
            <w:tcW w:w="220" w:type="dxa"/>
            <w:vAlign w:val="bottom"/>
            <w:shd w:val="clear" w:color="auto" w:fill="CFF0FC"/>
          </w:tcPr>
          <w:p>
            <w:pPr>
              <w:spacing w:after="0"/>
              <w:rPr>
                <w:sz w:val="20"/>
                <w:szCs w:val="20"/>
                <w:color w:val="auto"/>
              </w:rPr>
            </w:pPr>
          </w:p>
        </w:tc>
        <w:tc>
          <w:tcPr>
            <w:tcW w:w="150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490,000,000 shares authorized at September 30, 2025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and December 31, 2024; 4,589,196 and 2,416,066 shares issued and outstanding at September 30,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4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2025 and December 31, 2024, respectively</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(121,656)</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-4251325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-3128645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520" w:hanging="512"/>
        <w:spacing w:after="0" w:line="212" w:lineRule="auto"/>
        <w:tabs>
          <w:tab w:leader="none" w:pos="5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 amounts and per share amounts disclosed in this Quarterly Report on Form 10-Q have been restated to reflect a one-for-thirty reverse stock split effected in June 2025. See Note 1, Organization and Nature of Operations, for details.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26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(14,498)</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(24,277)</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(3,854)</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(14,498)</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(24,277)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400" w:type="dxa"/>
            <w:vAlign w:val="bottom"/>
            <w:gridSpan w:val="2"/>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4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(4.49)</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158"/>
        </w:trPr>
        <w:tc>
          <w:tcPr>
            <w:tcW w:w="568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common</w:t>
            </w: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4,537,683</w:t>
            </w:r>
          </w:p>
        </w:tc>
        <w:tc>
          <w:tcPr>
            <w:tcW w:w="16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1,577,363</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3,465,257</w:t>
            </w:r>
          </w:p>
        </w:tc>
        <w:tc>
          <w:tcPr>
            <w:tcW w:w="26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1,514,959</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share, basic and diluted</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-607695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-607695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-607695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-299720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-282575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-299720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-282575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-282575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5" w:lineRule="exact"/>
        <w:rPr>
          <w:sz w:val="20"/>
          <w:szCs w:val="20"/>
          <w:color w:val="auto"/>
        </w:rPr>
      </w:pPr>
    </w:p>
    <w:p>
      <w:pPr>
        <w:ind w:firstLine="8"/>
        <w:spacing w:after="0" w:line="261" w:lineRule="auto"/>
        <w:tabs>
          <w:tab w:leader="none" w:pos="106" w:val="left"/>
        </w:tabs>
        <w:numPr>
          <w:ilvl w:val="0"/>
          <w:numId w:val="4"/>
        </w:numPr>
        <w:rPr>
          <w:rFonts w:ascii="Times New Roman" w:cs="Times New Roman" w:eastAsia="Times New Roman" w:hAnsi="Times New Roman"/>
          <w:sz w:val="6"/>
          <w:szCs w:val="6"/>
          <w:color w:val="auto"/>
        </w:rPr>
      </w:pPr>
      <w:r>
        <w:rPr>
          <w:rFonts w:ascii="Times New Roman" w:cs="Times New Roman" w:eastAsia="Times New Roman" w:hAnsi="Times New Roman"/>
          <w:sz w:val="14"/>
          <w:szCs w:val="14"/>
          <w:color w:val="auto"/>
        </w:rPr>
        <w:t>All share amounts and per share amounts disclosed in this Quarterly Report on Form 10-Q have been restated to reflect a one-for-thirty reverse stock split effected in June 2025. See Note 1, Organization and Nature of Operations, for details.</w:t>
      </w:r>
    </w:p>
    <w:p>
      <w:pPr>
        <w:spacing w:after="0" w:line="19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2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1,442,929</w:t>
            </w:r>
          </w:p>
        </w:tc>
        <w:tc>
          <w:tcPr>
            <w:tcW w:w="960" w:type="dxa"/>
            <w:vAlign w:val="bottom"/>
            <w:gridSpan w:val="2"/>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116,152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(91,219)</w:t>
            </w:r>
          </w:p>
        </w:tc>
        <w:tc>
          <w:tcPr>
            <w:tcW w:w="380" w:type="dxa"/>
            <w:vAlign w:val="bottom"/>
            <w:gridSpan w:val="2"/>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costs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(8,562)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(8,562)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1,442,929</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117,303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(99,781)</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17,526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104,234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Series A warrants, net of issuance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(8,629)</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(8,629)</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1,547,829</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(108,410)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11,743</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(7,086)</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(7,086)</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1,559,572</w:t>
            </w:r>
          </w:p>
        </w:tc>
        <w:tc>
          <w:tcPr>
            <w:tcW w:w="960" w:type="dxa"/>
            <w:vAlign w:val="bottom"/>
            <w:gridSpan w:val="2"/>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124,079</w:t>
            </w:r>
          </w:p>
        </w:tc>
        <w:tc>
          <w:tcPr>
            <w:tcW w:w="20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(115,496)</w:t>
            </w:r>
          </w:p>
        </w:tc>
        <w:tc>
          <w:tcPr>
            <w:tcW w:w="38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2,416,066</w:t>
            </w:r>
          </w:p>
        </w:tc>
        <w:tc>
          <w:tcPr>
            <w:tcW w:w="960" w:type="dxa"/>
            <w:vAlign w:val="bottom"/>
            <w:gridSpan w:val="2"/>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136,127</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(121,656)</w:t>
            </w:r>
          </w:p>
        </w:tc>
        <w:tc>
          <w:tcPr>
            <w:tcW w:w="3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245,428</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Series C warrants, net of issuance costs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47,088</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2,708,582</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141,075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(127,206)</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1,058,861</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Series A &amp; B warrants, net of issuance</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310,696</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9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(5,094)</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(5,094)</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4,078,139</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147,529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(132,300)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15,239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511,057</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(3,854)</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4,589,196</w:t>
            </w:r>
          </w:p>
        </w:tc>
        <w:tc>
          <w:tcPr>
            <w:tcW w:w="960" w:type="dxa"/>
            <w:vAlign w:val="bottom"/>
            <w:gridSpan w:val="2"/>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10</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149,333</w:t>
            </w:r>
          </w:p>
        </w:tc>
        <w:tc>
          <w:tcPr>
            <w:tcW w:w="20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(136,154)</w:t>
            </w:r>
          </w:p>
        </w:tc>
        <w:tc>
          <w:tcPr>
            <w:tcW w:w="38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-2167890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-2167890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-2167890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-2167890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-2167890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-1782445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-1782445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-1782445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-1782445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-513715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-513715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-513715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-513715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-128270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-128270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-128270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 w:lineRule="exact"/>
        <w:rPr>
          <w:sz w:val="20"/>
          <w:szCs w:val="20"/>
          <w:color w:val="auto"/>
        </w:rPr>
      </w:pPr>
    </w:p>
    <w:p>
      <w:pPr>
        <w:ind w:firstLine="8"/>
        <w:spacing w:after="0" w:line="261" w:lineRule="auto"/>
        <w:tabs>
          <w:tab w:leader="none" w:pos="106" w:val="left"/>
        </w:tabs>
        <w:numPr>
          <w:ilvl w:val="0"/>
          <w:numId w:val="5"/>
        </w:numPr>
        <w:rPr>
          <w:rFonts w:ascii="Times New Roman" w:cs="Times New Roman" w:eastAsia="Times New Roman" w:hAnsi="Times New Roman"/>
          <w:sz w:val="6"/>
          <w:szCs w:val="6"/>
          <w:color w:val="auto"/>
        </w:rPr>
      </w:pPr>
      <w:r>
        <w:rPr>
          <w:rFonts w:ascii="Times New Roman" w:cs="Times New Roman" w:eastAsia="Times New Roman" w:hAnsi="Times New Roman"/>
          <w:sz w:val="14"/>
          <w:szCs w:val="14"/>
          <w:color w:val="auto"/>
        </w:rPr>
        <w:t>All share amounts and per share amounts disclosed in this Quarterly Report on Form 10-Q have been restated to reflect a one-for-thirty reverse stock split effected in June 2025. See Note 1, Organization and Nature of Operations, for details.</w:t>
      </w:r>
    </w:p>
    <w:p>
      <w:pPr>
        <w:spacing w:after="0" w:line="19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(14,498)</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(24,277)</w:t>
            </w: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construction in progress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(2,184)</w:t>
            </w:r>
          </w:p>
        </w:tc>
      </w:tr>
      <w:tr>
        <w:trPr>
          <w:trHeight w:val="216"/>
        </w:trPr>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r>
      <w:tr>
        <w:trPr>
          <w:trHeight w:val="20"/>
        </w:trPr>
        <w:tc>
          <w:tcPr>
            <w:tcW w:w="6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(20,121)</w:t>
            </w: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6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issuance costs from December 2023 issuance of common stock</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Series A &amp; B warrants, net of issuance costs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Series C warrants, net of issuance costs</w:t>
            </w:r>
          </w:p>
        </w:tc>
        <w:tc>
          <w:tcPr>
            <w:tcW w:w="10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r>
      <w:tr>
        <w:trPr>
          <w:trHeight w:val="210"/>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(17,278)</w:t>
            </w: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0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20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0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end of period</w:t>
            </w:r>
          </w:p>
        </w:tc>
        <w:tc>
          <w:tcPr>
            <w:tcW w:w="10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20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Initial measurement of operating lease right-of-use assets and liabilities</w:t>
            </w:r>
          </w:p>
        </w:tc>
        <w:tc>
          <w:tcPr>
            <w:tcW w:w="20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measurement of finance lease right-of-use assets and liabilities</w:t>
            </w:r>
          </w:p>
        </w:tc>
        <w:tc>
          <w:tcPr>
            <w:tcW w:w="20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modification of operating lease right-of-use assets and liabilities</w:t>
            </w:r>
          </w:p>
        </w:tc>
        <w:tc>
          <w:tcPr>
            <w:tcW w:w="20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r>
      <w:tr>
        <w:trPr>
          <w:trHeight w:val="234"/>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construction in progress to property and equipment</w:t>
            </w:r>
          </w:p>
        </w:tc>
        <w:tc>
          <w:tcPr>
            <w:tcW w:w="20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-3559810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-3559810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-2994025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-2994025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-1871345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-1871345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-1588135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-1588135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-1005205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23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right="6840" w:hanging="512"/>
        <w:spacing w:after="0" w:line="377" w:lineRule="auto"/>
        <w:tabs>
          <w:tab w:leader="none" w:pos="19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NATURE OF OPERATIONS </w:t>
      </w:r>
      <w:r>
        <w:rPr>
          <w:rFonts w:ascii="Times New Roman" w:cs="Times New Roman" w:eastAsia="Times New Roman" w:hAnsi="Times New Roman"/>
          <w:sz w:val="18"/>
          <w:szCs w:val="18"/>
          <w:b w:val="1"/>
          <w:bCs w:val="1"/>
          <w:i w:val="1"/>
          <w:iCs w:val="1"/>
          <w:color w:val="auto"/>
        </w:rPr>
        <w:t>Organization and Business</w:t>
      </w:r>
    </w:p>
    <w:p>
      <w:pPr>
        <w:spacing w:after="0" w:line="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IN8bio, Inc. (the "Company") is a clinical-stage biopharmaceutical company focused on the discovery, development and commercialization of gamma-delta T cell product candidates for unmet medical needs. The Company’s product candidate, INB-100, is currently in an ongoing investigator-sponsored Phase 1 clinical trial focused on patients with acute myeloid leukemia ("AML"). In addition, the Company has recently completed the investigator-sponsored Phase 1 clinical trial of INB-200 for the treatment of patients with newly diagnosed glioblastoma ("GBM"), and expects to present updated clinical data at the upcoming 2025 Society of Neuro-Oncology Annual Meeting. The Company’s DeltEx platform has yielded a broad portfolio of clinical and preclinical programs, including INB-300, INB-400, INB-500, INB-633 and INB-619, focused on addressing a range of potential applications, from solid and liquid tumors to autoimmune diseases.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8, 2025, the Company’s stockholders approved a proposal to effect an amendment to the Company’s Amended and Restated Certificate of Incorporation to implement a reverse stock split. On June 3, 2025, the Company filed a Certificate of Amendment to its Amended and Restated Certificate of Incorporation with the Secretary of State of the State of Delaware to effect a reverse stock split at a ratio of one-for-thirty (the "Reverse Stock Split").</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5, 2025, the Company effected the Reverse Stock Split. Pursuant to their terms, a proportionate adjustment was made to the per share exercise price and the number of shares issuable upon the exercise or vesting of all outstanding stock options and warrants, and the number of shares of the Company’s common stock authorized for issuance pursuant to the Company’s equity incentive plans was reduced proportionally. The Reverse Stock Split did not reduce the number of authorized shares of common stock and did not alter the par value.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 All share and per share amounts of common stock disclosed in this Quarterly Report on Form 10-Q have been restated to reflect the Reverse Stock Split on a retroactive basis in all periods presented.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$14.5 million and $24.3 million for the nine months ended September 30, 2025 and 2024, respectively. As of September 30, 2025, the Company had an accumulated deficit of $136.2 million. The Company continues to deploy cash preservation measures to defer or reduce costs in the near term in order to preserve capital and increase financial flexibility given the ongoing market environment for biotechnology stocks. These cash preservation measures may impact the Company's ability and the timing to execute its strategy. This includes the Company's ability to achieve anticipated milestones and the timing of data releases and/or regulatory filings for its preclinical and clinical programs.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not yet generated product sales and as a result has experienced operating losses since inception. The Company expects to incur additional losses in the future as it advances its product candidates through clinical trials, seeks to 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revised business strategy, which was announced in September 2024, its existing cash of $10.7 million as of September 30, 2025 is not anticipated to fund the Company’s projected operating expenses and capital expenditure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requirements for a period of at least 12 months from the date of issuance of these condensed financial statements, and accordingly, there is substantial doubt about the Company’s ability to continue to operate as a going concern.</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continue to fund the operations of the Company beyond this time period, management has developed plans, which primarily consist of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Company may receive aggregate proceeds of up to $4.1 million from the exercise of its outstanding Series B ordinary warrants ("Series B warrants") if not otherwise redeemed by the Company and up to $8.1 million from the exercise of its outstanding Series C common stock purchase warrants ("Series C warrants"). See Note 7, Warrants, for additional information. There is no assurance, however, that the Company will receive any proceeds from the exercise of these warrants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the Company's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condensed financial statements. These actions may cause the Company’s stockholders to lose all or part of their investment in the Company’s common stock. The accompanying condensed financial statements have been prepared on the basis that the Company will continue as a going concern and do not include adjustments that might result from the outcome of this uncertainty.</w:t>
      </w:r>
    </w:p>
    <w:p>
      <w:pPr>
        <w:spacing w:after="0" w:line="188" w:lineRule="exact"/>
        <w:rPr>
          <w:sz w:val="20"/>
          <w:szCs w:val="20"/>
          <w:color w:val="auto"/>
        </w:rPr>
      </w:pPr>
    </w:p>
    <w:p>
      <w:pPr>
        <w:ind w:left="520" w:right="6360" w:hanging="512"/>
        <w:spacing w:after="0" w:line="37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Significant Accounting Policies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financial statements for the year ended December 31, 2024 and the notes thereto, are included in the Company’s Annual Report on Form 10-K (the "Annual Report") that was filed with the Securities and Exchange Commission ("SEC") on March 13, 2025. Since the date of that filing, there have been no material changes to the Company’s significant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prepared the accompanying condensed financial statements in conformity with generally accepted accounting principles in the United States ("U.S. GAAP").</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Company's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U.S. GAAP requires management to make estimates and assumptions that affect the reported amounts of assets and liabilities, disclosure of contingent assets and liabilities at the date of the condensed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significant concentrations of credit risk consist primarily of cash. All of the Company’s cash and restricted cash is deposited in accounts with major financial institutions. Such deposits are in excess of the federally insured limits.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w:t>
            </w: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3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shorter of the useful life of the leasehold</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improvement or the remaining term of the</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condensed balance sheets and any gain or loss is reflected in the condensed statements of operations.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capitalizes the application development phase costs of internal use software in accordance with Accounting Standards Codification ("ASC") 350-40, </w:t>
      </w:r>
      <w:r>
        <w:rPr>
          <w:rFonts w:ascii="Times New Roman" w:cs="Times New Roman" w:eastAsia="Times New Roman" w:hAnsi="Times New Roman"/>
          <w:sz w:val="18"/>
          <w:szCs w:val="18"/>
          <w:i w:val="1"/>
          <w:iCs w:val="1"/>
          <w:color w:val="auto"/>
        </w:rPr>
        <w:t>Intangibles-Goodwill and Other-Internal Use Software</w:t>
      </w:r>
      <w:r>
        <w:rPr>
          <w:rFonts w:ascii="Times New Roman" w:cs="Times New Roman" w:eastAsia="Times New Roman" w:hAnsi="Times New Roman"/>
          <w:sz w:val="18"/>
          <w:szCs w:val="18"/>
          <w:color w:val="auto"/>
        </w:rPr>
        <w:t>. Capitalized costs will be amortized on a straight-line basis over the estimated useful life of the asset upon completion.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 maker in deciding how to allocate resources and assess performance. The Company has one operating segment, which is the business focused on the discovery, development and commercialization of gamma-delta T cell product candidates for unmet medical needs. The Company’s chief operating decision maker ("CODM"), its Chief Executive Officer ("CEO"), manages the Company’s operations on a consolidated basis for the purposes of allocating resources. The allocation of resources and assessment of performance of the operating segment is based on net loss as shown in the Company's condensed statements of operations. All of the Company’s long-lived assets are held in the United States. For additional segment information, see Note 13, Segments.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Updates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which expands the disclosures required for income taxes. This ASU is effective for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2024, with early adoption permitted. The Company is currently evaluating the impact of adopting ASU 2023-09 and will adopt it for the fiscal year ending December 31, 2025.</w:t>
      </w:r>
    </w:p>
    <w:p>
      <w:pPr>
        <w:spacing w:after="0" w:line="7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all other issued and unadopted ASUs, and believes the adoption of these standards will not have a material impact on the condensed financial statements.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evaluating the OBBBA’s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3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2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(2,263)</w:t>
            </w:r>
          </w:p>
        </w:tc>
      </w:tr>
      <w:tr>
        <w:trPr>
          <w:trHeight w:val="20"/>
        </w:trPr>
        <w:tc>
          <w:tcPr>
            <w:tcW w:w="7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$0.2 million and $0.3 million for the three months ended September 30, 2025 and 2024, respectively, and was $0.8 million and $0.7 million for the nine months ended September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trials</w:t>
            </w:r>
          </w:p>
        </w:tc>
        <w:tc>
          <w:tcPr>
            <w:tcW w:w="124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2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authorized capital stock consists of 500,000,000 shares, all with a par value of $0.0001 per share, of which 490,000,000 shares are designated as common stock and 10,000,000 shares are designated as preferred stock.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November 2022, the Company filed a shelf registration statement on Form S-3 (File No. 333-268288) (the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ATM.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w:t>
      </w:r>
    </w:p>
    <w:p>
      <w:pPr>
        <w:spacing w:after="0" w:line="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September 30, 2025, the Company's calculated public float was less than $75.0 million. For the nine months ended September 30, 2025, the Company sold an aggregate of 1,815,346 shares of its common stock under the ATM program, resulting in net proceeds of approximately $8.5 million after deducting sales agent fees and other offering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Company issued 19,141 pre-funded warrants (the "2023 Pre-Funded warrants"), 394,118 Series A warrants and 394,118 Series B warrants. The 2023 Pre-Funded warrants have an exercise price of $0.003 per share, are exercisable immediately and are exercisable until each such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a formula set forth in the 2023 Pre-Funded warrants terms. The 2023 Pre-Funded warrants meet the criteria for permanent equity classification. As of September 30, 2025, 19,141 2023 Pre-Funded warrants were issued and outstanding.</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Series A warrants were issued with an exercise price of $37.50 per share. The Series A warrants are exercisable immediately and were issued with an expiry date of June 13, 2025. The Company has the option to cause the Series A warrants to be exercised at a strike price of $37.50 per share upon the Company’s public announcement of INB-100 clinical data for the 10 currently enrolled patients, should they remain alive and evaluable, covering a period of at least 11 months, along with certain stock price and trading volume requirements. The Series A warrants meet the criteria for permanent equity classification.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2024 Private Placement (as defined below), the Company amended certain of the Company’s outstanding Series A warrants, representing approximately 390,462 shares of the Company’s common stock, to (i) reduce the exercise price from $37.50 to $13.50 per share and (ii) extend the termination date of such Series A warrants to October 4, 2025. As of September 30, 2025, 129,296 Series A warrants were issued and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4, 2025 all Series A warrants have expired and there are no Series A warrants outstanding.</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Series B warrants were issued with an exercise price of $45.00 per share. The Series B warrants are exercisable immediately and expire on December 13, 2028. The Series B warrants allow the Company to redeem such warrants at a price of $0.01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$45.00 per share prior to such redemption. The Series B warrants meet the criteria for permanent equity classification. In April 2025, the Company entered into an Amendment No. 1 to Securities Purchase Agreement (the "SPA Amendment") to amend the restrictions on certain equity sales by the Company set forth in the Securities Purchase Agreement, dated September 30, 2024, by and among the Company and the investors party thereto. In consideration for the SPA Amendment, the Company amended the Company’s outstanding Series B warrants, representing approximately 303,574 shares of the Company’s common stock, to (i) reduce the exercise price from $45.00 to $13.50 per share. As of September 30, 2025, 303,574 Series B warrants were issued and outstanding.</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2024, the Company issued 188,227 pre-funded warrants (the "2024 Pre-Funded warrants"), and 1,044,726 Series C warrants (the "2024 Private Placement"). The 2024 Pre-Funded warrants have an exercise price of $0.003 per share, are exercisable immediately and are exercisable until each such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September 30, 2025, 188,227 2024 Pre-Funded warrants were outstanding.</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Series C warrants have an exercise price of $8.10 per share. The Series C warrants are exercisable immediately and will expire on October 4, 2027. The Series C warrants meet the criteria for permanent equity classification. As of September 30, 2025, 997,638 Series C warrants were outstanding.</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(the "Warrant Exercises") and (ii) exchange certain Series A warrants and Series B warrants for 41,014 pre-funded warrants (the "2025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2025 Pre-Funded warrants issued in connection with the Warrant Exchanges have an exercise price of $0.003 per share. Each 2025 Pre-Funded warrant is exercisable immediately and will be exercisable until such 2025 Pre-Funded warrant is exercised in full. In lieu of a cash payment to the Company in payment of the aggregate exercise price upon exercise of a 2025 Pre-Funded warrant, the holder may elect instead to receive upon such exercise (either in whole or in part) the net number of shares of common stock determined according to a formula set forth in the 2025 Pre-Funded warrants. Under the terms of the 2025 Pre-Funded warrants, the Company shall not effect the exercise of any portion of any 2025 Pre-Funded warrant, and a holder shall not have the right to exercise any portion of any 2025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provided that any increase or decrease in such percentage will not be effective until 61 days after such notice is delivered to the Company. As of September 30, 2025, 41,014 of these 2025 Pre-Funded warrants were outstanding.</w:t>
      </w:r>
    </w:p>
    <w:p>
      <w:pPr>
        <w:spacing w:after="0" w:line="158" w:lineRule="exact"/>
        <w:rPr>
          <w:sz w:val="20"/>
          <w:szCs w:val="20"/>
          <w:color w:val="auto"/>
        </w:rPr>
      </w:pPr>
    </w:p>
    <w:p>
      <w:pPr>
        <w:ind w:left="520" w:right="8220" w:hanging="512"/>
        <w:spacing w:after="0" w:line="378" w:lineRule="auto"/>
        <w:tabs>
          <w:tab w:leader="none" w:pos="19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b w:val="1"/>
          <w:bCs w:val="1"/>
          <w:i w:val="1"/>
          <w:iCs w:val="1"/>
          <w:color w:val="auto"/>
        </w:rPr>
        <w:t>2018 Equity Incentive Plan</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2023 Equity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246,667,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1,366,666 shares. As of September 30, 2025, 142,869 shares were available for grant pursuant to the 2023 Plan, including the increase pursuant to the terms of the 2023 Plan, effective January 1, 2025.</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2020 Employee Stock Purchase Plan was approved by the Board of Directors and the Company’s stockholders and became effective on July 29, 2021. A total of 6,666 shares of common stock were initially reserved for issuance under this plan, which automatically increases on January 1 of each year by the lesser of (i) 1% of the outstanding number of shares of common stock on the immediately preceding December 31; and (ii) 13,333, or such lesser number of shares as determined by the Board of Directors. As of September 30, 2025, no shares of common stock had been issued under the ESPP and 26,260 shares remained available for future issuance under the ESPP. The Board of Directors elected not to increase the number of shares of common stock reserved for future issuance under the ESPP as of January 1,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stock option award activity during the nine months ended September 30,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503,761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2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236,113</w:t>
            </w:r>
          </w:p>
        </w:tc>
        <w:tc>
          <w:tcPr>
            <w:tcW w:w="2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88.50</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6.21</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expected to vest as of September 30, 2025</w:t>
            </w:r>
          </w:p>
        </w:tc>
        <w:tc>
          <w:tcPr>
            <w:tcW w:w="2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267,648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16.63</w:t>
            </w:r>
          </w:p>
        </w:tc>
        <w:tc>
          <w:tcPr>
            <w:tcW w:w="14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8.90</w:t>
            </w:r>
          </w:p>
        </w:tc>
        <w:tc>
          <w:tcPr>
            <w:tcW w:w="3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8"/>
        </w:trPr>
        <w:tc>
          <w:tcPr>
            <w:tcW w:w="460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-1259205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-1242060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-933450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-916305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nine months ended September 30, 2025 and 2024 was $6.70 and $26.70, respectively. The aggregate intrinsic value is calculated as the difference between the exercise price and the market price of the Company’s common stock at September 30, 2025 and December 31,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utilized the Black-Scholes option-pricing model for estimating the fair value of the stock options. The following table presents the assumptions and the Company’s methodology for developing each of the assumptions used: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680" w:type="dxa"/>
            <w:vAlign w:val="bottom"/>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- 99.24%</w:t>
            </w:r>
          </w:p>
        </w:tc>
        <w:tc>
          <w:tcPr>
            <w:tcW w:w="1880" w:type="dxa"/>
            <w:vAlign w:val="bottom"/>
            <w:gridSpan w:val="3"/>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90.31% - 102.54%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4.00 - 4.24%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- 4.65%</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4" w:lineRule="exact"/>
        <w:rPr>
          <w:sz w:val="20"/>
          <w:szCs w:val="20"/>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Volatility—The Company estimates the expected volatility of its common stock at the date of grant based on the historical volatility of comparable public companies over the expected term.</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rate for periods within the estimated life of the stock award is based on the U.S. Treasury yield curve in effect at the time of grant.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rate—The assumed dividend yield is based upon the Company’s expectation of not paying dividends in the foreseeable future.</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in the following line items in the condensed statements of operations for the three and nine months ended September 30, 2025 and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16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7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9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1,532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1,616</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1,873</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7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1,764</w:t>
            </w:r>
          </w:p>
        </w:tc>
        <w:tc>
          <w:tcPr>
            <w:tcW w:w="96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2,478</w:t>
            </w:r>
          </w:p>
        </w:tc>
        <w:tc>
          <w:tcPr>
            <w:tcW w:w="9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4,175</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 related tax benefits from stock-based compensation expense were recognized for the three and nine months ended September 30, 2025 and 2024. As of September 30, 2025, there was $2.6 million in unrecognized stock-based compensation expense, which is expected to be recognized over a weighted-average period of 1.53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Emory University, Children’s Healthcare of Atlanta, Inc. and UAB Research Foundation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consideration of the license granted under the Emory License Agreement, the Company paid Emory University a nominal upfront payment. In addition, the Company is required to pay Emory University development milestones totaling up to an aggregate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 with UABRF</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consideration of the license granted under the UABRF License Agreement, the Company paid UABRF a nominal upfront payment and issued 3,041 shares of common stock to UABRF, which were subject to certain antidilution rights.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UABRF License Agreement, the Company is required to use good faith reasonable commercial efforts to develop, manufacture and commercialize the licensed product.</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shares of common stock outstanding during the period, including pre-funded warrants to purchase shares of common stock. Diluted net loss per share is the same as basic net loss per share for the periods presented since the effects of potentially dilutive securities are antidilutive given the net loss of the Company.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(in thousands, except share and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(3,854)</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(7,086)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(14,498)</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(24,277)</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4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4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(4.49)</w:t>
            </w:r>
          </w:p>
        </w:tc>
        <w:tc>
          <w:tcPr>
            <w:tcW w:w="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4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4,537,683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1,577,363</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3,465,257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1,514,959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55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-1370965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-1353820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-1370965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-1353820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-1370965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-1353820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-933450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-916305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-933450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-916305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as their effect is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6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6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18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6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507,793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307,538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491,102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283,807</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245,879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393,691</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303,574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394,118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343,374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394,118</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997,638</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1,004,710</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1,938,301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1,095,108</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2,085,065</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1,071,616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520" w:right="7520" w:hanging="512"/>
        <w:spacing w:after="0" w:line="377" w:lineRule="auto"/>
        <w:tabs>
          <w:tab w:leader="none" w:pos="28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Intellectual Property</w:t>
      </w:r>
    </w:p>
    <w:p>
      <w:pPr>
        <w:spacing w:after="0" w:line="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EQUIPMENT AND FACILITY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historically entered into lease arrangements for its facilities. As of September 30, 2025,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an equipment leasing company in 2018, which provided up to $2.5 million for equipment purchases in the form of sale and leasebacks or direct leases. As of September 30, 2025, the Company has five active leases from the leasing company. The terms of the leases are three years and afterwards provide for either annual extensions or an outright purchase of the equipment.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another equipment leasing company in the second quarter of 2023. As of September 30, 2025, the Company had one active lease from this leasing company. In June 2024, the Company entered into a new finance lease agreement with another leasing company. The terms of these lease are three years and afterwards provide for either annual extensions or an outright purchase of the equipment.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equipment leases require three advance rental payments to be held as security deposits. The security deposits held amounted to approximately $0.1 million and $0.3 million as of September 30, 2025 and December 31, 2024, respectively, and are included in other non-current assets on the condensed balance sheets.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an operating lease for office space in Birmingham, Alabama, which was modified and expanded in March 2024 for a 60-month term ending in March 2029, with an option to extend five years, resulting in an increase to both the right of 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paid five monthly payments of $20,000, beginning on June 1, 2025. As of October 1, 2025, there are no payments remaining.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5" w:name="page16"/>
    <w:bookmarkEnd w:id="1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operating leases require security deposits at the inception of each lease. The security deposits amounted to $0.3 million as of September 30, 2025 and December 31, 2024. As of September 30, 2025 and December 31, 2024, $0.3 million was included in restricted cash.</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and other information pertaining to the Company’s finance and operating leases for the three and nine months ended September 30, 2025 and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2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10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7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finance right-of-use assets</w:t>
            </w: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Short-term lease cost</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Variable lease cost</w:t>
            </w: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29"/>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8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7"/>
        </w:trPr>
        <w:tc>
          <w:tcPr>
            <w:tcW w:w="5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Lease Information</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 – finance leases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 – operating leases</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-1336675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-1319530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-1336675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-1319530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-1319530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reconciles the undiscounted cash flows to the operating and finance lease liabilities at September 30, 2025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122</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payment</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short-term lease liability</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343</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-453390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("CODM") or decision making group in making decisions on how to allocate resources and assess performance. The Company has one operating segment focused on the discovery, development and commercialization of gamma-delta T cell product candidates for unmet medical needs. The CODM is the Company’s CEO. The CEO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manages the Company’s operations on a consolidated basis, assesses performance for the operating segment and decides how to allocate resources based on net loss, which is reported on the condensed statements of operations. Depreciation expense, amortization expense, stock-based compensation expense, and non-cash lease expense are significant noncash items included in net loss reviewed by the CEO and are reported on the condensed statements of cash flows. The measure of segment assets is reported on the condensed balance sheets as total consolidated assets.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INB-100 research and development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INB-200 research and development expenses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INB-400 research and development expenses</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indirect research and development expenses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Pr>
          <w:p>
            <w:pPr>
              <w:spacing w:after="0"/>
              <w:rPr>
                <w:sz w:val="18"/>
                <w:szCs w:val="18"/>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120" w:type="dxa"/>
            <w:vAlign w:val="bottom"/>
            <w:shd w:val="clear" w:color="auto" w:fill="CFF0FC"/>
          </w:tcPr>
          <w:p>
            <w:pPr>
              <w:spacing w:after="0"/>
              <w:rPr>
                <w:sz w:val="19"/>
                <w:szCs w:val="19"/>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preclinical expenses, interest income and other income.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statements that may constitute "forward-looking statements" within the meaning of Section 27A of the Securities Act of 1933, as amended, (the "Securities Act"), and Section 21E of the Securities Exchange Act of 1934, as amended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2024 in our Annual Report on Form 10-K for the fiscal year ended December 31, 2024 (the "Annual Report"). Unless otherwise indicated, all information in this Quarterly Report on Form 10-Q gives effect to a 1-for-30 reverse stock split of our common stock that became effective on June 5, 2025, and all references to shares of common stock outstanding and per share amounts give effect to the reverse stock split.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 the safe elimination of all cancer cells in every patient battling the disease.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malignant or pathogenic target cells. To date, we have conducted two main investigator-sponsored Phase 1 clinical trials to test our gamma-delta T cell technologies in cancer patients. INB-100 tests our DeltEx Allogeneic ("Allo") gamma-delta T cells in older patients with high-risk leukemias undergoing haploidentical stem cell transplantation ("HSCT") and INB-200 tests our DeltEx Drug Resistant Immunotherapy ("DRI") in newly diagnosed glioblastoma ("GBM") patients. Both trials have demonstrated long-term durable remissions with patients remaining alive and in remission for greater than four years.</w:t>
      </w:r>
    </w:p>
    <w:p>
      <w:pPr>
        <w:spacing w:after="0" w:line="9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INB-100, our first DeltEx allogeneic product candidate, was developed to assess the safety and tolerability of donor-derived manufactured expanded and activated gamma-delta T cells that do not undergo additional genetic modification. The Phase 1 trial of INB-100 has completed primary enrollment and a recommended Phase 2 dose ("RP2D") has been determined. We presented updated data at the 2025 Transplantation &amp; Cellular Therapy ("TCT") Meeting in February 2025, demonstrating that, as of the January cutoff date, 100% of acute myeloid leukemia ("AML") patients across both the original and RP2D expansion cohorts remain in complete remission ("CR"), with a median follow-up of 20.1 months for AML. Furthermore, these AML patients demonstrated 100% progression-free survival ("PFS") and 100% overall survival ("OS") rates at one-year post transplant, exceeding real-world matched control groups obtained from both the Center for International Blood and Marrow Transplant Research ("CIBMTR") national database, with 67.8% PFS and 74.7% OS at one-year, and from the Kansas University Cancer Center ("KUCC"), 57.4% PFS and 66.7% OS at one-year. KUCC is a tertiary referral center treating primarily intermediate and high-risk patients, and is where the study is currently being conducted. In the second half of 2025, we added The James Comprehensive Cancer Center at Ohio State University as an additional clinical site to accelerate enrollment and increase patient access. Patients treated with INB-100 are demonstrating prolonged and durable remissions supported by peripheral gamma-delta T cell expansion and persistence for one year, the first time this has been observed with an allogenic cellular therapy. In 2024, we held a meeting with the U.S. Food and Drug Administration ("FDA") and received regulatory guidance on a Phase 2 trial of INB-100 for the treatment of AML with PFS as the primary endpoint in a randomized controlled trial. To further de-risk this registrational pathway, we are currently enrolling an expansion cohort at the RP2D, with a target of up to an additional 15 patients (for 25 total patients in the INB-100 Phase 1 trial), to confirm the improvements in relapse free and OS observed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to date. We expect to complete the enrollment of the expansion cohort by year-end 2025, or early 2026, with long-term follow-up results anticipated in 2026.</w:t>
      </w:r>
    </w:p>
    <w:p>
      <w:pPr>
        <w:spacing w:after="0" w:line="5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DeltEx drug resistant immunotherapy ("DRI") technology is an innovative and proprietary platform that genetically engineers gamma-delta T cells to allow synergistic combinations with conventional standard-of-care chemotherapies for the treatment of solid-tumor cancers. Our proprietary genetic engineering hijacks the tumor’s own resistance mechanism to a chemotherapy to protect our DRI gamma-delta T cells from the killing effects of such chemotherapies. This allows for combination with chemotherapies to drive deeper tumor responses, with the potential for better patient outcomes. Our first indication is newly diagnosed GBM. We have completed patient enrollment and dosing in the Phase 1 investigator-initiated trial of INB-200 (NCT04165941) and we continue to follow patients for PFS and OS. We recently presented an oral plenary presentation at the American Society of Clinical Oncology ("ASCO") Annual Meeting in June 2025 where we provided longer-term patient follow-up. As of June 9, 2025, four patients who received repeated doses of INB-200 remained alive and progression-free with the longest remaining progression-free for over four years. Patients receiving a single dose of INB-200 (cohort 1) had a median progression-free survival ("mPFS") of approximately eight months compared to the expected 6.9 months mPFS in newly diagnosed GBM patients receiving the standard-of-care. Through May 31, 2025, patients who received repeated doses of INB-200 (cohort 2 and 3 combined) demonstrated a mPFS of 16.1 months, a +133% increase in mPFS over the expected 6.9 months mPFS for the standard-of-care Stupp protocol and a doubling in mPFS over the single dose patients. These mPFS results have already surpassed the historical median OS of 14.6 months associated with the SOC Stupp protocol alone. We continue to track the patients as we have not yet reached median OS and expect to provide additional updates at the 2025 Society for Neuro-Oncology ("SNO") Annual Meeting in November of this year.</w:t>
      </w:r>
    </w:p>
    <w:p>
      <w:pPr>
        <w:spacing w:after="0" w:line="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INB-400 is the corporate-sponsored investigational new drug application ("IND") for the Phase 2, multi-center clinical trial for our DeltEx DRI technology for the treatment of newly diagnosed GBM. While the IND remains open and we continue to track any enrolled patients, in September 2024, we implemented a pipeline prioritization, suspending enrollment in the Phase 2 trial of INB-400 to conserve cash resources. This trial sought to expand the assessment of genetically modified, DRI gamma-delta T cells in newly diagnosed GBM patients in multiple centers across the United States. We will continue to follow any treated patients for safety, PFS and OS. Preliminary data from patients treated at three additional centers reported mPFS of 10.8 months as of May 31, 2025, with additional data expected to be presented at the 2025 SNO Annual Meeting in November this year. We believe our DeltEx DRI gamma-delta T cell therapeutic approach is demonstrating clinical activity and can be applied to multiple solid tumor types. We are seeking additional funding sources, potential accelerated approval pathways and/or strategic opportunities to potentially partner this program. In April 2023, we received Orphan Drug Designation for the autologous and allogeneic INB-400 products from the FDA, covering a broad range of malignant glioma indications, including relapsed and newly diagnosed GBM.</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Most recently we introduced INB-600, our proprietary and internally developed T cell engager platform. This platform represents a potentially revolutionary advancement in immunotherapy, harnessing the power of gamma-delta T cells through a distinctive mechanism that optimizes effector function and targeted cytotoxicity. To date, we have observed novel properties of the TCE, which include inducing pan-gamma delta T cell expansion and activation to potentially offer powerful target cell elimination with a sustained and potent anti-tumor or anti-target response. This unique capability may not only enhance the immediate cytotoxic effects but can also build a more durable and long-lasting immune response, essential for combating both solid tumors and resistant leukemias/lymphomas as well as sustained deep target depletion for potential applications in autoimmune diseases. Traditional TCEs often function through CD3-based immune cell activation, which induce cytokine release syndrome ("CRS") and T cell exhaustion by broadly activating all T cells. In contrast, our INB-600 TCE platform selectively activates gamma-delta T cells through targeting of the gamma-delta TCR, which includes both V delta 1+ and V delta 2+ ("Vd1+" and "Vd2+") gamma-delta T cell subsets, leveraging their innate ability to recognize and kill target cells with minimal risk of CRS. The expansion of gamma-delta T cells can drive complete elimination of target cells without CD4 or CD8 expansion, demonstrating the power of this approach. The pan T cell activation and expansion of both the Vd1+ and Vd2+ gamma-delta T cell compartments further enhances our therapeutic potential by combining the rapid antigen presentation, immune activation, and phagocytosis capabilities of Vd2+ cells with the durable, tissue-resident persistence of Vd1+ cells, aimed at driving deeper and more sustained immune responses to eliminate cancers or pathogenic B cells associated with autoimmune disease.</w:t>
      </w:r>
    </w:p>
    <w:p>
      <w:pPr>
        <w:spacing w:after="0" w:line="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April 2025, at the 2025 American Association for Cancer Research ("AACR") Annual Meeting, we presented in vitro studies that demonstrated INB-619, a CD19 targeting gamma-delta TCE and INB-633, a CD33 targeting gamma-delta TCE induced strong, antigen-specific cytotoxicity against CD19+ acute lymphoblastic leukemia ("ALL") and CD33+ AML cell lines, respectively. Both TCE’s promoted robust gamma-delta T cell expansion, activation and degranulation, with increased expression of IFN-γ, TNF-α, granzyme B, and perforin, indicating a transition to a highly cytotoxic phenotype. Importantly, both engagers exhibited minimal release of inflammatory cytokines which are known to drive CRS and/or tumor promotion, including IL-6, IL-10, and IL-17a.</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2025, at the 2025 American Society of Gene &amp; Cell Therapy ("ASGCT") Annual Meeting, we presented preclinical data that demonstrated that INB-619 successfully eliminated disease-causing B cells in blood samples from patients with active Systemic Lupus Erythematosus ("SLE" or "Lupus"). INB-619 not only depletes the target CD19+ B cells, but also significantly expands and activates both key types of gamma-delta T cells (Vd1+ and Vd2+), overcoming one of the critical challenges in the clinical use of gamma-delta TCE’s in patients with chronic disease and dysfunctional immune systems, low gamma-delta T cell levels. These findings highlight the potential of INB-619 as a novel treatment option for autoimmune diseases, where harmful B cells secrete antibodies that drive inflammation and tissue damage. Unlike traditional TCEs that target CD3 and can often trigger severe side effects, INB-619 harnesses the unique properties of gamma-delta T cells to selectively eradicate B cells while minimizing inflammatory cytokines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as IL-6. The platform’s ability to effectively deplete B cells suggests potential for therapeutic applications in B cell driven autoimmune diseases.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October 2025, at the 2025 American College of Rheumatology ("ACR") Annual Convergance Meeting, we presented preclinical data demonstrating that INB-619, selectively expanded and activated gamma-delta T cells to drive powerful dose-dependent target elimination. Robust expansion of both Vd1+ and Vd2+ gamma-delta T cells enabled complete B cell depletion from SLE donor PBMCs without CD4 or CD8 expansion, demonstrating precise, targeted activation. INB-619 demonstrated complete B cell depletion comparable to commercially available CD3-based bi-specific TCE's but with a markedly improved cytokine release profile. Importantly, CRS associated cytokines including IL-6, IL-10, IL-4, and TNF-α were minimally released and below the comparators, even at higher nanomolar ("nM") concentrations of INB-619 that are far above the picomolar ("pM") concentrations required for full B cell depletion. These data highlight INB-619's ability to expand gamma-delta T cells and robustly deplete its target with minimal release of CRS associated cytokines. These data highlight INB-619’s ability to expand gamma-delta T cells and robustly eliminate B cells while maintaining a favorable safety profile, supporting a potentially wider therapeutic window that could enable higher dosing and complete immune reset in B cell-mediated autoimmune diseases.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the INB-600 platform positions us with promising candidates for a range of potential applications, from solid tumors to autoimmune diseases, with the goal of offering a comprehensive approach to immune system modulation and disease treatment. We expect to present additional preclinical data in the second half of 2025 and in 2026.</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have a portfolio of preclinical programs in development. These include INB-300, which is applicable to both solid and liquid tumors using a targeted non-signaling gamma-delta T cell based chimeric antigen receptor ("nsCAR") construct, and INB-500, which encompasses our ability to produce gamma-delta T cells from iPSCs. iPSCs represent a significant step toward next generation approaches of cellular manufacturing for true allogeneic and potentially "off-the-shelf" innate cell therapies. We presented additional preclinical data for INB-300, demonstrating our proof-of-concept in vitro studies, run in triplicate, against the leukemia antigen targets CD33 and CD123, at the AACR Annual Meeting in 2024. These data demonstrated the ability of our nsCAR constructs to distinguish between tumor tissue and healthy tissue.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3471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our at-the-market ("ATM") program with Cantor Fitzgerald &amp; Co. ("Cantor Fitzgerald"), and private placements of equity securities.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$10.7 million as of September 30, 2025 is not anticipated to fund the Company’s projected operating expenses and capital expenditure requirements for a period of at least 12 months from the date of issuance of the unaudited condensed financial statements contained elsewhere in this Quarterly Report, and accordingly, there is substantial doubt about the Company’s ability to continue to operate as a going concern.</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continue to deploy cash preservation measures to defer or reduce costs in the near term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announced in September 2024, raising additional capital through some combination of equity and/or debt offerings, including through our ATM program and private placements of securities, and identifying strategic collaborations, licensing or other arrangements to support development of our product candidates. In addition, we may receive aggregate proceeds of up to $12.1 million from the exercise of our outstanding common stock warrants. There is no assurance, however, that we will receive any additional proceeds from the exercise of these warrants or that any additional financing or any revenue-generating collaboration will be available when needed, that we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and Capital Resources"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those described in the section titled "Risk Factors." The financial statements have been prepared on the basis that we will continue as a going concern and do not include adjustments that might result from the outcome of this uncertainty.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related-benefits, severance payments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for services directly related to our product development and regulatory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conducting preclinical studies performed by ourselves, outside vendors or academic collaborators;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manufacture drug product candidates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We expect that our research and development expenses will continue to increase for the foreseeable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includes interest earned from certain bank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2025 and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6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(3,854)</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FF0FC"/>
          </w:tcPr>
          <w:p>
            <w:pPr>
              <w:spacing w:after="0"/>
              <w:rPr>
                <w:sz w:val="18"/>
                <w:szCs w:val="18"/>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2025 and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research and development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INB-100</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INB-200</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INB-400</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Preclinical expenses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Facility-related and other expenses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$2.1 million for the three months ended September 30, 2025, compared to $3.3 million for the comparable prior year period. This includes non-cash items such as stock-based compensation ("SBC") and depreciation of $0.5 million for the three months ended September 30, 2025. The decrease of $1.2 million was primarily due to a $1.0 million decrease in direct clinical costs for INB-100, INB-200 and INB-400 and a $0.4 million decrease in personnel-related costs, including salaries and SBC as a result of the decrease in our headcount, partially offset by $0.1 million in increased costs for preclinical and facility related charges.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$1.9 million for the three months ended September 30, 2025, compared to $2.7 million for the comparable prior year period. This includes non-cash items such as SBC and depreciation of $0.4 million for the three months ended September 30, 2025. The decrease of $0.8 million was primarily due to a decrease in personnel-related costs, including SBC, cost savings related to directors' and officers' insurance premiums and a reduction in professional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was $0.1 million and $0 million for the three months ended September 30, 2025 and 2024,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2025 and 2024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8"/>
                <w:szCs w:val="18"/>
                <w:color w:val="auto"/>
              </w:rPr>
            </w:pPr>
          </w:p>
        </w:tc>
      </w:tr>
      <w:tr>
        <w:trPr>
          <w:trHeight w:val="209"/>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(5,805)</w:t>
            </w: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(2,742)</w:t>
            </w: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(1,068)</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(9,615)</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r>
      <w:tr>
        <w:trPr>
          <w:trHeight w:val="210"/>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(14,498)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(24,277)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shd w:val="clear" w:color="auto" w:fill="CFF0FC"/>
          </w:tcPr>
          <w:p>
            <w:pPr>
              <w:spacing w:after="0"/>
              <w:rPr>
                <w:sz w:val="18"/>
                <w:szCs w:val="18"/>
                <w:color w:val="auto"/>
              </w:rPr>
            </w:pPr>
          </w:p>
        </w:tc>
      </w:tr>
      <w:tr>
        <w:trPr>
          <w:trHeight w:val="20"/>
        </w:trPr>
        <w:tc>
          <w:tcPr>
            <w:tcW w:w="64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(24,277)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2025 and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research and development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INB-100</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INB-200</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INB-400</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Preclinical expenses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Facility-related and other expenses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$7.6 million for the nine months ended September 30, 2025, compared to $13.4 million for the comparable prior year period. This includes non-cash items such as SBC and depreciation of $1.6 million for the nine months ended September 30, 2025. The decrease of $5.8 million was primarily due to a $2.9 million decrease in personnel-related costs, including salaries and SBC as a result of the decrease in our headcount. Direct clinical costs decreased by $3.1 million due to decreased costs for INB-200 and INB-400.</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$7.3 million for the nine months ended September 30, 2025, compared to $10.0 million for the comparable prior year period. This includes non-cash items such as SBC and depreciation of $1.7 million for the nine months ended September 30, 2025. The decrease of $2.7 million was primarily due to a decrease in personnel-related costs, including SBC, cost savings related to directors' and officers' insurance premiums and a reduction in professional services.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was $0.3 million and $0.2 million for the nine months ended September 30,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equity and equity-linked securities, including through our IPO, follow-on offering, our ATM program and the multiple private placements. Through September 30, 2025, we have raised an aggregate of $143.0 million of gross proceeds from the sale of our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4" w:name="page25"/>
    <w:bookmarkEnd w:id="2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we had cash of $10.7 million. Our current plan of operation is to execute our business strategy, by advancing clinical development of INB-100, and progressing our other product candidates, including our preclinical pipeline and strengthening our internal research and development capabilities. Additionally, we are actively seeking additional funding and potential collaborative partners for INB-100, INB-400 and our earlier stage assets INB-619 and INB-633. Based on this business strategy, our existing cash as of September 30, 2025 is only expected to fund our projected operating expenses and capital expenditure requirements into June 2026. To continue to fund the operations of the Company beyond this time period, management has developed plans, which primarily consist of the pipeline prioritization announced in September 2024,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 and Exchanges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(the "Warrant Exercises") and (ii) exchange certain Series A warrants and Series B warrants for 41,014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 See Note 7, Warrants, in our unaudited condensed financial statements contained elsewhere in this Quarterly Report for additional information.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Amendment and Series B Warrant Amendment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2025, we entered into an Amendment No. 1 to Securities Purchase Agreement (the "SPA Amendment") to amend the restrictions on certain equity sales by us set forth in the Securities Purchase Agreement, dated September 30, 2024, by among us and the investors party thereto. In consideration for the SPA Amendment, we entered into amendments with certain holders of the Series B warrants to reduce the exercise price from $45.00 to $13.50 per share, to the extent such warrants were not exercised pursuant to the Warrant Exercises or exchanged pursuant to the Warrant Exchanges.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Outstanding Warrants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had issued and outstanding 248,382 pre-funded warrants, 129,296 Series A warrants, 303,574 Series B warrants, and 997,638 Series C warrants. The Series A warrants expired on October 4, 2025.</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After giving effect to the Warrant Exchanges and Warrant Exercises, we may receive up to an aggregate of $8.1 million of gross proceeds from the exercise of the Series C warrants and pre-funded warrants, assuming the exercise in full of all of such warrants for cash. Further, after giving effect to the Warrant Exchanges and Warrant Exercises, if not otherwise redeemed by us, we may also receive aggregate proceeds of up to $4.1 million from the exercise of our outstanding Series B warrants. There is no assurance, however, that we will receive any additional proceeds from exercises of these warrants. See Note 7, Warrants, in our unaudited condensed financial statements contained elsewhere in this Quarterly Report for additional information on our outstanding warrants.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November 2022, we filed a shelf registration statement on Form S-3 (File No. 333-268288) the ("Shelf Registration Statement") with the SEC, which permits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and Truist, under which Cantor Fitzgerald and Truist agreed to act as our sales agents to sell shares of our common stock, from time to time, through the ATM program. On March 8, 2024, the Company delivered a termination notice to Truist, removing them as a sales agent under the ATM program. Such termination became effective on March 14, 2024. During the three and nine months ended September 30, 2025, we sold an aggregate of 511,057 and 1,815,346 shares of our common stock, respectively, under the ATM program, resulting in net proceeds of approximately $1.1 million and $8.5 million, respectively, after deducting underwriting discounts.</w:t>
      </w:r>
    </w:p>
    <w:p>
      <w:pPr>
        <w:spacing w:after="0" w:line="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current SEC regulations, if at any time our public float is less than $75.0 million, and for so long as our public float remains less than $75.0 million, the amount that we can raise through primary public offerings of securities in any 12-month period using shelf registration statements is limited to an aggregate of one-third of our public float, which is referred to as the baby shelf rules. As of September 30, 2025, our public float was less than $75.0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68"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clinical and commercial supplies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interruptions, delays and/or cost increases resulting from public health crises, increased interest rates and geopolitical tensions, such as the Israel-Hamas war and the Russia-Ukraine war;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inflationary factors, such as increases in the cost of our clinical trial materials and supplies, interest rates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constraints, consequences associated with geopolitical tensions such as the Israel-Hamas war and the Russia-Ukraine war, any tariffs enacted by the U.S. government and employee availability and wage increases, which may result in additional stress on our working capital resources.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increases in inflation expectations and the recent disruptions to, and volatility in, the credit and financial markets in the United States and worldwide resulting from uncertain economic conditions including inflation expectations and interest rates, bank failures, public health crises such as the COVID-19 pandemic, any potential for avian influenza or similar outbreak and other geopolitical tensions, such as the Israel-Hamas war and the Russia-Ukraine war.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material cash requirements as of September 30, 2025 included operating lease commitments, including the lease of our current headquarters office in New York, New York, laboratory and office space in Birmingham, Alabama and a manufacturing service agreement with a third party to engage in research of cell therapy products. In April 2025, we terminated our operating lease for additional unutilized office space in Birmingham, Alabama. We paid a one-time termination fee of $0.1 million, and paid five monthly payments of $20,000, beginning June 1, 2025. As of October 1, 2025, there are no additional payments due. See Note 12, Equipment and Facility Leases, in our unaudited condensed financial statements contained elsewhere in this Quarterly Report for additional information. As of September 30, 2025, we had fixed lease payment obligations of $3.6 million, with $1.2 million payable within 12 months.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below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7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(10,573)</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(20,121)</w:t>
            </w: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(17,278)</w:t>
            </w: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was $10.6 million during the nine months ended September 30, 2025, primarily due to our net loss of $14.5 million and changes in operating assets and liabilities of $0.5 million, partially offset by non-cash charges of $4.4 million. Increases in our operating assets and liabilities consisted primarily of $0.4 million in prepaid expenses and other current assets and $0.1 million in non-current assets, partially offset by decreases of $0.6 million in accrued expenses and other current liabilities relating primarily to accrued compensation, accrued clinical trials, and accrued legal, $0.2 million in accounts payable and $0.2 million in net operating lease liabilities. Non-cash charges consisted primarily of $2.5 million in stock-based compensation, $1.2 million in amortization of right-of-use assets associated with our operating and finance leases for the period and $0.8 million of depreciation.</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$20.1 million during the nine months ended September 30, 2024, primarily due to our net loss of $24.3 million and changes in operating assets and liabilities of $2.2 million, partially offset by an increase in non-cash charges of $6.1 million. Decreases in our operating assets and liabilities consisted primarily of $2.2 million in accrued expenses and other current liabilities relating primarily to accrued compensation, accrued clinical trials, and accrued legal, $0.7 million in long-term operating liabilities, partially offset by an increase of $0.2 million in accounts payable. Increases in our non-cash charges consisted primarily of $4.2 million in stock-based compensation due to the acceleration in full of outstanding unvested stock options as a result of our workforce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reduction in September 2024, $1.2 million in amortization of right-of-use assets associated with our operating and finance leases for the period, and $0.7 million of depreciation.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investing activities was nil during the nine months ended September 30, 2025.</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$0.2 million during the nine months ended September 30, 2024, primarily due to purchases of property and equipment and construction in progress activity in relation to capitalized software.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$10.1 million during the nine months ended September 30, 2025, primarily due to $8.4 million in net proceeds received from our ATM program and $2.3 million in proceeds from the exercise of warrants, partially offset by $0.6 million in principal payments of finance leases.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$3.0 million during the nine months ended September 30, 2024, primarily due to proceeds received from the issuance and sale of common stock pursuant to the ATM program of $3.8 million, partially offset by principal payments of $0.6 million on our leases and $0.2 million of deferred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Quarterly Report on Form 10-Q.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We make estimates of our accrued expenses as of each balance sheet date in the condensed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w:t>
      </w:r>
    </w:p>
    <w:p>
      <w:pPr>
        <w:spacing w:after="0" w:line="3" w:lineRule="exact"/>
        <w:rPr>
          <w:sz w:val="20"/>
          <w:szCs w:val="20"/>
          <w:color w:val="auto"/>
        </w:rPr>
      </w:pPr>
    </w:p>
    <w:p>
      <w:pPr>
        <w:jc w:val="both"/>
        <w:ind w:firstLine="8"/>
        <w:spacing w:after="0" w:line="251"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we adopted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ASU 2023-07 effective January 1, 2025. See Note 13, Segments, in the accompanying notes to the condensed financial statements for further detail. Additionally, there is no pending accounting guidance that we expect to have a material impact on the condensed financial statements.</w:t>
      </w:r>
    </w:p>
    <w:p>
      <w:pPr>
        <w:spacing w:after="0" w:line="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(Topic 740): Improvements to Income Tax Disclosures</w:t>
      </w:r>
      <w:r>
        <w:rPr>
          <w:rFonts w:ascii="Times New Roman" w:cs="Times New Roman" w:eastAsia="Times New Roman" w:hAnsi="Times New Roman"/>
          <w:sz w:val="18"/>
          <w:szCs w:val="18"/>
          <w:color w:val="auto"/>
        </w:rPr>
        <w:t>, which expands the disclosures required for income taxes. This ASU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2024, with early adoption permitted. We are currently evaluating the impact of adopting ASU 2023-09 and we will adopt it for the fiscal year ending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to present only the two most recent fiscal years of audited financial statements in our Annual Report and, similar to EGCs, smaller reporting companies have reduced disclosure obligations regarding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Item 10 of Regulation S-K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September 30, 2025, our disclosure controls and procedures were effective at the reasonable assurance level.</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September 30, 2025,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Risk Factors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common stock:</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a substantial number of shares of our common stock may cause the price of our common stock to decline.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may not be exercised and we may not receive any cash proceeds from any exercise of warrants.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inception and anticipate that we will continue to incur substantial operating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may be limited by applicable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 products approved for commercial sale, which may make it difficult for you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DeltEx product candidates utilize novel approaches to cell therapies, including cancer treatment, which presents significant challenges to successfully develop, manufacture and commercialize our product candidates.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candidate development involves a lengthy and expensive process with uncertain outcomes. We may incur additional costs and encounter substantial delays or difficulties in our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in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file investigational new drug ("IND") applications to commence additional clinical trials on the timelines we expect, and even if we are able to, the FDA may not permit us to proceed.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both"/>
        <w:ind w:left="503" w:hanging="503"/>
        <w:spacing w:after="0" w:line="261"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product candidate intended for use in combination with an already approved therapy may present increased complexity and more or different challenges than development of a product candidate for use as a single agent or monotherapy. Public opinion and scrutiny of our competitors, cell-based immunotherapy and genetic modification approaches may impact public perception of our company and product candidates, or may adversely affect our ability to conduct our business, raise additional capital and our business plans.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many of our competitors have substantially greater experience and resources than we have.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 is complex, and we may encounter difficulties in production, which would delay or prevent our ability to provide a sufficient supply of our product candidates for future clinical trials or commercialization, if approved.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third-party contractors or contract development manufacturing organization for the manufacturing of our product candidates, and failure by those parties to adequately perform their obligations could harm our business.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healthcare professionals to procure cells for manufacturing and to administer gamma-delta T cells to patients, and our business could be harmed if these third parties administer these processes and/or cells incorrectly.</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("CEO"), and Dr. Lawrence Lamb, our Chief Scientific Officer ("CSO"),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79"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the third parties with whom we work) actual or perceived failures to comply with applicable data privacy and security obligations, including laws, regulations, standards and other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minimum required closing bid price for continued listing on the Nasdaq Capital Market.</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including as a result of interest rate volatility, tariffs, most-favored nation ("MFN") drug pricing, inflation expectations, bank closures, public health crises or geopolitical tensions, such as the Russia-Ukraine and/or the Israel-Hamas wars, may have serious adverse consequences on our business, ability to raise capital, financial condition and share price.</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existing cash of $10.7 million as of September 30, 2025 is expected to fund our operations into June 2026. We continue to deploy cash preservation to defer or reduce costs in the near term in order to preserve capital and increase financial flexibility. These cash preservation measures may impact our ability and the timing to execute our strategy. For example, in September 2024, we announced that we have suspended patient enrollment in the INB-400 Phase 2 clinical trial for newly diagnosed GBM while we explore additional funding and/or partnership opportunities and a regulatory pathway towards approval for the program. Our ability to continue as a going concern will depend on our ability to obtain additional funding, as to which no assurances can be given. We continue to analyze various alternatives, including additional debt or equity financings or other arrangements. Due to the uncertainty of our ability to meet our current operating and capital expenses, in its report on our audited annual financial statements as of and for the years ended December 31, 2024 and 2023,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spacing w:after="0" w:line="8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our ongoing preclinical studies and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of other product candidates that we may pursue;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reimbursement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may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milestone and royalty payments with respect to any approved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interest rates, tariffs, MFN drug pricing, inflation expectations, recent disruptions to and volatility in the credit and financial markets in the United States and worldwide resulting from public health crises and geopolitical tensions, such as the Israel-Hamas war and the Russia-Ukraine war, and the current U.S. government shutdown.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Series B and Series C warrants may not be exercised and we may not receive any cash proceeds from any exercise of warrants.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248,3824 pre-funded warrants, 129,296 Series A warrants, 303,574 Series B warrants, and 997,638 Series C warrants outstanding. The pre-funded warrants have an exercise price of $0.003 per share. The Series A warrants expired on October 4, 2025. The Series B warrants have an exercise price of $13.50 per share, are exercisable immediately and will expire on December 13, 2028. The Series C warrants have an exercise price of $8.10 per share, are exercisable immediately and will expire on October 4, 2027.</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receive up to an aggregate of $12.2 million from the exercise of the Series B and Series C warrants, assuming the exercise in full of all of the warrants for cash. However, we will only receive proceeds to the extent the holders of warrants elect to exercise. We can provide no assurances as to the amount of proceeds we will receive from the exercise of warrants or whether we will receive any proceeds at all. Additionally, the warrants may, in certain circumstances, be exercised by way of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 To date, 47,088 Series C warrants have been exercised for net proceeds of $0.4 million.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for the years ended December 31, 2024 and 2023 contains an explanatory paragraph regarding substantial doubt about our ability to continue as a going concern.</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Due to the uncertainty of our ability to meet our current operating and capital expenses, in its report on our audited annual financial statements as of and for the years ended December 31, 2024 and 2023,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net loss was $3.9 million and $7.1 million for the three months ended September 30, 2025 and 2024 and $14.5 million and $24.3 million for the nine months ended September 30, 2025 and 2024, respectively. As of September 30, 2025, we had an accumulated deficit of $136.2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spacing w:after="0" w:line="8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advance our preclinical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current and future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relationships, and building our internal manufacturing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in the future to commercialize any current or future product candidate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discover, develop and commercialize additional product candidates;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 products approved for commercial sale, which may make it difficult for you to evaluate the success of our business to date and to assess our future viability.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INB-400,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additional funding and/or partnership opportunities, if any, for the program. We would require substantial additional funds to recommence this trial.</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ind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a comparable foreign regulatory authority for many reasons, including, among others:</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conduct of any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regulatory agencies that our product candidates are safe and effective, or have a positive benefit/risk profile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product candidates to support the submission and filing of a Biologics License Application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our manufacturing processes or facilities of third-party manufacturers with whom we contract for clinical and commercial supplies or our own manufacturing facility;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our product candidates are in early stages of development, they will require extensive preclinical and clinical testing. INB-200 and INB-100 are our only product candidates currently in clinical trials. In September 2024, we announced that we have suspended patient enrollment in the INB-400 Phase 2 clinical trial for newly diagnosed GBM while we explore additional funding and/or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gamma-delta T-cell engager program (γδ TCE), INB-600, INB-633 and INB-619, currently in preclinical development, are subject to significant risks and uncertainties that could materially impact development of this platform and impact our results, timelines, financing or business objectives. The development is early and preclinical and the work to bring a TCE through IND-enabling development and into clinical development encompasses many critical processes including cloning into optimized GMP compliant vector and cell systems, scale-up, generation of transient or stable cell lines for production, GMP manufacturing and large-scale production presents complex scientific and technical challenges. This includes the risk that the T-cell engager’s properties, such as the stimulatory/expansion domain, binding affinity or specificity, may not function as anticipated when transitioning from preclinical systems to larger-scale production system. Additionally, achieving sufficient purity during the purification process to meet stringent regulatory standards for clinical trials poses a significant risk, as difficulties in removing impurities or ensuring product stability could lead to manufacturing delays or failures. Furthermore, in IND-enabling animal models, there is a risk that the T-cell engager may not demonstrate the anticipated efficacy or may exhibit toxicity not previously identified in in vitro testing, potentially due to differences in biological systems or unforeseen off-target effects. Advancing to clinical trials introduces additional uncertainties, including challenges in obtaining regulatory approvals, potential safety or efficacy issues, difficulties in patient recruitment, and the complexities of trial execution. Failure to successfully address these risks could delay or prevent the progression of our T-cell engager into clinical development.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DeltEx product candidates utilize novel approaches to cell therapies, including cancer treatment, which presents significant challenges to successfully develop, manufacture and commercialize our product candidates.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("DRI") gamma-delta T cell preclinical product candidates. Gamma-delta T cell immunotherapy is a newly emerging field and our approaches, including genetic modification and DeltEx DRI gamma-delta T cells,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have not been extensively tested over any significant period. We have not yet succeeded and may never succeed in demonstrating efficacy and safety for any of our product candidates in clinical trials or in obtaining marketing approval thereafter.</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delay or difficulties in manufacturing lentiviral vector and/or clinical supply of INB-100, INB-200 or any of our other current or future product candidates would adversely affect our business and operations. For additional details surrounding risks related to our manufacturing process, see the risks highlighted in "Risks Related to Manufacturing and our Dependence on Third Parties," including "Our manufacturing process is complex and we may encounter difficulties in production, which would delay or prevent our ability to provide a sufficient supply of our product candidates for future clinical trials or commercialization, if approved."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Advancing product candidates utilizing such novel approaches to immunotherapy creates significant challenges for us, including, among others:</w:t>
      </w:r>
    </w:p>
    <w:p>
      <w:pPr>
        <w:spacing w:after="0" w:line="117"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 to our specifications and in a timely manner to support our clinical trials, and, if approved,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if approved, commercial supplies for the raw materials used to manufacture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addressing variability in the quality of a donor and/or patient’s T cells, which could ultimately affect our ability to produce our product candidates in a reliable and consistent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or other lymphodepletion agents in advance of administering our product candidates, which may increase the risk of adverse side effects;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how to properly isolate cells, administer our cells and the potential side effect profile of our product candidates, such as cytokine release syndrome, neurotoxicity, graft versus host disease, prolonged cytopenia, infections, hygromas and neutropenic sepsis, among others;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patients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technicians in how to properly manufacture our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safe, effective and cost-effective means of consistently expanding and manufacturing our cells;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addressing variability in demand for manufacturing and its impact on capacity utilization of available infrastructure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safe and effective means of genetically modifying our cells;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applications for and obtaining regulatory approval, as the FDA and other regulatory authorities have limited experience with commercial development of immunotherapies for cancer and viral associated infectious diseases;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as well as developing a manufacturing process and distribution network to support the commercialization of any approved products.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must be able to overcome these challenges in order for us to successfully develop, commercialize and manufacture our product candidates utilizing our novel approaches to gamma-delta T cell therapies.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 is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Recent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product candidate development involves a lengthy and expensive process with uncertain outcomes. We may incur additional costs and encounter substantial delays or difficulties in our clinical trials.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the design, location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setbacks in patient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conduct additional clinical trials or abandon product development programs.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therapy may present increased complexity and more or different challenges than development of a product candidate for use as a single agent or monotherapy.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certain of our product candidates, including INB-400 and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standard-of-care.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enrolling patients in our clinical trials, our clinical development activities could be delayed or otherwise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incidence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and the complexity for patients and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health condition of the patient and their gamma-delta T cells and immune cells broadly;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gamma-delta T cell product candidates in sufficient quantities at sufficient activity and/or transduction efficiency to provide a suitable therapeutic dose of gamma-delta T cells;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other new therapeutics, new combination treatments, new medicinal products;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clinician treatment practices and/or protocols from center to center;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 due to various reasons, including but not limited to, patients’ unwillingness to participate due to public health crises;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subjects will drop out, develop complications or die before completion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provide appropriate screening, product characterization and release assays;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materials for a patient and clinical trial;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clinical sites to enroll patients as health care capacities are required to cope with natural disasters, epidemics or other health system emergencies.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 applications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previously announced our goals for potentially submitting additional INDs for INB-100, INB-400 and INB-619. We have suspended enrollment for INB-400 as we seek additional funding sources and/or potential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Regenerative Medicine Advanced Therapy ("RMAT")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RMAT or Fast Track designations and may pursue accelerated approval for INB-100, INB-200, INB-400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identify or discover other product candidates and may fail to capitalize on programs or product candidates that may present a greater commercial opportunity or for which there is a greater likelihood of success.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any product candidates we develop obsolete;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demonstrate harmful side effects or other characteristics that indicate it is unlikely to be effective or otherwise does not meet applicable regulatory criteria;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physicians, patients, the medical community or third-party payors.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successful in replicating our approach to product candidate development for other disease indications. If we are unsuccessful in identifying and developing additional product candidates or are unable to do so, our business may be harmed.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our competitors, cell-based immunotherapy and genetic modification approaches may impact public perception of our company and product candidates, or may adversely affect our ability to raise capital, conduct our business and our business plans.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DeltEx platform utilizes a relatively novel technology involving the genetic modification of human cells and utilization of those modified cells in other individuals. Public perception may be influenced by negative claims about our DeltEx platform,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many of our competitors have substantially greater experience and resources than we have.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biologics, and therefore they may be subject to competition sooner than anticipated.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the approval of a biologic product biosimilar to one of our products could have a material adverse impact on our business as it may be significantly less costly to bring to market and may be priced significantly lower than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Dependence on Third Parties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is complex, and we may encounter difficulties in production, which would delay or prevent our ability to provide a sufficient supply of our product candidates for future clinical trials or commercialization, if approved.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of our product candidates, including INB-200 and INB-300, as well as our INB-400 program,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manufacturing process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make changes to our manufacturing process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third-party contractors or contract development manufacturing organization for the manufacturing of our product candidates, and failure by those parties to adequately perform their obligations could harm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For example, in September 2022, we announced a partnership with the Dunbar CAR T-Cell Program at the University of Louisville as the manufacturing center for our suspended INB-400 clinical program.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 our reliance on third-party manufacturers entails risks to which we would not be subject if we manufactured product candidates ourselves,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scale-up of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be able to execute our manufacturing procedures and other logistical support requirements appropriately;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fail to comply with cGMP requirements and other inspections by the FDA or other comparable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negotiate manufacturing agreements with third parties under commercially reasonable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single sources for reagents and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that are currently purchased from a sole or single-source supplier;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devote sufficient resources to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a single third-party supplier for manufacture of our automated manufacturing device and our lentiviral vectors.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gamma-delta T cell products for INB-100 and INB-200, as well as our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in a timely manner, our ability to manufacture and supply sufficient quantities of our product candidates for clinical or commercial usage will be delayed or hindered, and our business could suffer.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healthcare professionals to administer gamma-delta T cells to patients, and our business could be harmed if these third parties administer these cells incorrectly.</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we may require an updated and validated protocol for commercial-scale expansion and manufacturing of gamma-delta T cells for conducting pivotal trials and for commercialization of our product candidates, if approved.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developed commercial-scale infrastructure for freezing and thawing large quantities of gamma-delta T cells, which we believe will be required for the storage and distribution of our gamma-delta T cell product candidates at commercial scale.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health and safety laws and regulations, which can be expensive and restrict or interrupt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in October 2025, the U.S. government has shut down several times and certain regulatory agencies, such as the FDA, have had to furlough critical FDA employees and stop critical activities.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licensing of intellectual property is of critical importance to our business and to our current and future product candidates, and we expect to enter into additional such agreements in the future. In particular, our product candidates, INB-100, INB-200, INB-300 and INB-400, will or have been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have been granted exclusive licenses under these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meet our obligations under our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our license agreements, see Note 9, License Agreements, in our financial statements contained elsewhere in this Quarterly Report.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September 30, 2025, we owned, co-owned or exclusively licensed five issued U.S. patents, seven issued European patents, 20 other issued foreign patents, nine pending U.S. applications, two pending PCT applications and 22 other foreign national-stage applications, including five European regional-phase applications that are important to the development of our business.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Moreover, we may be subject to a third-party pre-issuance submission of prior art or become involved in opposition, derivation,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 or interference proceedings challenging our patent rights or the patent rights of others. The costs of defending our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18"/>
          <w:szCs w:val="18"/>
          <w:color w:val="auto"/>
        </w:rPr>
        <w:t>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Claims that we have misappropriated the confidential information or trade secrets of third parties could have a similar negative impact on our business, financial condition, results of operations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time-consuming and unsuccessful.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negatively impact our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54"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cells, cell products, genetic modifications, compounds or formulations that are similar to our product candidates but that are not covered by the claims of any patents, should they issue, that we own or license;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patents or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not provide us with any competitive advantages, or may be held invalid or unenforceable as a result of legal challenges;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in the pharmaceuticals industry depends upon our ability to attract and retain highly qualified managerial, scientific, medical and other personnel. We are highly dependent on the services of our co-founders, William Ho, our President and Chief Executive Officer, and Dr. Lawrence Lamb, our Chief Scientific Officer,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co-founders, President and CEO, William Ho, and our Chief Scientific Officer, Dr. Lawrence Lamb. Each of them may currently terminate their employment with us at any time. The loss of the services of either of these persons could impede the achievement of our research, development and commercialization objectives.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expand our organization in the future, and we may experience difficulties in managing this growth, which could disrupt our operations.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we had 17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actual or contingent liabilities;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expiration of the arrangement, which would delay the development and may increase the cost of developing our product candidates.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we may not be successful in our efforts to establish a strategic partnership or other alternative arrangements for INB-300,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internal computer systems, cloud-based computing services and those of any third parties with whom we work are vulnerable to damage or interruption from a variety of sources, including cyberattacks, malicious internet-based activity, and online and offline fraud.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and are being conducted by sophisticated and organized groups and individuals with a wide range of motives and expertise,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If any of the previously identified or similar threats were to occur and cause interruptions in our operations, it could result in a disruption of our development programs and our business operations, whether due to a loss of our sensitive information or other similar disruptions.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 Furthermore, our software systems include cloud-based applications that are hosted by third-party service providers with security and information technology systems subject to similar risks.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sensitive information of the Company could be leaked, disclosed, or revealed as a result of or in connection with our employees’, personnel’s, or vendors’ use of generative AI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current U.S. federal tax law, NOLs arising in tax years beginning after December 31, 2017 can be carried forward indefinitely, but the deductibility of these carryforwards is limited.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realize the future tax benefits of our NOL carryforwards, we must generate taxable income, of which there is no assurance. Accordingly, we have provided a full valuation allowance for deferred tax assets as of December 31, 2024.</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or other claims may, among other things, result in:</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cancellation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clinical trial participants or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decrease in our stock price;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we develop.</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Regulatory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our product candidates, they will remain subject to ongoing regulatory oversight.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 receives marketing approval, it may fail to achieve market acceptance by physicians, patients, third-party payors or others in the medical community necessary for commercial success.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spacing w:after="0" w:line="72"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efficacy, safety profile, convenience, ease of administration and other potential advantages compared to alternative treatments and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relationships with patient communities;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the product candidate together with other medications.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not be successful in commercializing them, if and when they are approved.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the FDA, we may never obtain approval outside the United States, which would limit our market opportunities.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product candidates outside the United States, a variety of risks associated with international operations could harm our business.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due to labor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Israel-Hamas war and the Russia-Ukraine war, natural disasters including earthquakes, typhoons, floods and fires, and public health emergencies.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 on Form10-K.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which could make it difficult for us to sell profitably, if approved.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negative impact on our business and 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It is unclear how any such challenges, and the healthcare reform measures of the Trump administration will impact the ACA and our business.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These changes also include aggregate reductions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Medicare payments to providers of 2% per fiscal year pursuant to the Budget Control Act of 2011, which began in 2013, and due to subsequent legislative amendments to the statute, which will remain in effect until 2032, unless additional Congressional action is taken. Additionally, on March 11, 2021, the American Rescue Plan Act of 2021 was signed into law, which eliminates the statutory Medicaid drug rebate cap, previously set at 100% of a drug’s average manufacturer price, for single source and innovator multiple source drugs, effective January 1, 2024. More recently, on August 16, 2022, the Inflation Reduction Act of 2022 ("IRA") was signed into law, which included a number of significant drug pricing reforms, including extending enhanced subsidies for individuals purchasing health insurance coverage in ACA marketplaces through plan year 2025 and a redesign of the Part D benefit, as part of which manufacturers are required to provide discounts on Part D drugs and Part D beneficiaries’ annual out-of-pocket spending will be capped at $2,000 beginning in 2025.</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At this time, the full impact to overall physician reimbursement as a result of the introduction of the Medicare quality payment program remains unclear.</w:t>
      </w:r>
    </w:p>
    <w:p>
      <w:pPr>
        <w:spacing w:after="0" w:line="6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Further, in the United States there has been heightened governmental scrutiny over the manner in which manufacturers set prices for their marketed products, which has resulted in several Congressional inquiries, Presidential executive orders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(1) directs the U.S. Department of Health and Human Services ("HHS") to negotiate the price of certain high-expenditure, single-source biologics covered under Medicare that have been on the market for at least 11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2024, HHS selected 15 additional products covered under Part D for price negotiation in 2025.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Further, 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We cannot predict the likelihood, nature or extent of government regulation that may arise from future legislation or administrative action in the United States or any other jurisdiction, particularly in light of the current Trump administration’s health reform initiatives to date.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and proposals include, for example: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(6) directing certain federal agencies to enforce existing law regarding hospital and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 on Form 10-K.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governing the processing of personal data and other sensitive information, such as information that we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become subject to or affected by new or additional data protection laws and regulations and face increased scrutiny or attention from regulatory authorities. In the United States, numerous federal and state laws and regulations, including state data breach notification laws, state health information privacy laws, and federal and state consumer protection laws and regulations (i.e., Section 5 of the FTC Act), that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comparable data privacy and security laws and regulations, some of which may be more stringent than HIPAA. For example, the California Consumer Privacy Act of 2018, as amended by the California Privacy Rights Act of 2020 (collectively, the "CCPA"), imposes obligations on covered businesses regarding the personal data of consumers, business representatives, and employees who are California residents, 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Although the CCPA exempts some data processed in the context of clinical trials, the CCPA may increase compliance costs and potential liability with respect to other personal data we may maintain about California residents. Other states have enacted data privacy laws as well. Similar laws have been enacted or are being considered in several other states, as well as at the federal and local levels, and we expect more states to pass similar laws in the future, which could further complicate compliance efforts.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In Canada, the PIPEDA and various related provincial laws, may apply to our operations.</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countries outside Europe have also passed or are considering laws requiring local data residency or otherwise impeding the transfer of personal data across borders, which increases the cost and complexity of doing business.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data privacy and security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Although we endeavor to comply with all applicable data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and results of operations.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 and you may not be able to sell your shares quickly or at the market price.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our common stock is traded on the Nasdaq Stock Market LLC, ("Nasdaq") the liquidity in our common stock on that stock market remains thin. If an active trading market for our common stock does not continue to be developed or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completed the reverse stock split of our common stock by a ratio of 1-for-30, effective June 5, 2025.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 and may fluctuate substantially, and you could lose all or part of your investment.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planned or future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and failures of competitive products or therapies or announcements, including patient deaths and clinical holds, by potential competitors of their product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coordinated buying or selling activity in our common stock, including market manipulation;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trading in our common stock or securities derivative thereof, including pursuant to naked, or uncovered, short positions or "short squeezes;"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commentary by investors on the prospects for our business or our common stock on the internet, including blogs, articles and message board, and/or social media and resulting in trading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and a wide bid-ask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sales by our stockholders;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inflation expectations, bank closures, public health crises or geographical tensions and wars, such as the Israel-Hamas war and Russia-Ukraine war;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with respect to any state actions or proceedings under Delaware statutory or common law, the Court of Chancery of the State of Delaware is the exclusive forum for:</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directors, officers, employees or agents arising under the DGCL, our amended and restated certificate of incorporation or our second amended and restated bylaws;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second amended and restated bylaws;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directors, officers, employees or agents that is governed by the internal-affairs doctrine.</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including as a result of inflation expectations, tariffs, MFN drug pricing, bank closures, public health crises or geopolitical tensions such as the Russia-Ukraine and/or the Israel-Hamas wars, may have serious adverse consequences on our business, financial condition and share price.</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unemployment rates and uncertainty about economic stability. Similarly, tensions between China and Taiwan and the Russia-Ukraine and the Israel-Hamas wars have created extreme volatility in the global capital markets and is expected to have further global economic consequences, including potential disruptions of the global supply chain, manufacturing and energy markets.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Trade disputes, tariffs, drug pricing, restrictions and other geopolitical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With the new U.S. administration,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maintain cash deposits in excess of federally insured limits. Adverse developments affecting the financial services industry, such as actual events or concerns involving liquidity, defaults or non-performance by financial institutions could adversely affect our liquidity, current financial condition and projected business operations.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domestic cash deposits in Federal Deposit Insurance Corporation ("FDIC") insured banks that exceed the FDIC insurance limits. Bank failures, events involving limited liquidity, defaults, non-performance, or other adverse developments that affect financial institutions, or concerns or rumors about such events, may lead to liquidity constraints. For example, during 2023, the FDIC took over Silicon Valley Bank, Signature Bank, Silvergate Capital Corp., and First Republic Bank, into receivership. Although the FDIC announced that all deposits with these banks would be fully insured, there continues to be uncertainty in the markets regarding the stability of regional banks and the safety of deposits in excess of the FDIC insured deposit limits. If other banks and financial institutions enter receivership or become insolvent in the future in response to financial conditions affecting the banking system and financial markets, our ability to access our existing cash may be threatened. The FDIC only insures accounts in amounts up to $250,000 per depositor per insured bank. If any of the banking institutions in which we have deposited funds ultimately fails, we may lose our deposits over $250,000. The loss of our deposits would have a material adverse effect on our business and financial condition. There can be no assurance that our deposits in excess of the FDIC or other comparable insurance limits will be backstopped by the FDIC or U.S. government, or that any bank or financial institution with which we do business will be able to obtain needed liquidity from other banks, government institutions, or by acquisition in the event of a failure or liquidity crisis. The ultimate outcome of these events cannot be predicted, but these events could have a material adverse effect on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continue to be required to devote substantial time to new compliance initiatives.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7420" w:hanging="512"/>
        <w:spacing w:after="0" w:line="412" w:lineRule="auto"/>
        <w:tabs>
          <w:tab w:leader="none" w:pos="26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right="6160" w:hanging="512"/>
        <w:spacing w:after="0" w:line="412" w:lineRule="auto"/>
        <w:tabs>
          <w:tab w:leader="none" w:pos="27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Initial Public Offering of Common Stock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"non-Rule-10b5-1 trading arrangement," as each term is defined in Item 408(a) of Regulation S-K, during the fiscal quarter ended September 30, 2025.</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560" w:type="dxa"/>
            <w:vAlign w:val="bottom"/>
            <w:gridSpan w:val="7"/>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656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980" w:type="dxa"/>
            <w:vAlign w:val="bottom"/>
            <w:tcBorders>
              <w:bottom w:val="single" w:sz="8" w:color="0000FF"/>
            </w:tcBorders>
            <w:gridSpan w:val="7"/>
          </w:tcPr>
          <w:p>
            <w:pPr>
              <w:ind w:left="20"/>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and Restated Certificate of Incorporation of the Company (incorporated herein by reference to Exhibit 3.1 to the Company’s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8"/>
          </w:tcPr>
          <w:p>
            <w:pPr>
              <w:ind w:left="20"/>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Current Report on Form 8-K (File No. 001-39692), filed with the SEC on August 3,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98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Certificate of Amendment of the Amended and Restated Certificate of Incorporation of the Company (incorporated herein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8"/>
          </w:tcPr>
          <w:p>
            <w:pPr>
              <w:ind w:left="20"/>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Exhibit 3.1 to the Company’s Current Report on Form 8-K (File No. 001-39692), filed with the SEC on June 4, 2025).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0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Second Amended and Restated Bylaws of the Company (incorporated herein by reference to Exhibit 3.1 to the Company’s Current Report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on Form 8-K (File No. 001-39692), filed with the SEC on December 7, 2023).</w:t>
              </w:r>
            </w:hyperlink>
          </w:p>
        </w:tc>
        <w:tc>
          <w:tcPr>
            <w:tcW w:w="20" w:type="dxa"/>
            <w:vAlign w:val="bottom"/>
            <w:tcBorders>
              <w:bottom w:val="single" w:sz="8" w:color="0000EE"/>
            </w:tcBorders>
          </w:tcPr>
          <w:p>
            <w:pPr>
              <w:spacing w:after="0"/>
              <w:rPr>
                <w:sz w:val="17"/>
                <w:szCs w:val="17"/>
                <w:color w:val="auto"/>
              </w:rPr>
            </w:pPr>
          </w:p>
        </w:tc>
        <w:tc>
          <w:tcPr>
            <w:tcW w:w="4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100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Rule 15d-14(a) of the Securities Exchange Act of 1934, as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 as amended</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98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15d-14(a) of the Securities Exchange Act of 1934, 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 as amended</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65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460" w:right="20" w:hanging="452"/>
        <w:spacing w:after="0" w:line="26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9512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6,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IN8bio, Inc.</w:t>
            </w:r>
          </w:p>
        </w:tc>
        <w:tc>
          <w:tcPr>
            <w:tcW w:w="4300" w:type="dxa"/>
            <w:vAlign w:val="bottom"/>
          </w:tcPr>
          <w:p>
            <w:pPr>
              <w:spacing w:after="0"/>
              <w:rPr>
                <w:sz w:val="20"/>
                <w:szCs w:val="20"/>
                <w:color w:val="auto"/>
              </w:rPr>
            </w:pP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 William Ho</w:t>
            </w:r>
          </w:p>
        </w:tc>
      </w:tr>
      <w:tr>
        <w:trPr>
          <w:trHeight w:val="187"/>
        </w:trPr>
        <w:tc>
          <w:tcPr>
            <w:tcW w:w="3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6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William Ho</w:t>
            </w:r>
          </w:p>
        </w:tc>
      </w:tr>
      <w:tr>
        <w:trPr>
          <w:trHeight w:val="218"/>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 Patrick McCall</w:t>
            </w:r>
          </w:p>
        </w:tc>
      </w:tr>
      <w:tr>
        <w:trPr>
          <w:trHeight w:val="187"/>
        </w:trPr>
        <w:tc>
          <w:tcPr>
            <w:tcW w:w="3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tcPr>
          <w:p>
            <w:pPr>
              <w:jc w:val="center"/>
              <w:ind w:right="6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Patrick McCall</w:t>
            </w:r>
          </w:p>
        </w:tc>
      </w:tr>
      <w:tr>
        <w:trPr>
          <w:trHeight w:val="218"/>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Secretary</w:t>
            </w:r>
          </w:p>
        </w:tc>
      </w:tr>
      <w:tr>
        <w:trPr>
          <w:trHeight w:val="236"/>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Pr>
          <w:p>
            <w:pPr>
              <w:jc w:val="center"/>
              <w:ind w:right="65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200" w:lineRule="exact"/>
        <w:rPr>
          <w:sz w:val="20"/>
          <w:szCs w:val="20"/>
          <w:color w:val="auto"/>
        </w:rPr>
      </w:pPr>
    </w:p>
    <w:p>
      <w:pPr>
        <w:sectPr>
          <w:pgSz w:w="11900" w:h="16838" w:orient="portrait"/>
          <w:cols w:equalWidth="0" w:num="2">
            <w:col w:w="5140" w:space="720"/>
            <w:col w:w="5380"/>
          </w:cols>
          <w:pgMar w:left="320" w:top="98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 William Ho, certify that:</w:t>
      </w:r>
    </w:p>
    <w:p>
      <w:pPr>
        <w:spacing w:after="0" w:line="167"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IN8bio, Inc.;</w:t>
      </w:r>
    </w:p>
    <w:p>
      <w:pPr>
        <w:spacing w:after="0" w:line="167"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ind w:right="100" w:firstLine="8"/>
        <w:spacing w:after="0" w:line="26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IN8bio, Inc.</w:t>
      </w:r>
    </w:p>
    <w:p>
      <w:pPr>
        <w:spacing w:after="0" w:line="194" w:lineRule="exact"/>
        <w:rPr>
          <w:sz w:val="20"/>
          <w:szCs w:val="20"/>
          <w:color w:val="auto"/>
        </w:rPr>
      </w:pPr>
    </w:p>
    <w:p>
      <w:pPr>
        <w:spacing w:after="0"/>
        <w:tabs>
          <w:tab w:leader="none" w:pos="660" w:val="left"/>
          <w:tab w:leader="none" w:pos="5900" w:val="left"/>
          <w:tab w:leader="none" w:pos="82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943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5" w:lineRule="exact"/>
        <w:rPr>
          <w:sz w:val="20"/>
          <w:szCs w:val="20"/>
          <w:color w:val="auto"/>
        </w:rPr>
      </w:pPr>
    </w:p>
    <w:p>
      <w:pPr>
        <w:jc w:val="center"/>
        <w:ind w:left="6340"/>
        <w:spacing w:after="0"/>
        <w:rPr>
          <w:sz w:val="20"/>
          <w:szCs w:val="20"/>
          <w:color w:val="auto"/>
        </w:rPr>
      </w:pPr>
      <w:r>
        <w:rPr>
          <w:rFonts w:ascii="Arial" w:cs="Arial" w:eastAsia="Arial" w:hAnsi="Arial"/>
          <w:sz w:val="16"/>
          <w:szCs w:val="16"/>
          <w:b w:val="1"/>
          <w:bCs w:val="1"/>
          <w:color w:val="auto"/>
        </w:rPr>
        <w:t>William Ho</w:t>
      </w:r>
    </w:p>
    <w:p>
      <w:pPr>
        <w:spacing w:after="0" w:line="5" w:lineRule="exact"/>
        <w:rPr>
          <w:sz w:val="20"/>
          <w:szCs w:val="20"/>
          <w:color w:val="auto"/>
        </w:rPr>
      </w:pPr>
    </w:p>
    <w:p>
      <w:pPr>
        <w:jc w:val="center"/>
        <w:ind w:left="634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63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 Patrick McCall, certify that:</w:t>
      </w:r>
    </w:p>
    <w:p>
      <w:pPr>
        <w:spacing w:after="0" w:line="167"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IN8bio, Inc.;</w:t>
      </w:r>
    </w:p>
    <w:p>
      <w:pPr>
        <w:spacing w:after="0" w:line="167"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ind w:right="100" w:firstLine="8"/>
        <w:spacing w:after="0" w:line="266"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IN8bio, Inc.</w:t>
      </w:r>
    </w:p>
    <w:p>
      <w:pPr>
        <w:spacing w:after="0" w:line="194" w:lineRule="exact"/>
        <w:rPr>
          <w:sz w:val="20"/>
          <w:szCs w:val="20"/>
          <w:color w:val="auto"/>
        </w:rPr>
      </w:pPr>
    </w:p>
    <w:p>
      <w:pPr>
        <w:spacing w:after="0"/>
        <w:tabs>
          <w:tab w:leader="none" w:pos="680" w:val="left"/>
          <w:tab w:leader="none" w:pos="5900" w:val="left"/>
          <w:tab w:leader="none" w:pos="81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6,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943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5" w:lineRule="exact"/>
        <w:rPr>
          <w:sz w:val="20"/>
          <w:szCs w:val="20"/>
          <w:color w:val="auto"/>
        </w:rPr>
      </w:pPr>
    </w:p>
    <w:p>
      <w:pPr>
        <w:jc w:val="center"/>
        <w:ind w:left="6340"/>
        <w:spacing w:after="0"/>
        <w:rPr>
          <w:sz w:val="20"/>
          <w:szCs w:val="20"/>
          <w:color w:val="auto"/>
        </w:rPr>
      </w:pPr>
      <w:r>
        <w:rPr>
          <w:rFonts w:ascii="Arial" w:cs="Arial" w:eastAsia="Arial" w:hAnsi="Arial"/>
          <w:sz w:val="16"/>
          <w:szCs w:val="16"/>
          <w:b w:val="1"/>
          <w:bCs w:val="1"/>
          <w:color w:val="auto"/>
        </w:rPr>
        <w:t>Patrick McCall</w:t>
      </w:r>
    </w:p>
    <w:p>
      <w:pPr>
        <w:spacing w:after="0" w:line="5" w:lineRule="exact"/>
        <w:rPr>
          <w:sz w:val="20"/>
          <w:szCs w:val="20"/>
          <w:color w:val="auto"/>
        </w:rPr>
      </w:pPr>
    </w:p>
    <w:p>
      <w:pPr>
        <w:jc w:val="center"/>
        <w:ind w:left="6340"/>
        <w:spacing w:after="0"/>
        <w:rPr>
          <w:sz w:val="20"/>
          <w:szCs w:val="20"/>
          <w:color w:val="auto"/>
        </w:rPr>
      </w:pPr>
      <w:r>
        <w:rPr>
          <w:rFonts w:ascii="Arial" w:cs="Arial" w:eastAsia="Arial" w:hAnsi="Arial"/>
          <w:sz w:val="16"/>
          <w:szCs w:val="16"/>
          <w:b w:val="1"/>
          <w:bCs w:val="1"/>
          <w:color w:val="auto"/>
        </w:rPr>
        <w:t>Chief Financial Officer and Secretary</w:t>
      </w:r>
    </w:p>
    <w:p>
      <w:pPr>
        <w:spacing w:after="0" w:line="5" w:lineRule="exact"/>
        <w:rPr>
          <w:sz w:val="20"/>
          <w:szCs w:val="20"/>
          <w:color w:val="auto"/>
        </w:rPr>
      </w:pPr>
    </w:p>
    <w:p>
      <w:pPr>
        <w:jc w:val="center"/>
        <w:ind w:left="63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connection with the Quarterly Report on Form 10-Q of IN8bio, Inc. (the “Company”) for the period ended September 30, 2025 as filed with the Securities and Exchange Commission on the date hereof (the “Report”), I certify, pursuant to 18 U.S.C. §1350, as adopted pursuant to §906 of the Sarbanes-Oxley Act of 2002, that, to the best of my knowledge:</w:t>
      </w:r>
    </w:p>
    <w:p>
      <w:pPr>
        <w:spacing w:after="0" w:line="144" w:lineRule="exact"/>
        <w:rPr>
          <w:sz w:val="20"/>
          <w:szCs w:val="20"/>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IN8bio, Inc.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120"/>
              <w:spacing w:after="0"/>
              <w:rPr>
                <w:sz w:val="20"/>
                <w:szCs w:val="20"/>
                <w:color w:val="auto"/>
              </w:rPr>
            </w:pPr>
            <w:r>
              <w:rPr>
                <w:rFonts w:ascii="Arial" w:cs="Arial" w:eastAsia="Arial" w:hAnsi="Arial"/>
                <w:sz w:val="18"/>
                <w:szCs w:val="18"/>
                <w:color w:val="auto"/>
              </w:rPr>
              <w:t>November 6, 2025</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Ho</w:t>
            </w:r>
          </w:p>
        </w:tc>
      </w:tr>
      <w:tr>
        <w:trPr>
          <w:trHeight w:val="177"/>
        </w:trPr>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William Ho</w:t>
            </w:r>
          </w:p>
        </w:tc>
      </w:tr>
      <w:tr>
        <w:trPr>
          <w:trHeight w:val="205"/>
        </w:trPr>
        <w:tc>
          <w:tcPr>
            <w:tcW w:w="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Chief Executive Officer</w:t>
            </w:r>
          </w:p>
        </w:tc>
      </w:tr>
      <w:tr>
        <w:trPr>
          <w:trHeight w:val="237"/>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3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ind w:left="120"/>
              <w:spacing w:after="0"/>
              <w:rPr>
                <w:sz w:val="20"/>
                <w:szCs w:val="20"/>
                <w:color w:val="auto"/>
              </w:rPr>
            </w:pPr>
            <w:r>
              <w:rPr>
                <w:rFonts w:ascii="Arial" w:cs="Arial" w:eastAsia="Arial" w:hAnsi="Arial"/>
                <w:sz w:val="18"/>
                <w:szCs w:val="18"/>
                <w:color w:val="auto"/>
              </w:rPr>
              <w:t>November 6, 2025</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McCall</w:t>
            </w:r>
          </w:p>
        </w:tc>
      </w:tr>
      <w:tr>
        <w:trPr>
          <w:trHeight w:val="177"/>
        </w:trPr>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Patrick McCall</w:t>
            </w:r>
          </w:p>
        </w:tc>
      </w:tr>
      <w:tr>
        <w:trPr>
          <w:trHeight w:val="205"/>
        </w:trPr>
        <w:tc>
          <w:tcPr>
            <w:tcW w:w="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Chief Financial Officer and Secretary</w:t>
            </w:r>
          </w:p>
        </w:tc>
      </w:tr>
      <w:tr>
        <w:trPr>
          <w:trHeight w:val="237"/>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and Accounting Officer)</w:t>
            </w:r>
          </w:p>
        </w:tc>
      </w:tr>
      <w:tr>
        <w:trPr>
          <w:trHeight w:val="1609"/>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3"/>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32" Type="http://schemas.openxmlformats.org/officeDocument/2006/relationships/hyperlink" Target="https://www.sec.gov/Archives/edgar/data/1740279/000110465921099436/tm2030088d31_ex3-1.htm" TargetMode="External"/><Relationship Id="rId233" Type="http://schemas.openxmlformats.org/officeDocument/2006/relationships/hyperlink" Target="https://www.sec.gov/Archives/edgar/data/1740279/000119312525134487/d927529dex31.htm" TargetMode="External"/><Relationship Id="rId234" Type="http://schemas.openxmlformats.org/officeDocument/2006/relationships/hyperlink" Target="https://www.sec.gov/Archives/edgar/data/1740279/000119312523290707/d63402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2025-11-06T15:27:22Z</dcterms:created>
  <dcterms:modified xsi:type="dcterms:W3CDTF">2025-11-06T15:27:22Z</dcterms:modified>
</cp:coreProperties>
</file>