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4" w:lineRule="exact"/>
        <w:rPr>
          <w:sz w:val="24"/>
          <w:szCs w:val="24"/>
          <w:color w:val="auto"/>
        </w:rPr>
      </w:pPr>
    </w:p>
    <w:p>
      <w:pPr>
        <w:ind w:left="320" w:right="20"/>
        <w:spacing w:after="0" w:line="27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-184785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6"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8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-584835</wp:posOffset>
            </wp:positionV>
            <wp:extent cx="55880"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8170"/>
                    </a:xfrm>
                    <a:prstGeom prst="rect">
                      <a:avLst/>
                    </a:prstGeom>
                    <a:noFill/>
                  </pic:spPr>
                </pic:pic>
              </a:graphicData>
            </a:graphic>
          </wp:anchor>
        </w:drawing>
        <w:drawing>
          <wp:anchor simplePos="0" relativeHeight="251657728" behindDoc="1" locked="0" layoutInCell="0" allowOverlap="1">
            <wp:simplePos x="0" y="0"/>
            <wp:positionH relativeFrom="column">
              <wp:posOffset>3853180</wp:posOffset>
            </wp:positionH>
            <wp:positionV relativeFrom="paragraph">
              <wp:posOffset>-584835</wp:posOffset>
            </wp:positionV>
            <wp:extent cx="55880" cy="598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817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617220</wp:posOffset>
            </wp:positionV>
            <wp:extent cx="7002780" cy="888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8883015"/>
                    </a:xfrm>
                    <a:prstGeom prst="rect">
                      <a:avLst/>
                    </a:prstGeom>
                    <a:noFill/>
                  </pic:spPr>
                </pic:pic>
              </a:graphicData>
            </a:graphic>
          </wp:anchor>
        </w:drawing>
      </w:r>
    </w:p>
    <w:p>
      <w:pPr>
        <w:spacing w:after="0" w:line="978" w:lineRule="exact"/>
        <w:rPr>
          <w:sz w:val="24"/>
          <w:szCs w:val="24"/>
          <w:color w:val="auto"/>
        </w:rPr>
      </w:pPr>
    </w:p>
    <w:p>
      <w:pPr>
        <w:sectPr>
          <w:pgSz w:w="11900" w:h="16894" w:orient="portrait"/>
          <w:cols w:equalWidth="0" w:num="2">
            <w:col w:w="2300" w:space="480"/>
            <w:col w:w="830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8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60" w:type="dxa"/>
            <w:vAlign w:val="bottom"/>
            <w:gridSpan w:val="6"/>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122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Kreis Leslie W.</w:t>
              </w:r>
            </w:hyperlink>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0" w:type="dxa"/>
            <w:vAlign w:val="bottom"/>
            <w:gridSpan w:val="6"/>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IN8BIO,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2"/>
                <w:szCs w:val="12"/>
                <w:color w:val="auto"/>
              </w:rPr>
              <w:t>(Check all applicable)</w:t>
            </w: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220" w:type="dxa"/>
            <w:vAlign w:val="bottom"/>
            <w:tcBorders>
              <w:bottom w:val="single" w:sz="8" w:color="0000EE"/>
            </w:tcBorders>
          </w:tcPr>
          <w:p>
            <w:pPr>
              <w:spacing w:after="0"/>
              <w:rPr>
                <w:sz w:val="5"/>
                <w:szCs w:val="5"/>
                <w:color w:val="auto"/>
              </w:rPr>
            </w:pPr>
          </w:p>
        </w:tc>
        <w:tc>
          <w:tcPr>
            <w:tcW w:w="620" w:type="dxa"/>
            <w:vAlign w:val="bottom"/>
            <w:tcBorders>
              <w:bottom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6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w w:val="99"/>
              </w:rPr>
              <w:t>Officer (give title</w:t>
            </w:r>
          </w:p>
        </w:tc>
        <w:tc>
          <w:tcPr>
            <w:tcW w:w="660" w:type="dxa"/>
            <w:vAlign w:val="bottom"/>
          </w:tcPr>
          <w:p>
            <w:pPr>
              <w:spacing w:after="0"/>
              <w:rPr>
                <w:sz w:val="7"/>
                <w:szCs w:val="7"/>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660" w:type="dxa"/>
            <w:vAlign w:val="bottom"/>
          </w:tcPr>
          <w:p>
            <w:pPr>
              <w:spacing w:after="0"/>
              <w:rPr>
                <w:sz w:val="3"/>
                <w:szCs w:val="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color w:val="auto"/>
              </w:rPr>
              <w:t>below)</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9"/>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60" w:type="dxa"/>
            <w:vAlign w:val="bottom"/>
            <w:gridSpan w:val="9"/>
            <w:vMerge w:val="continue"/>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40" w:type="dxa"/>
            <w:vAlign w:val="bottom"/>
          </w:tcPr>
          <w:p>
            <w:pPr>
              <w:spacing w:after="0"/>
              <w:rPr>
                <w:sz w:val="19"/>
                <w:szCs w:val="19"/>
                <w:color w:val="auto"/>
              </w:rPr>
            </w:pPr>
          </w:p>
        </w:tc>
        <w:tc>
          <w:tcPr>
            <w:tcW w:w="1640" w:type="dxa"/>
            <w:vAlign w:val="bottom"/>
            <w:gridSpan w:val="7"/>
          </w:tcPr>
          <w:p>
            <w:pPr>
              <w:jc w:val="right"/>
              <w:ind w:right="326"/>
              <w:spacing w:after="0"/>
              <w:rPr>
                <w:sz w:val="20"/>
                <w:szCs w:val="20"/>
                <w:color w:val="auto"/>
              </w:rPr>
            </w:pPr>
            <w:r>
              <w:rPr>
                <w:rFonts w:ascii="Times New Roman" w:cs="Times New Roman" w:eastAsia="Times New Roman" w:hAnsi="Times New Roman"/>
                <w:sz w:val="16"/>
                <w:szCs w:val="16"/>
                <w:color w:val="0000FF"/>
              </w:rPr>
              <w:t>10/04/2024</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620" w:type="dxa"/>
            <w:vAlign w:val="bottom"/>
            <w:tcBorders>
              <w:bottom w:val="single" w:sz="8" w:color="2C2C2C"/>
            </w:tcBorders>
            <w:gridSpan w:val="5"/>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gridSpan w:val="5"/>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60" w:type="dxa"/>
            <w:vAlign w:val="bottom"/>
            <w:gridSpan w:val="9"/>
            <w:vMerge w:val="restart"/>
          </w:tcPr>
          <w:p>
            <w:pPr>
              <w:spacing w:after="0"/>
              <w:rPr>
                <w:sz w:val="20"/>
                <w:szCs w:val="20"/>
                <w:color w:val="auto"/>
              </w:rPr>
            </w:pPr>
            <w:r>
              <w:rPr>
                <w:rFonts w:ascii="Arial" w:cs="Arial" w:eastAsia="Arial" w:hAnsi="Arial"/>
                <w:sz w:val="12"/>
                <w:szCs w:val="12"/>
                <w:color w:val="auto"/>
                <w:w w:val="99"/>
              </w:rPr>
              <w:t>4. If Amendment, Date of Original Filed (Month/Day/Year)</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60" w:type="dxa"/>
            <w:vAlign w:val="bottom"/>
            <w:gridSpan w:val="6"/>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9"/>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8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76107</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7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8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8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gridSpan w:val="4"/>
          </w:tcPr>
          <w:p>
            <w:pPr>
              <w:spacing w:after="0"/>
              <w:rPr>
                <w:sz w:val="9"/>
                <w:szCs w:val="9"/>
                <w:color w:val="auto"/>
              </w:rPr>
            </w:pPr>
          </w:p>
        </w:tc>
        <w:tc>
          <w:tcPr>
            <w:tcW w:w="2220" w:type="dxa"/>
            <w:vAlign w:val="bottom"/>
            <w:tcBorders>
              <w:bottom w:val="single" w:sz="8" w:color="2C2C2C"/>
            </w:tcBorders>
            <w:gridSpan w:val="7"/>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114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720" w:type="dxa"/>
            <w:vAlign w:val="bottom"/>
            <w:gridSpan w:val="22"/>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800" w:type="dxa"/>
            <w:vAlign w:val="bottom"/>
            <w:gridSpan w:val="5"/>
          </w:tcPr>
          <w:p>
            <w:pPr>
              <w:ind w:left="20"/>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w w:val="95"/>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150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4. Securities Acquired (A) 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w:t>
            </w:r>
          </w:p>
        </w:tc>
        <w:tc>
          <w:tcPr>
            <w:tcW w:w="3020" w:type="dxa"/>
            <w:vAlign w:val="bottom"/>
            <w:gridSpan w:val="10"/>
          </w:tcPr>
          <w:p>
            <w:pPr>
              <w:ind w:left="40"/>
              <w:spacing w:after="0" w:line="121" w:lineRule="exact"/>
              <w:rPr>
                <w:sz w:val="20"/>
                <w:szCs w:val="20"/>
                <w:color w:val="auto"/>
              </w:rPr>
            </w:pPr>
            <w:r>
              <w:rPr>
                <w:rFonts w:ascii="Arial" w:cs="Arial" w:eastAsia="Arial" w:hAnsi="Arial"/>
                <w:sz w:val="11"/>
                <w:szCs w:val="11"/>
                <w:b w:val="1"/>
                <w:bCs w:val="1"/>
                <w:color w:val="auto"/>
              </w:rPr>
              <w:t>Disposed Of (D) (Instr. 3, 4 and 5)    Securities</w:t>
            </w: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gridSpan w:val="6"/>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Code (Instr.</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220" w:type="dxa"/>
            <w:vAlign w:val="bottom"/>
          </w:tcPr>
          <w:p>
            <w:pPr>
              <w:spacing w:after="0"/>
              <w:rPr>
                <w:sz w:val="10"/>
                <w:szCs w:val="10"/>
                <w:color w:val="auto"/>
              </w:rPr>
            </w:pPr>
          </w:p>
        </w:tc>
        <w:tc>
          <w:tcPr>
            <w:tcW w:w="96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ind w:left="120"/>
              <w:spacing w:after="0" w:line="121"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line="121" w:lineRule="exact"/>
              <w:rPr>
                <w:sz w:val="20"/>
                <w:szCs w:val="20"/>
                <w:color w:val="auto"/>
              </w:rPr>
            </w:pPr>
            <w:r>
              <w:rPr>
                <w:rFonts w:ascii="Arial" w:cs="Arial" w:eastAsia="Arial" w:hAnsi="Arial"/>
                <w:sz w:val="11"/>
                <w:szCs w:val="11"/>
                <w:b w:val="1"/>
                <w:bCs w:val="1"/>
                <w:color w:val="auto"/>
              </w:rPr>
              <w:t>(A) or</w:t>
            </w:r>
          </w:p>
        </w:tc>
        <w:tc>
          <w:tcPr>
            <w:tcW w:w="280" w:type="dxa"/>
            <w:vAlign w:val="bottom"/>
            <w:gridSpan w:val="4"/>
            <w:vMerge w:val="restart"/>
          </w:tcPr>
          <w:p>
            <w:pPr>
              <w:spacing w:after="0"/>
              <w:rPr>
                <w:sz w:val="20"/>
                <w:szCs w:val="20"/>
                <w:color w:val="auto"/>
              </w:rPr>
            </w:pPr>
            <w:r>
              <w:rPr>
                <w:rFonts w:ascii="Arial" w:cs="Arial" w:eastAsia="Arial" w:hAnsi="Arial"/>
                <w:sz w:val="11"/>
                <w:szCs w:val="11"/>
                <w:b w:val="1"/>
                <w:bCs w:val="1"/>
                <w:color w:val="auto"/>
                <w:w w:val="96"/>
              </w:rPr>
              <w:t>Price</w:t>
            </w:r>
          </w:p>
        </w:tc>
        <w:tc>
          <w:tcPr>
            <w:tcW w:w="280" w:type="dxa"/>
            <w:vAlign w:val="bottom"/>
          </w:tcPr>
          <w:p>
            <w:pPr>
              <w:spacing w:after="0"/>
              <w:rPr>
                <w:sz w:val="10"/>
                <w:szCs w:val="10"/>
                <w:color w:val="auto"/>
              </w:rPr>
            </w:pPr>
          </w:p>
        </w:tc>
        <w:tc>
          <w:tcPr>
            <w:tcW w:w="11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601,980</w:t>
            </w: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320" w:type="dxa"/>
            <w:vAlign w:val="bottom"/>
            <w:gridSpan w:val="4"/>
            <w:vMerge w:val="continue"/>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restart"/>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NT, LP</w:t>
            </w:r>
            <w:r>
              <w:rPr>
                <w:rFonts w:ascii="Times New Roman" w:cs="Times New Roman" w:eastAsia="Times New Roman" w:hAnsi="Times New Roman"/>
                <w:sz w:val="9"/>
                <w:szCs w:val="9"/>
                <w:color w:val="008000"/>
              </w:rPr>
              <w:t>(3)(4)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(5)(6)(7)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3,727,597</w:t>
            </w: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320" w:type="dxa"/>
            <w:vAlign w:val="bottom"/>
            <w:gridSpan w:val="4"/>
            <w:vMerge w:val="continue"/>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restart"/>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QP, LP</w:t>
            </w:r>
            <w:r>
              <w:rPr>
                <w:rFonts w:ascii="Times New Roman" w:cs="Times New Roman" w:eastAsia="Times New Roman" w:hAnsi="Times New Roman"/>
                <w:sz w:val="9"/>
                <w:szCs w:val="9"/>
                <w:color w:val="008000"/>
              </w:rPr>
              <w:t>(3)(4)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(5)(6)(7)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570,724</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120"/>
              <w:spacing w:after="0" w:line="253"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(3)(4)(5)(6)(7)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574,432</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120"/>
              <w:spacing w:after="0" w:line="253"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(3)(4)(5)(6)(7)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1,876,624</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 QP,</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120"/>
              <w:spacing w:after="0" w:line="253"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(3)(4)(5)(6)(7)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251,211</w:t>
            </w: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Fund II 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120"/>
              <w:spacing w:after="0" w:line="253"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(3)(4)(5)(6)(7)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6"/>
                <w:szCs w:val="16"/>
                <w:color w:val="0000FF"/>
                <w:w w:val="96"/>
              </w:rPr>
              <w:t>997,433</w:t>
            </w:r>
          </w:p>
        </w:tc>
        <w:tc>
          <w:tcPr>
            <w:tcW w:w="6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2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Incysus Co-</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3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Invest I,</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120"/>
              <w:spacing w:after="0" w:line="253"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(3)(4)(5)(6)(7)</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720" w:type="dxa"/>
            <w:vAlign w:val="bottom"/>
            <w:gridSpan w:val="22"/>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60" w:type="dxa"/>
            <w:vAlign w:val="bottom"/>
            <w:gridSpan w:val="18"/>
          </w:tcPr>
          <w:p>
            <w:pPr>
              <w:ind w:left="2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5"/>
          </w:tcPr>
          <w:p>
            <w:pPr>
              <w:spacing w:after="0"/>
              <w:rPr>
                <w:sz w:val="20"/>
                <w:szCs w:val="20"/>
                <w:color w:val="auto"/>
              </w:rPr>
            </w:pPr>
            <w:r>
              <w:rPr>
                <w:rFonts w:ascii="Arial" w:cs="Arial" w:eastAsia="Arial" w:hAnsi="Arial"/>
                <w:sz w:val="11"/>
                <w:szCs w:val="11"/>
                <w:b w:val="1"/>
                <w:bCs w:val="1"/>
                <w:color w:val="auto"/>
              </w:rPr>
              <w:t>6. Date Exercisable and</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w w:val="97"/>
              </w:rPr>
              <w:t>7. Title and 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jc w:val="center"/>
              <w:ind w:right="6"/>
              <w:spacing w:after="0"/>
              <w:rPr>
                <w:sz w:val="20"/>
                <w:szCs w:val="20"/>
                <w:color w:val="auto"/>
              </w:rPr>
            </w:pPr>
            <w:r>
              <w:rPr>
                <w:rFonts w:ascii="Arial" w:cs="Arial" w:eastAsia="Arial" w:hAnsi="Arial"/>
                <w:sz w:val="11"/>
                <w:szCs w:val="11"/>
                <w:b w:val="1"/>
                <w:bCs w:val="1"/>
                <w:color w:val="auto"/>
                <w:w w:val="98"/>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spacing w:after="0"/>
              <w:rPr>
                <w:sz w:val="20"/>
                <w:szCs w:val="20"/>
                <w:color w:val="auto"/>
              </w:rPr>
            </w:pPr>
            <w:r>
              <w:rPr>
                <w:rFonts w:ascii="Arial" w:cs="Arial" w:eastAsia="Arial" w:hAnsi="Arial"/>
                <w:sz w:val="11"/>
                <w:szCs w:val="11"/>
                <w:b w:val="1"/>
                <w:bCs w:val="1"/>
                <w:color w:val="auto"/>
              </w:rPr>
              <w:t>10.</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 Indirect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260" w:type="dxa"/>
            <w:vAlign w:val="bottom"/>
          </w:tcPr>
          <w:p>
            <w:pPr>
              <w:spacing w:after="0"/>
              <w:rPr>
                <w:sz w:val="10"/>
                <w:szCs w:val="10"/>
                <w:color w:val="auto"/>
              </w:rPr>
            </w:pPr>
          </w:p>
        </w:tc>
        <w:tc>
          <w:tcPr>
            <w:tcW w:w="10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of Securities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4"/>
          </w:tcPr>
          <w:p>
            <w:pPr>
              <w:jc w:val="center"/>
              <w:ind w:right="6"/>
              <w:spacing w:after="0" w:line="121" w:lineRule="exact"/>
              <w:rPr>
                <w:sz w:val="20"/>
                <w:szCs w:val="20"/>
                <w:color w:val="auto"/>
              </w:rPr>
            </w:pPr>
            <w:r>
              <w:rPr>
                <w:rFonts w:ascii="Arial" w:cs="Arial" w:eastAsia="Arial" w:hAnsi="Arial"/>
                <w:sz w:val="11"/>
                <w:szCs w:val="11"/>
                <w:b w:val="1"/>
                <w:bCs w:val="1"/>
                <w:color w:val="auto"/>
                <w:w w:val="98"/>
              </w:rPr>
              <w:t>Derivative</w:t>
            </w: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11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 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6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11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rPr>
                <w:sz w:val="10"/>
                <w:szCs w:val="10"/>
                <w:color w:val="auto"/>
              </w:rPr>
            </w:pPr>
          </w:p>
        </w:tc>
        <w:tc>
          <w:tcPr>
            <w:tcW w:w="10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Underlying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spacing w:after="0" w:line="121" w:lineRule="exact"/>
              <w:rPr>
                <w:sz w:val="20"/>
                <w:szCs w:val="20"/>
                <w:color w:val="auto"/>
              </w:rPr>
            </w:pPr>
            <w:r>
              <w:rPr>
                <w:rFonts w:ascii="Arial" w:cs="Arial" w:eastAsia="Arial" w:hAnsi="Arial"/>
                <w:sz w:val="11"/>
                <w:szCs w:val="11"/>
                <w:b w:val="1"/>
                <w:bCs w:val="1"/>
                <w:color w:val="auto"/>
              </w:rPr>
              <w:t>Form:</w:t>
            </w:r>
          </w:p>
        </w:tc>
        <w:tc>
          <w:tcPr>
            <w:tcW w:w="11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4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spacing w:after="0" w:line="121" w:lineRule="exact"/>
              <w:rPr>
                <w:sz w:val="20"/>
                <w:szCs w:val="20"/>
                <w:color w:val="auto"/>
              </w:rPr>
            </w:pPr>
            <w:r>
              <w:rPr>
                <w:rFonts w:ascii="Arial" w:cs="Arial" w:eastAsia="Arial" w:hAnsi="Arial"/>
                <w:sz w:val="11"/>
                <w:szCs w:val="11"/>
                <w:b w:val="1"/>
                <w:bCs w:val="1"/>
                <w:color w:val="auto"/>
              </w:rPr>
              <w:t>Direct (D)</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Owned</w:t>
            </w:r>
          </w:p>
        </w:tc>
        <w:tc>
          <w:tcPr>
            <w:tcW w:w="660" w:type="dxa"/>
            <w:vAlign w:val="bottom"/>
          </w:tcPr>
          <w:p>
            <w:pPr>
              <w:spacing w:after="0" w:line="121" w:lineRule="exact"/>
              <w:rPr>
                <w:sz w:val="20"/>
                <w:szCs w:val="20"/>
                <w:color w:val="auto"/>
              </w:rPr>
            </w:pPr>
            <w:r>
              <w:rPr>
                <w:rFonts w:ascii="Arial" w:cs="Arial" w:eastAsia="Arial" w:hAnsi="Arial"/>
                <w:sz w:val="11"/>
                <w:szCs w:val="11"/>
                <w:b w:val="1"/>
                <w:bCs w:val="1"/>
                <w:color w:val="auto"/>
              </w:rPr>
              <w:t>or Indirect</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(D) (Instr.</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Following</w:t>
            </w:r>
          </w:p>
        </w:tc>
        <w:tc>
          <w:tcPr>
            <w:tcW w:w="66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 4 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restart"/>
          </w:tcPr>
          <w:p>
            <w:pPr>
              <w:ind w:left="80"/>
              <w:spacing w:after="0" w:line="121"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0"/>
                <w:szCs w:val="10"/>
                <w:color w:val="auto"/>
              </w:rPr>
            </w:pPr>
          </w:p>
        </w:tc>
        <w:tc>
          <w:tcPr>
            <w:tcW w:w="68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48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w w:val="91"/>
              </w:rPr>
              <w:t>(A)</w:t>
            </w: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574,241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2"/>
                <w:szCs w:val="12"/>
                <w:color w:val="0000FF"/>
              </w:rPr>
              <w:t>Funded</w:t>
            </w:r>
          </w:p>
        </w:tc>
        <w:tc>
          <w:tcPr>
            <w:tcW w:w="640" w:type="dxa"/>
            <w:vAlign w:val="bottom"/>
          </w:tcPr>
          <w:p>
            <w:pPr>
              <w:jc w:val="center"/>
              <w:ind w:left="26"/>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0.0001</w:t>
            </w:r>
          </w:p>
        </w:tc>
        <w:tc>
          <w:tcPr>
            <w:tcW w:w="2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302"/>
              <w:spacing w:after="0" w:line="132" w:lineRule="exact"/>
              <w:rPr>
                <w:sz w:val="20"/>
                <w:szCs w:val="20"/>
                <w:color w:val="auto"/>
              </w:rPr>
            </w:pPr>
            <w:r>
              <w:rPr>
                <w:rFonts w:ascii="Times New Roman" w:cs="Times New Roman" w:eastAsia="Times New Roman" w:hAnsi="Times New Roman"/>
                <w:sz w:val="12"/>
                <w:szCs w:val="12"/>
                <w:color w:val="0000FF"/>
              </w:rPr>
              <w:t>P</w:t>
            </w:r>
          </w:p>
        </w:tc>
        <w:tc>
          <w:tcPr>
            <w:tcW w:w="840" w:type="dxa"/>
            <w:vAlign w:val="bottom"/>
            <w:gridSpan w:val="2"/>
          </w:tcPr>
          <w:p>
            <w:pPr>
              <w:jc w:val="right"/>
              <w:ind w:right="346"/>
              <w:spacing w:after="0" w:line="132" w:lineRule="exact"/>
              <w:rPr>
                <w:sz w:val="20"/>
                <w:szCs w:val="20"/>
                <w:color w:val="auto"/>
              </w:rPr>
            </w:pPr>
            <w:r>
              <w:rPr>
                <w:rFonts w:ascii="Times New Roman" w:cs="Times New Roman" w:eastAsia="Times New Roman" w:hAnsi="Times New Roman"/>
                <w:sz w:val="12"/>
                <w:szCs w:val="12"/>
                <w:color w:val="0000FF"/>
              </w:rPr>
              <w:t>709,040</w:t>
            </w:r>
          </w:p>
        </w:tc>
        <w:tc>
          <w:tcPr>
            <w:tcW w:w="380" w:type="dxa"/>
            <w:vAlign w:val="bottom"/>
            <w:gridSpan w:val="2"/>
          </w:tcPr>
          <w:p>
            <w:pPr>
              <w:jc w:val="center"/>
              <w:ind w:left="204"/>
              <w:spacing w:after="0"/>
              <w:rPr>
                <w:sz w:val="20"/>
                <w:szCs w:val="20"/>
                <w:color w:val="auto"/>
              </w:rPr>
            </w:pPr>
            <w:r>
              <w:rPr>
                <w:rFonts w:ascii="Times New Roman" w:cs="Times New Roman" w:eastAsia="Times New Roman" w:hAnsi="Times New Roman"/>
                <w:sz w:val="10"/>
                <w:szCs w:val="10"/>
                <w:color w:val="008000"/>
              </w:rPr>
              <w:t>(1)</w:t>
            </w:r>
          </w:p>
        </w:tc>
        <w:tc>
          <w:tcPr>
            <w:tcW w:w="320" w:type="dxa"/>
            <w:vAlign w:val="bottom"/>
          </w:tcPr>
          <w:p>
            <w:pPr>
              <w:spacing w:after="0"/>
              <w:rPr>
                <w:sz w:val="11"/>
                <w:szCs w:val="11"/>
                <w:color w:val="auto"/>
              </w:rPr>
            </w:pPr>
          </w:p>
        </w:tc>
        <w:tc>
          <w:tcPr>
            <w:tcW w:w="420" w:type="dxa"/>
            <w:vAlign w:val="bottom"/>
          </w:tcPr>
          <w:p>
            <w:pPr>
              <w:jc w:val="center"/>
              <w:ind w:left="163"/>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center"/>
              <w:ind w:left="26"/>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1,283,281</w:t>
            </w:r>
          </w:p>
        </w:tc>
        <w:tc>
          <w:tcPr>
            <w:tcW w:w="660" w:type="dxa"/>
            <w:vAlign w:val="bottom"/>
          </w:tcPr>
          <w:p>
            <w:pPr>
              <w:ind w:left="260"/>
              <w:spacing w:after="0" w:line="132" w:lineRule="exact"/>
              <w:rPr>
                <w:sz w:val="20"/>
                <w:szCs w:val="20"/>
                <w:color w:val="auto"/>
              </w:rPr>
            </w:pPr>
            <w:r>
              <w:rPr>
                <w:rFonts w:ascii="Times New Roman" w:cs="Times New Roman" w:eastAsia="Times New Roman" w:hAnsi="Times New Roman"/>
                <w:sz w:val="12"/>
                <w:szCs w:val="12"/>
                <w:color w:val="0000FF"/>
              </w:rPr>
              <w:t>I</w:t>
            </w:r>
          </w:p>
        </w:tc>
        <w:tc>
          <w:tcPr>
            <w:tcW w:w="11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vMerge w:val="restart"/>
          </w:tcPr>
          <w:p>
            <w:pPr>
              <w:ind w:left="20"/>
              <w:spacing w:after="0" w:line="217"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60" w:type="dxa"/>
            <w:vAlign w:val="bottom"/>
            <w:tcBorders>
              <w:bottom w:val="single" w:sz="8" w:color="2C2C2C"/>
            </w:tcBorders>
            <w:gridSpan w:val="2"/>
            <w:vMerge w:val="continue"/>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709,040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vMerge w:val="continue"/>
          </w:tcPr>
          <w:p>
            <w:pPr>
              <w:spacing w:after="0"/>
              <w:rPr>
                <w:sz w:val="11"/>
                <w:szCs w:val="11"/>
                <w:color w:val="auto"/>
              </w:rPr>
            </w:pPr>
          </w:p>
        </w:tc>
        <w:tc>
          <w:tcPr>
            <w:tcW w:w="640" w:type="dxa"/>
            <w:vAlign w:val="bottom"/>
          </w:tcPr>
          <w:p>
            <w:pPr>
              <w:jc w:val="center"/>
              <w:ind w:left="26"/>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0.27</w:t>
            </w:r>
          </w:p>
        </w:tc>
        <w:tc>
          <w:tcPr>
            <w:tcW w:w="2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tcPr>
          <w:p>
            <w:pPr>
              <w:jc w:val="center"/>
              <w:ind w:right="302"/>
              <w:spacing w:after="0" w:line="132" w:lineRule="exact"/>
              <w:rPr>
                <w:sz w:val="20"/>
                <w:szCs w:val="20"/>
                <w:color w:val="auto"/>
              </w:rPr>
            </w:pPr>
            <w:r>
              <w:rPr>
                <w:rFonts w:ascii="Times New Roman" w:cs="Times New Roman" w:eastAsia="Times New Roman" w:hAnsi="Times New Roman"/>
                <w:sz w:val="12"/>
                <w:szCs w:val="12"/>
                <w:color w:val="0000FF"/>
              </w:rPr>
              <w:t>P</w:t>
            </w:r>
          </w:p>
        </w:tc>
        <w:tc>
          <w:tcPr>
            <w:tcW w:w="840" w:type="dxa"/>
            <w:vAlign w:val="bottom"/>
            <w:gridSpan w:val="2"/>
          </w:tcPr>
          <w:p>
            <w:pPr>
              <w:jc w:val="right"/>
              <w:ind w:right="346"/>
              <w:spacing w:after="0" w:line="132" w:lineRule="exact"/>
              <w:rPr>
                <w:sz w:val="20"/>
                <w:szCs w:val="20"/>
                <w:color w:val="auto"/>
              </w:rPr>
            </w:pPr>
            <w:r>
              <w:rPr>
                <w:rFonts w:ascii="Times New Roman" w:cs="Times New Roman" w:eastAsia="Times New Roman" w:hAnsi="Times New Roman"/>
                <w:sz w:val="12"/>
                <w:szCs w:val="12"/>
                <w:color w:val="0000FF"/>
              </w:rPr>
              <w:t>709,040</w:t>
            </w:r>
          </w:p>
        </w:tc>
        <w:tc>
          <w:tcPr>
            <w:tcW w:w="700" w:type="dxa"/>
            <w:vAlign w:val="bottom"/>
            <w:gridSpan w:val="3"/>
          </w:tcPr>
          <w:p>
            <w:pPr>
              <w:jc w:val="center"/>
              <w:ind w:right="26"/>
              <w:spacing w:after="0" w:line="132" w:lineRule="exact"/>
              <w:rPr>
                <w:sz w:val="20"/>
                <w:szCs w:val="20"/>
                <w:color w:val="auto"/>
              </w:rPr>
            </w:pPr>
            <w:r>
              <w:rPr>
                <w:rFonts w:ascii="Times New Roman" w:cs="Times New Roman" w:eastAsia="Times New Roman" w:hAnsi="Times New Roman"/>
                <w:sz w:val="12"/>
                <w:szCs w:val="12"/>
                <w:color w:val="0000FF"/>
                <w:w w:val="98"/>
              </w:rPr>
              <w:t>10/04/2024</w:t>
            </w: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10/04/2027</w:t>
            </w:r>
          </w:p>
        </w:tc>
        <w:tc>
          <w:tcPr>
            <w:tcW w:w="5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center"/>
              <w:ind w:left="26"/>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7"/>
              </w:rPr>
              <w:t>709,040</w:t>
            </w:r>
          </w:p>
        </w:tc>
        <w:tc>
          <w:tcPr>
            <w:tcW w:w="660" w:type="dxa"/>
            <w:vAlign w:val="bottom"/>
          </w:tcPr>
          <w:p>
            <w:pPr>
              <w:ind w:left="260"/>
              <w:spacing w:after="0" w:line="132" w:lineRule="exact"/>
              <w:rPr>
                <w:sz w:val="20"/>
                <w:szCs w:val="20"/>
                <w:color w:val="auto"/>
              </w:rPr>
            </w:pPr>
            <w:r>
              <w:rPr>
                <w:rFonts w:ascii="Times New Roman" w:cs="Times New Roman" w:eastAsia="Times New Roman" w:hAnsi="Times New Roman"/>
                <w:sz w:val="12"/>
                <w:szCs w:val="12"/>
                <w:color w:val="0000FF"/>
              </w:rPr>
              <w:t>I</w:t>
            </w:r>
          </w:p>
        </w:tc>
        <w:tc>
          <w:tcPr>
            <w:tcW w:w="11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vMerge w:val="restart"/>
          </w:tcPr>
          <w:p>
            <w:pPr>
              <w:ind w:left="20"/>
              <w:spacing w:after="0" w:line="217"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restart"/>
          </w:tcPr>
          <w:p>
            <w:pPr>
              <w:jc w:val="center"/>
              <w:ind w:right="302"/>
              <w:spacing w:after="0"/>
              <w:rPr>
                <w:sz w:val="20"/>
                <w:szCs w:val="20"/>
                <w:color w:val="auto"/>
              </w:rPr>
            </w:pPr>
            <w:r>
              <w:rPr>
                <w:rFonts w:ascii="Times New Roman" w:cs="Times New Roman" w:eastAsia="Times New Roman" w:hAnsi="Times New Roman"/>
                <w:sz w:val="24"/>
                <w:szCs w:val="24"/>
                <w:color w:val="0000FF"/>
                <w:w w:val="85"/>
                <w:vertAlign w:val="subscript"/>
              </w:rPr>
              <w:t>D</w:t>
            </w:r>
            <w:r>
              <w:rPr>
                <w:rFonts w:ascii="Times New Roman" w:cs="Times New Roman" w:eastAsia="Times New Roman" w:hAnsi="Times New Roman"/>
                <w:sz w:val="10"/>
                <w:szCs w:val="10"/>
                <w:color w:val="008000"/>
                <w:w w:val="85"/>
              </w:rPr>
              <w:t>(2)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574,241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vMerge w:val="continue"/>
          </w:tcPr>
          <w:p>
            <w:pPr>
              <w:spacing w:after="0"/>
              <w:rPr>
                <w:sz w:val="11"/>
                <w:szCs w:val="11"/>
                <w:color w:val="auto"/>
              </w:rPr>
            </w:pPr>
          </w:p>
        </w:tc>
        <w:tc>
          <w:tcPr>
            <w:tcW w:w="640" w:type="dxa"/>
            <w:vAlign w:val="bottom"/>
          </w:tcPr>
          <w:p>
            <w:pPr>
              <w:jc w:val="center"/>
              <w:ind w:left="26"/>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1.25</w:t>
            </w:r>
          </w:p>
        </w:tc>
        <w:tc>
          <w:tcPr>
            <w:tcW w:w="2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840" w:type="dxa"/>
            <w:vAlign w:val="bottom"/>
            <w:gridSpan w:val="2"/>
          </w:tcPr>
          <w:p>
            <w:pPr>
              <w:jc w:val="right"/>
              <w:ind w:right="346"/>
              <w:spacing w:after="0" w:line="132"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tcPr>
          <w:p>
            <w:pPr>
              <w:jc w:val="center"/>
              <w:ind w:right="26"/>
              <w:spacing w:after="0" w:line="132" w:lineRule="exact"/>
              <w:rPr>
                <w:sz w:val="20"/>
                <w:szCs w:val="20"/>
                <w:color w:val="auto"/>
              </w:rPr>
            </w:pPr>
            <w:r>
              <w:rPr>
                <w:rFonts w:ascii="Times New Roman" w:cs="Times New Roman" w:eastAsia="Times New Roman" w:hAnsi="Times New Roman"/>
                <w:sz w:val="12"/>
                <w:szCs w:val="12"/>
                <w:color w:val="0000FF"/>
                <w:w w:val="98"/>
              </w:rPr>
              <w:t>12/13/2023</w:t>
            </w: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rPr>
              <w:t>06/13/2025</w:t>
            </w:r>
          </w:p>
        </w:tc>
        <w:tc>
          <w:tcPr>
            <w:tcW w:w="5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center"/>
              <w:ind w:left="26"/>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9"/>
              </w:rPr>
              <w:t>0</w:t>
            </w:r>
          </w:p>
        </w:tc>
        <w:tc>
          <w:tcPr>
            <w:tcW w:w="660" w:type="dxa"/>
            <w:vAlign w:val="bottom"/>
          </w:tcPr>
          <w:p>
            <w:pPr>
              <w:ind w:left="260"/>
              <w:spacing w:after="0" w:line="132" w:lineRule="exact"/>
              <w:rPr>
                <w:sz w:val="20"/>
                <w:szCs w:val="20"/>
                <w:color w:val="auto"/>
              </w:rPr>
            </w:pPr>
            <w:r>
              <w:rPr>
                <w:rFonts w:ascii="Times New Roman" w:cs="Times New Roman" w:eastAsia="Times New Roman" w:hAnsi="Times New Roman"/>
                <w:sz w:val="12"/>
                <w:szCs w:val="12"/>
                <w:color w:val="0000FF"/>
              </w:rPr>
              <w:t>I</w:t>
            </w:r>
          </w:p>
        </w:tc>
        <w:tc>
          <w:tcPr>
            <w:tcW w:w="11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vMerge w:val="restart"/>
          </w:tcPr>
          <w:p>
            <w:pPr>
              <w:ind w:left="20"/>
              <w:spacing w:after="0" w:line="217"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4"/>
            <w:vMerge w:val="restart"/>
          </w:tcPr>
          <w:p>
            <w:pPr>
              <w:jc w:val="center"/>
              <w:ind w:right="302"/>
              <w:spacing w:after="0"/>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574,241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vMerge w:val="continue"/>
          </w:tcPr>
          <w:p>
            <w:pPr>
              <w:spacing w:after="0"/>
              <w:rPr>
                <w:sz w:val="11"/>
                <w:szCs w:val="11"/>
                <w:color w:val="auto"/>
              </w:rPr>
            </w:pPr>
          </w:p>
        </w:tc>
        <w:tc>
          <w:tcPr>
            <w:tcW w:w="640" w:type="dxa"/>
            <w:vAlign w:val="bottom"/>
          </w:tcPr>
          <w:p>
            <w:pPr>
              <w:jc w:val="center"/>
              <w:ind w:left="26"/>
              <w:spacing w:after="0" w:line="13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0.45</w:t>
            </w:r>
          </w:p>
        </w:tc>
        <w:tc>
          <w:tcPr>
            <w:tcW w:w="2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10/04/2024</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840" w:type="dxa"/>
            <w:vAlign w:val="bottom"/>
            <w:gridSpan w:val="2"/>
          </w:tcPr>
          <w:p>
            <w:pPr>
              <w:jc w:val="right"/>
              <w:ind w:right="346"/>
              <w:spacing w:after="0" w:line="132"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tcPr>
          <w:p>
            <w:pPr>
              <w:jc w:val="center"/>
              <w:ind w:right="26"/>
              <w:spacing w:after="0" w:line="132" w:lineRule="exact"/>
              <w:rPr>
                <w:sz w:val="20"/>
                <w:szCs w:val="20"/>
                <w:color w:val="auto"/>
              </w:rPr>
            </w:pPr>
            <w:r>
              <w:rPr>
                <w:rFonts w:ascii="Times New Roman" w:cs="Times New Roman" w:eastAsia="Times New Roman" w:hAnsi="Times New Roman"/>
                <w:sz w:val="12"/>
                <w:szCs w:val="12"/>
                <w:color w:val="0000FF"/>
                <w:w w:val="98"/>
              </w:rPr>
              <w:t>12/13/2023</w:t>
            </w: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10/04/2025</w:t>
            </w:r>
          </w:p>
        </w:tc>
        <w:tc>
          <w:tcPr>
            <w:tcW w:w="5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jc w:val="center"/>
              <w:ind w:left="26"/>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7"/>
              </w:rPr>
              <w:t>574,241</w:t>
            </w:r>
          </w:p>
        </w:tc>
        <w:tc>
          <w:tcPr>
            <w:tcW w:w="660" w:type="dxa"/>
            <w:vAlign w:val="bottom"/>
          </w:tcPr>
          <w:p>
            <w:pPr>
              <w:ind w:left="260"/>
              <w:spacing w:after="0" w:line="132" w:lineRule="exact"/>
              <w:rPr>
                <w:sz w:val="20"/>
                <w:szCs w:val="20"/>
                <w:color w:val="auto"/>
              </w:rPr>
            </w:pPr>
            <w:r>
              <w:rPr>
                <w:rFonts w:ascii="Times New Roman" w:cs="Times New Roman" w:eastAsia="Times New Roman" w:hAnsi="Times New Roman"/>
                <w:sz w:val="12"/>
                <w:szCs w:val="12"/>
                <w:color w:val="0000FF"/>
              </w:rPr>
              <w:t>I</w:t>
            </w:r>
          </w:p>
        </w:tc>
        <w:tc>
          <w:tcPr>
            <w:tcW w:w="11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vMerge w:val="restart"/>
          </w:tcPr>
          <w:p>
            <w:pPr>
              <w:ind w:left="20"/>
              <w:spacing w:after="0" w:line="217"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2"/>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574,241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0" w:type="dxa"/>
            <w:vAlign w:val="bottom"/>
            <w:gridSpan w:val="2"/>
            <w:vMerge w:val="continue"/>
          </w:tcPr>
          <w:p>
            <w:pPr>
              <w:spacing w:after="0"/>
              <w:rPr>
                <w:sz w:val="11"/>
                <w:szCs w:val="11"/>
                <w:color w:val="auto"/>
              </w:rPr>
            </w:pPr>
          </w:p>
        </w:tc>
        <w:tc>
          <w:tcPr>
            <w:tcW w:w="640" w:type="dxa"/>
            <w:vAlign w:val="bottom"/>
          </w:tcPr>
          <w:p>
            <w:pPr>
              <w:jc w:val="center"/>
              <w:ind w:left="26"/>
              <w:spacing w:after="0" w:line="132" w:lineRule="exact"/>
              <w:rPr>
                <w:sz w:val="20"/>
                <w:szCs w:val="20"/>
                <w:color w:val="auto"/>
              </w:rPr>
            </w:pPr>
            <w:r>
              <w:rPr>
                <w:rFonts w:ascii="Arial" w:cs="Arial" w:eastAsia="Arial" w:hAnsi="Arial"/>
                <w:sz w:val="11"/>
                <w:szCs w:val="11"/>
                <w:color w:val="auto"/>
                <w:w w:val="94"/>
              </w:rPr>
              <w:t>$</w:t>
            </w:r>
            <w:r>
              <w:rPr>
                <w:rFonts w:ascii="Times New Roman" w:cs="Times New Roman" w:eastAsia="Times New Roman" w:hAnsi="Times New Roman"/>
                <w:sz w:val="12"/>
                <w:szCs w:val="12"/>
                <w:color w:val="0000FF"/>
                <w:w w:val="94"/>
              </w:rPr>
              <w:t>1.5</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jc w:val="center"/>
              <w:ind w:right="26"/>
              <w:spacing w:after="0" w:line="132" w:lineRule="exact"/>
              <w:rPr>
                <w:sz w:val="20"/>
                <w:szCs w:val="20"/>
                <w:color w:val="auto"/>
              </w:rPr>
            </w:pPr>
            <w:r>
              <w:rPr>
                <w:rFonts w:ascii="Times New Roman" w:cs="Times New Roman" w:eastAsia="Times New Roman" w:hAnsi="Times New Roman"/>
                <w:sz w:val="12"/>
                <w:szCs w:val="12"/>
                <w:color w:val="0000FF"/>
                <w:w w:val="98"/>
              </w:rPr>
              <w:t>12/13/2023</w:t>
            </w: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color w:val="0000FF"/>
              </w:rPr>
              <w:t>12/13/2028</w:t>
            </w:r>
          </w:p>
        </w:tc>
        <w:tc>
          <w:tcPr>
            <w:tcW w:w="5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0000FF"/>
                <w:w w:val="97"/>
              </w:rPr>
              <w:t>574,241</w:t>
            </w:r>
          </w:p>
        </w:tc>
        <w:tc>
          <w:tcPr>
            <w:tcW w:w="660" w:type="dxa"/>
            <w:vAlign w:val="bottom"/>
          </w:tcPr>
          <w:p>
            <w:pPr>
              <w:ind w:left="260"/>
              <w:spacing w:after="0" w:line="132" w:lineRule="exact"/>
              <w:rPr>
                <w:sz w:val="20"/>
                <w:szCs w:val="20"/>
                <w:color w:val="auto"/>
              </w:rPr>
            </w:pPr>
            <w:r>
              <w:rPr>
                <w:rFonts w:ascii="Times New Roman" w:cs="Times New Roman" w:eastAsia="Times New Roman" w:hAnsi="Times New Roman"/>
                <w:sz w:val="12"/>
                <w:szCs w:val="12"/>
                <w:color w:val="0000FF"/>
              </w:rPr>
              <w:t>I</w:t>
            </w:r>
          </w:p>
        </w:tc>
        <w:tc>
          <w:tcPr>
            <w:tcW w:w="11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vMerge w:val="restart"/>
          </w:tcPr>
          <w:p>
            <w:pPr>
              <w:ind w:left="20"/>
              <w:spacing w:after="0" w:line="217"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(6)(7)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0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1180" w:type="dxa"/>
            <w:vAlign w:val="bottom"/>
            <w:tcBorders>
              <w:bottom w:val="single" w:sz="8" w:color="808080"/>
            </w:tcBorders>
            <w:gridSpan w:val="2"/>
            <w:vMerge w:val="continue"/>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-3035300</wp:posOffset>
            </wp:positionV>
            <wp:extent cx="27940" cy="3051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051175"/>
                    </a:xfrm>
                    <a:prstGeom prst="rect">
                      <a:avLst/>
                    </a:prstGeom>
                    <a:noFill/>
                  </pic:spPr>
                </pic:pic>
              </a:graphicData>
            </a:graphic>
          </wp:anchor>
        </w:drawing>
      </w:r>
    </w:p>
    <w:p>
      <w:pPr>
        <w:sectPr>
          <w:pgSz w:w="11900" w:h="16894" w:orient="portrait"/>
          <w:cols w:equalWidth="0" w:num="1">
            <w:col w:w="11080"/>
          </w:cols>
          <w:pgMar w:left="460" w:top="211"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7051040"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1040" cy="10527030"/>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0"/>
                <w:szCs w:val="10"/>
                <w:color w:val="auto"/>
              </w:rPr>
            </w:pP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 Indirect</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6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w w:val="94"/>
              </w:rPr>
              <w:t>Derivative</w:t>
            </w:r>
          </w:p>
        </w:tc>
        <w:tc>
          <w:tcPr>
            <w:tcW w:w="200" w:type="dxa"/>
            <w:vAlign w:val="bottom"/>
          </w:tcPr>
          <w:p>
            <w:pPr>
              <w:spacing w:after="0"/>
              <w:rPr>
                <w:sz w:val="10"/>
                <w:szCs w:val="10"/>
                <w:color w:val="auto"/>
              </w:rPr>
            </w:pPr>
          </w:p>
        </w:tc>
        <w:tc>
          <w:tcPr>
            <w:tcW w:w="14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5"/>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0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w w:val="94"/>
              </w:rPr>
              <w:t>Securities</w:t>
            </w:r>
          </w:p>
        </w:tc>
        <w:tc>
          <w:tcPr>
            <w:tcW w:w="200" w:type="dxa"/>
            <w:vAlign w:val="bottom"/>
          </w:tcPr>
          <w:p>
            <w:pPr>
              <w:spacing w:after="0"/>
              <w:rPr>
                <w:sz w:val="10"/>
                <w:szCs w:val="10"/>
                <w:color w:val="auto"/>
              </w:rPr>
            </w:pPr>
          </w:p>
        </w:tc>
        <w:tc>
          <w:tcPr>
            <w:tcW w:w="14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3"/>
              </w:rPr>
              <w:t>Underlying</w:t>
            </w:r>
          </w:p>
        </w:tc>
        <w:tc>
          <w:tcPr>
            <w:tcW w:w="58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Form:</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0"/>
        </w:trPr>
        <w:tc>
          <w:tcPr>
            <w:tcW w:w="6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8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Direct (D)</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Indirect</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 (Instr. 4)</w:t>
            </w: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gridSpan w:val="3"/>
          </w:tcPr>
          <w:p>
            <w:pPr>
              <w:ind w:left="80"/>
              <w:spacing w:after="0"/>
              <w:rPr>
                <w:sz w:val="20"/>
                <w:szCs w:val="20"/>
                <w:color w:val="auto"/>
              </w:rPr>
            </w:pPr>
            <w:r>
              <w:rPr>
                <w:rFonts w:ascii="Arial" w:cs="Arial" w:eastAsia="Arial" w:hAnsi="Arial"/>
                <w:sz w:val="11"/>
                <w:szCs w:val="11"/>
                <w:b w:val="1"/>
                <w:bCs w:val="1"/>
                <w:color w:val="auto"/>
              </w:rPr>
              <w:t>(A)</w:t>
            </w:r>
          </w:p>
        </w:tc>
        <w:tc>
          <w:tcPr>
            <w:tcW w:w="2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1.0685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03/11/2029</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12,775</w:t>
            </w:r>
          </w:p>
        </w:tc>
        <w:tc>
          <w:tcPr>
            <w:tcW w:w="66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12,775</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300" w:type="dxa"/>
            <w:vAlign w:val="bottom"/>
          </w:tcPr>
          <w:p>
            <w:pPr>
              <w:ind w:left="740"/>
              <w:spacing w:after="0"/>
              <w:rPr>
                <w:sz w:val="20"/>
                <w:szCs w:val="20"/>
                <w:color w:val="auto"/>
              </w:rPr>
            </w:pPr>
            <w:r>
              <w:rPr>
                <w:rFonts w:ascii="Times New Roman" w:cs="Times New Roman" w:eastAsia="Times New Roman" w:hAnsi="Times New Roman"/>
                <w:sz w:val="10"/>
                <w:szCs w:val="10"/>
                <w:color w:val="008000"/>
              </w:rPr>
              <w:t>(3)(4)(5)(6)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320" w:type="dxa"/>
            <w:vAlign w:val="bottom"/>
            <w:gridSpan w:val="2"/>
          </w:tcPr>
          <w:p>
            <w:pPr>
              <w:ind w:left="60"/>
              <w:spacing w:after="0" w:line="61"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9"/>
        </w:trPr>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6"/>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07/29/2031</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10,500</w:t>
            </w:r>
          </w:p>
        </w:tc>
        <w:tc>
          <w:tcPr>
            <w:tcW w:w="66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10,500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300" w:type="dxa"/>
            <w:vAlign w:val="bottom"/>
          </w:tcPr>
          <w:p>
            <w:pPr>
              <w:ind w:left="740"/>
              <w:spacing w:after="0"/>
              <w:rPr>
                <w:sz w:val="20"/>
                <w:szCs w:val="20"/>
                <w:color w:val="auto"/>
              </w:rPr>
            </w:pPr>
            <w:r>
              <w:rPr>
                <w:rFonts w:ascii="Times New Roman" w:cs="Times New Roman" w:eastAsia="Times New Roman" w:hAnsi="Times New Roman"/>
                <w:sz w:val="10"/>
                <w:szCs w:val="10"/>
                <w:color w:val="008000"/>
              </w:rPr>
              <w:t>(3)(4)(5)(6)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320" w:type="dxa"/>
            <w:vAlign w:val="bottom"/>
            <w:gridSpan w:val="2"/>
          </w:tcPr>
          <w:p>
            <w:pPr>
              <w:ind w:left="60"/>
              <w:spacing w:after="0" w:line="61"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9"/>
        </w:trPr>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06/01/2032</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13,500</w:t>
            </w:r>
          </w:p>
        </w:tc>
        <w:tc>
          <w:tcPr>
            <w:tcW w:w="66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13,500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300" w:type="dxa"/>
            <w:vAlign w:val="bottom"/>
          </w:tcPr>
          <w:p>
            <w:pPr>
              <w:ind w:left="740"/>
              <w:spacing w:after="0"/>
              <w:rPr>
                <w:sz w:val="20"/>
                <w:szCs w:val="20"/>
                <w:color w:val="auto"/>
              </w:rPr>
            </w:pPr>
            <w:r>
              <w:rPr>
                <w:rFonts w:ascii="Times New Roman" w:cs="Times New Roman" w:eastAsia="Times New Roman" w:hAnsi="Times New Roman"/>
                <w:sz w:val="10"/>
                <w:szCs w:val="10"/>
                <w:color w:val="008000"/>
              </w:rPr>
              <w:t>(3)(4)(5)(6)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320" w:type="dxa"/>
            <w:vAlign w:val="bottom"/>
            <w:gridSpan w:val="2"/>
          </w:tcPr>
          <w:p>
            <w:pPr>
              <w:ind w:left="60"/>
              <w:spacing w:after="0" w:line="61"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9"/>
        </w:trPr>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restart"/>
          </w:tcPr>
          <w:p>
            <w:pPr>
              <w:jc w:val="center"/>
              <w:ind w:left="2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06/15/2033</w:t>
            </w:r>
          </w:p>
        </w:tc>
        <w:tc>
          <w:tcPr>
            <w:tcW w:w="6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85,000</w:t>
            </w:r>
          </w:p>
        </w:tc>
        <w:tc>
          <w:tcPr>
            <w:tcW w:w="66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85,000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1300" w:type="dxa"/>
            <w:vAlign w:val="bottom"/>
          </w:tcPr>
          <w:p>
            <w:pPr>
              <w:ind w:left="740"/>
              <w:spacing w:after="0"/>
              <w:rPr>
                <w:sz w:val="20"/>
                <w:szCs w:val="20"/>
                <w:color w:val="auto"/>
              </w:rPr>
            </w:pPr>
            <w:r>
              <w:rPr>
                <w:rFonts w:ascii="Times New Roman" w:cs="Times New Roman" w:eastAsia="Times New Roman" w:hAnsi="Times New Roman"/>
                <w:sz w:val="10"/>
                <w:szCs w:val="10"/>
                <w:color w:val="008000"/>
              </w:rPr>
              <w:t>(3)(4)(5)(6)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32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See Footnotes</w:t>
            </w:r>
          </w:p>
        </w:tc>
        <w:tc>
          <w:tcPr>
            <w:tcW w:w="0" w:type="dxa"/>
            <w:vAlign w:val="bottom"/>
          </w:tcPr>
          <w:p>
            <w:pPr>
              <w:spacing w:after="0"/>
              <w:rPr>
                <w:sz w:val="1"/>
                <w:szCs w:val="1"/>
                <w:color w:val="auto"/>
              </w:rPr>
            </w:pPr>
          </w:p>
        </w:tc>
      </w:tr>
      <w:tr>
        <w:trPr>
          <w:trHeight w:val="188"/>
        </w:trPr>
        <w:tc>
          <w:tcPr>
            <w:tcW w:w="660" w:type="dxa"/>
            <w:vAlign w:val="bottom"/>
            <w:tcBorders>
              <w:bottom w:val="single" w:sz="8" w:color="2C2C2C"/>
            </w:tcBorders>
            <w:gridSpan w:val="2"/>
            <w:vMerge w:val="continue"/>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vMerge w:val="continue"/>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20" w:type="dxa"/>
            <w:vAlign w:val="bottom"/>
            <w:gridSpan w:val="9"/>
          </w:tcPr>
          <w:p>
            <w:pPr>
              <w:ind w:left="60"/>
              <w:spacing w:after="0" w:line="21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1280" w:type="dxa"/>
            <w:vAlign w:val="bottom"/>
            <w:gridSpan w:val="3"/>
          </w:tcPr>
          <w:p>
            <w:pPr>
              <w:spacing w:after="0" w:line="205"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Kreis Leslie W.</w:t>
              </w:r>
            </w:hyperlink>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0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76107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2"/>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20" w:type="dxa"/>
            <w:vAlign w:val="bottom"/>
            <w:gridSpan w:val="9"/>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320" w:type="dxa"/>
            <w:vAlign w:val="bottom"/>
            <w:gridSpan w:val="8"/>
          </w:tcPr>
          <w:p>
            <w:pPr>
              <w:spacing w:after="0" w:line="205"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BIOS Fund III, LP</w:t>
              </w:r>
            </w:hyperlink>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0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76107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00" w:type="dxa"/>
            <w:vAlign w:val="bottom"/>
            <w:tcBorders>
              <w:bottom w:val="single" w:sz="8" w:color="2C2C2C"/>
            </w:tcBorders>
            <w:gridSpan w:val="3"/>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20" w:type="dxa"/>
            <w:vAlign w:val="bottom"/>
            <w:gridSpan w:val="9"/>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320" w:type="dxa"/>
            <w:vAlign w:val="bottom"/>
            <w:gridSpan w:val="8"/>
          </w:tcPr>
          <w:p>
            <w:pPr>
              <w:spacing w:after="0" w:line="205"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BIOS Fund III QP, LP</w:t>
              </w:r>
            </w:hyperlink>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0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76107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00" w:type="dxa"/>
            <w:vAlign w:val="bottom"/>
            <w:tcBorders>
              <w:bottom w:val="single" w:sz="8" w:color="2C2C2C"/>
            </w:tcBorders>
            <w:gridSpan w:val="3"/>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20" w:type="dxa"/>
            <w:vAlign w:val="bottom"/>
            <w:gridSpan w:val="9"/>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320" w:type="dxa"/>
            <w:vAlign w:val="bottom"/>
            <w:gridSpan w:val="8"/>
          </w:tcPr>
          <w:p>
            <w:pPr>
              <w:spacing w:after="0" w:line="205"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BIOS Fund III NT, LP</w:t>
              </w:r>
            </w:hyperlink>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0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76107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0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00" w:type="dxa"/>
            <w:vAlign w:val="bottom"/>
            <w:tcBorders>
              <w:bottom w:val="single" w:sz="8" w:color="2C2C2C"/>
            </w:tcBorders>
            <w:gridSpan w:val="3"/>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420" w:type="dxa"/>
            <w:vAlign w:val="bottom"/>
            <w:gridSpan w:val="9"/>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2320" w:type="dxa"/>
            <w:vAlign w:val="bottom"/>
            <w:gridSpan w:val="8"/>
          </w:tcPr>
          <w:p>
            <w:pPr>
              <w:spacing w:after="0" w:line="205"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Bios Equity Partners II, LP</w:t>
              </w:r>
            </w:hyperlink>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0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04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76107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6" w:right="359" w:bottom="0" w:gutter="0" w:footer="0" w:header="0"/>
        </w:sectPr>
      </w:pPr>
    </w:p>
    <w:p>
      <w:pPr>
        <w:spacing w:after="0" w:line="78"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186"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-127000</wp:posOffset>
            </wp:positionV>
            <wp:extent cx="2811780" cy="8035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11780" cy="8035925"/>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22">
        <w:r>
          <w:rPr>
            <w:rFonts w:ascii="Times New Roman" w:cs="Times New Roman" w:eastAsia="Times New Roman" w:hAnsi="Times New Roman"/>
            <w:sz w:val="19"/>
            <w:szCs w:val="19"/>
            <w:u w:val="single" w:color="auto"/>
            <w:color w:val="0000EE"/>
          </w:rPr>
          <w:t>BIOS Equity Partners III, LP</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76107</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4"/>
        </w:trPr>
        <w:tc>
          <w:tcPr>
            <w:tcW w:w="1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1360" w:type="dxa"/>
            <w:vAlign w:val="bottom"/>
            <w:gridSpan w:val="2"/>
          </w:tcPr>
          <w:p>
            <w:pPr>
              <w:spacing w:after="0" w:line="205"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BP Directors, LP</w:t>
              </w:r>
            </w:hyperlink>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76107</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4"/>
        </w:trPr>
        <w:tc>
          <w:tcPr>
            <w:tcW w:w="142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540" w:type="dxa"/>
            <w:vAlign w:val="bottom"/>
            <w:gridSpan w:val="6"/>
          </w:tcPr>
          <w:p>
            <w:pPr>
              <w:spacing w:after="0" w:line="205" w:lineRule="exact"/>
              <w:rPr>
                <w:rFonts w:ascii="Times New Roman" w:cs="Times New Roman" w:eastAsia="Times New Roman" w:hAnsi="Times New Roman"/>
                <w:sz w:val="19"/>
                <w:szCs w:val="19"/>
                <w:color w:val="0000EE"/>
              </w:rPr>
            </w:pPr>
            <w:hyperlink r:id="rId24">
              <w:r>
                <w:rPr>
                  <w:rFonts w:ascii="Times New Roman" w:cs="Times New Roman" w:eastAsia="Times New Roman" w:hAnsi="Times New Roman"/>
                  <w:sz w:val="19"/>
                  <w:szCs w:val="19"/>
                  <w:color w:val="0000EE"/>
                </w:rPr>
                <w:t>Bios Equity Partners, LP</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76107</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4"/>
        </w:trPr>
        <w:tc>
          <w:tcPr>
            <w:tcW w:w="142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540" w:type="dxa"/>
            <w:vAlign w:val="bottom"/>
            <w:gridSpan w:val="6"/>
          </w:tcPr>
          <w:p>
            <w:pPr>
              <w:spacing w:after="0" w:line="205" w:lineRule="exact"/>
              <w:rPr>
                <w:rFonts w:ascii="Times New Roman" w:cs="Times New Roman" w:eastAsia="Times New Roman" w:hAnsi="Times New Roman"/>
                <w:sz w:val="19"/>
                <w:szCs w:val="19"/>
                <w:color w:val="0000EE"/>
              </w:rPr>
            </w:pPr>
            <w:hyperlink r:id="rId25">
              <w:r>
                <w:rPr>
                  <w:rFonts w:ascii="Times New Roman" w:cs="Times New Roman" w:eastAsia="Times New Roman" w:hAnsi="Times New Roman"/>
                  <w:sz w:val="19"/>
                  <w:szCs w:val="19"/>
                  <w:color w:val="0000EE"/>
                </w:rPr>
                <w:t>Cavu Management, LP</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76107</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4"/>
        </w:trPr>
        <w:tc>
          <w:tcPr>
            <w:tcW w:w="1420" w:type="dxa"/>
            <w:vAlign w:val="bottom"/>
            <w:tcBorders>
              <w:bottom w:val="single" w:sz="8" w:color="2C2C2C"/>
            </w:tcBorders>
            <w:gridSpan w:val="2"/>
          </w:tcPr>
          <w:p>
            <w:pPr>
              <w:spacing w:after="0"/>
              <w:rPr>
                <w:sz w:val="6"/>
                <w:szCs w:val="6"/>
                <w:color w:val="auto"/>
              </w:rPr>
            </w:pPr>
          </w:p>
        </w:tc>
        <w:tc>
          <w:tcPr>
            <w:tcW w:w="30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640" w:type="dxa"/>
            <w:vAlign w:val="bottom"/>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00" w:type="dxa"/>
            <w:vAlign w:val="bottom"/>
          </w:tcPr>
          <w:p>
            <w:pPr>
              <w:spacing w:after="0"/>
              <w:rPr>
                <w:sz w:val="17"/>
                <w:szCs w:val="17"/>
                <w:color w:val="auto"/>
              </w:rPr>
            </w:pPr>
          </w:p>
        </w:tc>
        <w:tc>
          <w:tcPr>
            <w:tcW w:w="2540" w:type="dxa"/>
            <w:vAlign w:val="bottom"/>
            <w:gridSpan w:val="6"/>
          </w:tcPr>
          <w:p>
            <w:pPr>
              <w:spacing w:after="0" w:line="205" w:lineRule="exact"/>
              <w:rPr>
                <w:rFonts w:ascii="Times New Roman" w:cs="Times New Roman" w:eastAsia="Times New Roman" w:hAnsi="Times New Roman"/>
                <w:sz w:val="19"/>
                <w:szCs w:val="19"/>
                <w:color w:val="0000EE"/>
              </w:rPr>
            </w:pPr>
            <w:hyperlink r:id="rId26">
              <w:r>
                <w:rPr>
                  <w:rFonts w:ascii="Times New Roman" w:cs="Times New Roman" w:eastAsia="Times New Roman" w:hAnsi="Times New Roman"/>
                  <w:sz w:val="19"/>
                  <w:szCs w:val="19"/>
                  <w:color w:val="0000EE"/>
                </w:rPr>
                <w:t>Cavu Advisors, LLC</w:t>
              </w:r>
            </w:hyperlink>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2"/>
        </w:trPr>
        <w:tc>
          <w:tcPr>
            <w:tcW w:w="100" w:type="dxa"/>
            <w:vAlign w:val="bottom"/>
          </w:tcPr>
          <w:p>
            <w:pPr>
              <w:spacing w:after="0"/>
              <w:rPr>
                <w:sz w:val="13"/>
                <w:szCs w:val="13"/>
                <w:color w:val="auto"/>
              </w:rPr>
            </w:pPr>
          </w:p>
        </w:tc>
        <w:tc>
          <w:tcPr>
            <w:tcW w:w="13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r>
        <w:trPr>
          <w:trHeight w:val="248"/>
        </w:trPr>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BIOS EQUITY PARTNERS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100" w:type="dxa"/>
            <w:vAlign w:val="bottom"/>
          </w:tcPr>
          <w:p>
            <w:pPr>
              <w:spacing w:after="0"/>
              <w:rPr>
                <w:sz w:val="20"/>
                <w:szCs w:val="20"/>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1751 RIVER RUN SUITE 400</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2"/>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FORT WORTH</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76107</w:t>
            </w:r>
          </w:p>
        </w:tc>
        <w:tc>
          <w:tcPr>
            <w:tcW w:w="100" w:type="dxa"/>
            <w:vAlign w:val="bottom"/>
          </w:tcPr>
          <w:p>
            <w:pPr>
              <w:spacing w:after="0"/>
              <w:rPr>
                <w:sz w:val="18"/>
                <w:szCs w:val="18"/>
                <w:color w:val="auto"/>
              </w:rPr>
            </w:pPr>
          </w:p>
        </w:tc>
      </w:tr>
      <w:tr>
        <w:trPr>
          <w:trHeight w:val="138"/>
        </w:trPr>
        <w:tc>
          <w:tcPr>
            <w:tcW w:w="100" w:type="dxa"/>
            <w:vAlign w:val="bottom"/>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8"/>
        </w:trPr>
        <w:tc>
          <w:tcPr>
            <w:tcW w:w="10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6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a Securities Purchase Agreement (the "Purchase Agreement"), dated as of September 30, 2024, between In8bio, Inc. (the "Issuer"), Bios Clinical Opportunity Fund, LP ("Bios COF Fund") and the Issuer, Bios COF purchased from the Issuer in a private placement 709,040 units at a price of $0.3949 per unit, each unit consisting of (i) one pre-funded warrant (the "Pre-Funded Warrants") to purchase one share of Common Stock and (ii) one Series C warrant (the "Series C Warrants") to purchase one share of Common Stock. The Pre-Funded Warrants have an exercise price of $0.0001 per share, will be exercisable immediately and will be exercisable until the Pre-Funded Warrant is exercised in full.</w:t>
      </w:r>
    </w:p>
    <w:p>
      <w:pPr>
        <w:spacing w:after="0" w:line="27" w:lineRule="exact"/>
        <w:rPr>
          <w:rFonts w:ascii="Times New Roman" w:cs="Times New Roman" w:eastAsia="Times New Roman" w:hAnsi="Times New Roman"/>
          <w:sz w:val="12"/>
          <w:szCs w:val="12"/>
          <w:color w:val="008000"/>
        </w:rPr>
      </w:pPr>
    </w:p>
    <w:p>
      <w:pPr>
        <w:ind w:left="40" w:right="50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entry into the Purchase Agreement, the Series A warrants initially issued to Bios COF on December 13, 2023 were amended to reduce the exercise price of such warrants, which constitutes a cancellation of the old warrants and a grant of the new Series A warrants. In connection with such amendment, the termination date of such warrants was extended to October 4, 2024.</w:t>
      </w:r>
    </w:p>
    <w:p>
      <w:pPr>
        <w:spacing w:after="0" w:line="14" w:lineRule="exact"/>
        <w:rPr>
          <w:rFonts w:ascii="Times New Roman" w:cs="Times New Roman" w:eastAsia="Times New Roman" w:hAnsi="Times New Roman"/>
          <w:sz w:val="12"/>
          <w:szCs w:val="12"/>
          <w:color w:val="008000"/>
        </w:rPr>
      </w:pPr>
    </w:p>
    <w:p>
      <w:pPr>
        <w:jc w:val="both"/>
        <w:ind w:left="40" w:right="4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Partners, LP ("Bios Equity I") is the general partner of BP Directors, LP ("Bios Directors"). Bios Equity Partners II, LP ("Bios Equity II") is the general partner of the following entities: Bios Fund II, LP ("Bios Fund II"), Bios Fund II QP, LP ("Bios Fund II QP"), Bios Fund II NT, LP ("Bios Fund II NT") and BIOS Incysus Co-Invest I, LP ("BIOS Incysus"). Bios Equity Partners III, LP ("Bios Equity III") is the general partner of the following entities: Bios Fund III, LP ("Bios Fund III"), Bios Fund III QP, LP ("Bios Fund III QP") and Bios Fund III NT, LP ("Bios Fund III NT"). Bios Capital Management, LP ("Bios Management") and Cavu Management, LP ("Cavu Management") are the general partners of Bios Equity II and Bios Equity III.</w:t>
      </w:r>
    </w:p>
    <w:p>
      <w:pPr>
        <w:spacing w:after="0" w:line="27" w:lineRule="exact"/>
        <w:rPr>
          <w:rFonts w:ascii="Times New Roman" w:cs="Times New Roman" w:eastAsia="Times New Roman" w:hAnsi="Times New Roman"/>
          <w:sz w:val="12"/>
          <w:szCs w:val="12"/>
          <w:color w:val="008000"/>
        </w:rPr>
      </w:pPr>
    </w:p>
    <w:p>
      <w:pPr>
        <w:ind w:left="40" w:hanging="8"/>
        <w:spacing w:after="0" w:line="23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Advisors GP, LLC ("Bios Advisors") is the general partner of Bios Management. Cavu Advisors LLC ("Cavu Advisors") is the general partner of Cavu Management. Bios Management and Bios Advisors are entities managed and controlled by Aaron G.L. Fletcher. Cavu Management and Cavu Advisors are entities managed and controlled by Leslie W. Kreis, Jr. Mr. Fletcher, Bios Management, Bios Advisors, Mr. Kreis, Cavu Management and Cavu Advisors each share voting and investment control with respect to the shares held by Bios Directors, Bios Fund II, Bios Fund II QP, Bios Fund II NT, BIOS Incysus, Bios Fund III, Bios Fund III QP and Bios Fund III NT (collectively, the "Bios Equity Entities").</w:t>
      </w:r>
    </w:p>
    <w:p>
      <w:pPr>
        <w:spacing w:after="0" w:line="27" w:lineRule="exact"/>
        <w:rPr>
          <w:rFonts w:ascii="Times New Roman" w:cs="Times New Roman" w:eastAsia="Times New Roman" w:hAnsi="Times New Roman"/>
          <w:sz w:val="12"/>
          <w:szCs w:val="12"/>
          <w:color w:val="008000"/>
        </w:rPr>
      </w:pPr>
    </w:p>
    <w:p>
      <w:pPr>
        <w:ind w:left="40" w:right="18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 between Mr. Fletcher, Bios Management, Bios Advisors, Mr. Kreis, Cavu Management, Cavu Advisors and the Bios Equity Entities, Mr. Fletcher, Bios Management, Bios Advisors, Mr. Kreis, Cavu Management and Cavu Advisors each may be deemed to beneficially own the shares held directly by the Bios Equity Entities.</w:t>
      </w:r>
    </w:p>
    <w:p>
      <w:pPr>
        <w:spacing w:after="0" w:line="14" w:lineRule="exact"/>
        <w:rPr>
          <w:rFonts w:ascii="Times New Roman" w:cs="Times New Roman" w:eastAsia="Times New Roman" w:hAnsi="Times New Roman"/>
          <w:sz w:val="12"/>
          <w:szCs w:val="12"/>
          <w:color w:val="008000"/>
        </w:rPr>
      </w:pPr>
    </w:p>
    <w:p>
      <w:pPr>
        <w:ind w:left="40" w:right="80" w:hanging="8"/>
        <w:spacing w:after="0" w:line="244"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COF, LP ("Bios Equity COF") is the general partner of Bios COF. Bios Management is the general partner of Bios Equity COF. Bios Advisors is the general partner of Bios Management. Bios Management and are entities managed and controlled by Mr. Fletcher. Mr. Fletcher, Bios Management and Bios Advisors each share voting and investment control with respect to the shares held by Bios COF. Because of the relationship between Mr. Fletcher, Bios Management, Bios Advisors and Bios Equity COF, Mr. Fletcher, Bios Management and Bios Advisors may be deemed to beneficially own the securities held directly by Bios COF.</w:t>
      </w:r>
    </w:p>
    <w:p>
      <w:pPr>
        <w:spacing w:after="0" w:line="23" w:lineRule="exact"/>
        <w:rPr>
          <w:rFonts w:ascii="Times New Roman" w:cs="Times New Roman" w:eastAsia="Times New Roman" w:hAnsi="Times New Roman"/>
          <w:sz w:val="12"/>
          <w:szCs w:val="12"/>
          <w:color w:val="008000"/>
        </w:rPr>
      </w:pPr>
    </w:p>
    <w:p>
      <w:pPr>
        <w:ind w:left="40" w:right="12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14" w:lineRule="exact"/>
        <w:rPr>
          <w:rFonts w:ascii="Times New Roman" w:cs="Times New Roman" w:eastAsia="Times New Roman" w:hAnsi="Times New Roman"/>
          <w:sz w:val="12"/>
          <w:szCs w:val="12"/>
          <w:color w:val="008000"/>
        </w:rPr>
      </w:pPr>
    </w:p>
    <w:p>
      <w:pPr>
        <w:ind w:left="40" w:right="20" w:hanging="8"/>
        <w:spacing w:after="0" w:line="259"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options granted in consideration for Travis Whitfill's services as director of the Issuer. Mr. Whitfill has agreed that he will hold any equity based awards granted to Mr. Whitfill in connection with his services as a director of the Issuer merely as a nominee for Bios Directors. Mr. Whitfill is not currently an affiliate of any of the Reporting Persons.</w:t>
      </w:r>
    </w:p>
    <w:p>
      <w:pPr>
        <w:spacing w:after="0" w:line="14"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of the shares subject to the reported options have fully vested.</w:t>
      </w:r>
    </w:p>
    <w:p>
      <w:pPr>
        <w:sectPr>
          <w:pgSz w:w="11900" w:h="16838" w:orient="portrait"/>
          <w:cols w:equalWidth="0" w:num="1">
            <w:col w:w="10900"/>
          </w:cols>
          <w:pgMar w:left="460" w:top="111" w:right="539" w:bottom="0" w:gutter="0" w:footer="0" w:header="0"/>
        </w:sectPr>
      </w:pPr>
    </w:p>
    <w:bookmarkStart w:id="3" w:name="page4"/>
    <w:bookmarkEnd w:id="3"/>
    <w:p>
      <w:pPr>
        <w:ind w:left="8" w:right="460" w:hanging="8"/>
        <w:spacing w:after="0" w:line="259"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twelfth (1/12th) of the shares subject to the reported options shall vest in equal monthly installments commencing on July 15, 2023 and will be fully vested on the date of the next annual meeting of the Issuer's stockholders, subject to the Mr. Whitfill continuing to provide service as a director of the Issuer through each such date.</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Remarks:</w:t>
      </w:r>
    </w:p>
    <w:p>
      <w:pPr>
        <w:spacing w:after="0" w:line="47"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color w:val="008000"/>
        </w:rPr>
        <w:t>This Form 4 has been split into two filings because there are more than 10 reporting persons in total, and the SEC's EDGAR filing system limits a single Form 4 to a maximum of 10 reporting persons. The other Form 4 relating to the same event is being filed by Mr. Fletcher as the designated filer.</w:t>
      </w:r>
    </w:p>
    <w:p>
      <w:pPr>
        <w:sectPr>
          <w:pgSz w:w="11900" w:h="16838" w:orient="portrait"/>
          <w:cols w:equalWidth="0" w:num="1">
            <w:col w:w="10888"/>
          </w:cols>
          <w:pgMar w:left="492" w:top="129" w:right="519" w:bottom="1440" w:gutter="0" w:footer="0" w:header="0"/>
        </w:sectPr>
      </w:pPr>
    </w:p>
    <w:p>
      <w:pPr>
        <w:spacing w:after="0" w:line="37"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5"/>
          <w:szCs w:val="15"/>
          <w:color w:val="0000FF"/>
        </w:rPr>
        <w:t>Leslie W. Kreis, Jr.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wp:posOffset>
            </wp:positionV>
            <wp:extent cx="13328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32865"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1156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15695"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5"/>
          <w:szCs w:val="15"/>
          <w:color w:val="0000FF"/>
        </w:rPr>
        <w:t>Bios Fund III, LP By: Bios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wp:posOffset>
            </wp:positionV>
            <wp:extent cx="136461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64615"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Partners 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636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36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9671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671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1328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045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401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566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485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4859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Bios Fund III QP,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2160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160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Equity Partners 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531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9671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9671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1328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045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401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566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485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4859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Bios Fund III NT,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22491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Equity Partners III,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531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9671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96710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1328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328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045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0459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4015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566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485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4859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Bios Equity Partners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2458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4587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001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614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6172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1722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Bios Equity Partners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2788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788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001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614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6172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1722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5"/>
          <w:szCs w:val="15"/>
          <w:color w:val="0000FF"/>
        </w:rPr>
        <w:t>BP Directors, LP By: Bios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-1270</wp:posOffset>
            </wp:positionV>
            <wp:extent cx="134493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44930" cy="7620"/>
                    </a:xfrm>
                    <a:prstGeom prst="rect">
                      <a:avLst/>
                    </a:prstGeom>
                    <a:noFill/>
                  </pic:spPr>
                </pic:pic>
              </a:graphicData>
            </a:graphic>
          </wp:anchor>
        </w:drawing>
      </w:r>
    </w:p>
    <w:p>
      <w:pPr>
        <w:spacing w:after="0" w:line="11"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Partners,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458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4587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2185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185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0012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614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6172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1722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Bios Equity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15506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550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0012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0012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614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6172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17220" cy="7620"/>
                    </a:xfrm>
                    <a:prstGeom prst="rect">
                      <a:avLst/>
                    </a:prstGeom>
                    <a:noFill/>
                  </pic:spPr>
                </pic:pic>
              </a:graphicData>
            </a:graphic>
          </wp:anchor>
        </w:drawing>
      </w:r>
    </w:p>
    <w:p>
      <w:pPr>
        <w:spacing w:after="0" w:line="26" w:lineRule="exact"/>
        <w:rPr>
          <w:sz w:val="20"/>
          <w:szCs w:val="20"/>
          <w:color w:val="auto"/>
        </w:rPr>
      </w:pPr>
    </w:p>
    <w:p>
      <w:pPr>
        <w:ind w:left="6568"/>
        <w:spacing w:after="0"/>
        <w:rPr>
          <w:sz w:val="20"/>
          <w:szCs w:val="20"/>
          <w:color w:val="auto"/>
        </w:rPr>
      </w:pPr>
      <w:r>
        <w:rPr>
          <w:rFonts w:ascii="Times New Roman" w:cs="Times New Roman" w:eastAsia="Times New Roman" w:hAnsi="Times New Roman"/>
          <w:sz w:val="16"/>
          <w:szCs w:val="16"/>
          <w:color w:val="0000FF"/>
        </w:rPr>
        <w:t>Cavu Management, LP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32016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5"/>
          <w:szCs w:val="15"/>
          <w:color w:val="0000FF"/>
        </w:rPr>
        <w:t>Advisors,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-8255</wp:posOffset>
            </wp:positionV>
            <wp:extent cx="13614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6144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0502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5029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6172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172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48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48310" cy="762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8708" w:space="60"/>
            <w:col w:w="2120"/>
          </w:cols>
          <w:pgMar w:left="492" w:top="129" w:right="519" w:bottom="1440" w:gutter="0" w:footer="0" w:header="0"/>
          <w:type w:val="continuous"/>
        </w:sectPr>
      </w:pPr>
    </w:p>
    <w:p>
      <w:pPr>
        <w:ind w:left="6568"/>
        <w:spacing w:after="0"/>
        <w:rPr>
          <w:sz w:val="20"/>
          <w:szCs w:val="20"/>
          <w:color w:val="auto"/>
        </w:rPr>
      </w:pPr>
      <w:r>
        <w:rPr>
          <w:rFonts w:ascii="Times New Roman" w:cs="Times New Roman" w:eastAsia="Times New Roman" w:hAnsi="Times New Roman"/>
          <w:sz w:val="16"/>
          <w:szCs w:val="16"/>
          <w:color w:val="0000FF"/>
        </w:rPr>
        <w:t>Cavu 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-8890</wp:posOffset>
            </wp:positionV>
            <wp:extent cx="11163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116330" cy="7620"/>
                    </a:xfrm>
                    <a:prstGeom prst="rect">
                      <a:avLst/>
                    </a:prstGeom>
                    <a:noFill/>
                  </pic:spPr>
                </pic:pic>
              </a:graphicData>
            </a:graphic>
          </wp:anchor>
        </w:drawing>
      </w:r>
    </w:p>
    <w:p>
      <w:pPr>
        <w:ind w:left="6568"/>
        <w:spacing w:after="0"/>
        <w:tabs>
          <w:tab w:leader="none" w:pos="8747" w:val="left"/>
        </w:tabs>
        <w:rPr>
          <w:sz w:val="20"/>
          <w:szCs w:val="20"/>
          <w:color w:val="auto"/>
        </w:rPr>
      </w:pPr>
      <w:r>
        <w:rPr>
          <w:rFonts w:ascii="Times New Roman" w:cs="Times New Roman" w:eastAsia="Times New Roman" w:hAnsi="Times New Roman"/>
          <w:sz w:val="16"/>
          <w:szCs w:val="16"/>
          <w:color w:val="0000FF"/>
        </w:rPr>
        <w:t>Daniel Schwarz, as attorney-in-</w:t>
      </w:r>
      <w:r>
        <w:rPr>
          <w:sz w:val="20"/>
          <w:szCs w:val="20"/>
          <w:color w:val="auto"/>
        </w:rPr>
        <w:tab/>
      </w:r>
      <w:r>
        <w:rPr>
          <w:rFonts w:ascii="Times New Roman" w:cs="Times New Roman" w:eastAsia="Times New Roman" w:hAnsi="Times New Roman"/>
          <w:sz w:val="15"/>
          <w:szCs w:val="15"/>
          <w:color w:val="0000FF"/>
        </w:rPr>
        <w:t>10/11/2024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845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845310" cy="7620"/>
                    </a:xfrm>
                    <a:prstGeom prst="rect">
                      <a:avLst/>
                    </a:prstGeom>
                    <a:noFill/>
                  </pic:spPr>
                </pic:pic>
              </a:graphicData>
            </a:graphic>
          </wp:anchor>
        </w:drawing>
      </w:r>
    </w:p>
    <w:p>
      <w:pPr>
        <w:ind w:left="6568"/>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-15875</wp:posOffset>
            </wp:positionV>
            <wp:extent cx="14859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8590" cy="7620"/>
                    </a:xfrm>
                    <a:prstGeom prst="rect">
                      <a:avLst/>
                    </a:prstGeom>
                    <a:noFill/>
                  </pic:spPr>
                </pic:pic>
              </a:graphicData>
            </a:graphic>
          </wp:anchor>
        </w:drawing>
      </w:r>
    </w:p>
    <w:p>
      <w:pPr>
        <w:spacing w:after="0" w:line="26" w:lineRule="exact"/>
        <w:rPr>
          <w:sz w:val="20"/>
          <w:szCs w:val="20"/>
          <w:color w:val="auto"/>
        </w:rPr>
      </w:pPr>
    </w:p>
    <w:p>
      <w:pPr>
        <w:ind w:left="6568"/>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0"/>
          <w:szCs w:val="20"/>
          <w:color w:val="auto"/>
        </w:rPr>
      </w:pPr>
    </w:p>
    <w:p>
      <w:pPr>
        <w:jc w:val="both"/>
        <w:ind w:left="8" w:right="3960" w:hanging="8"/>
        <w:spacing w:after="0" w:line="342"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8"/>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8"/>
      </w:cols>
      <w:pgMar w:left="492" w:top="12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0"/>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1"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13" Type="http://schemas.openxmlformats.org/officeDocument/2006/relationships/hyperlink" Target="http://www.sec.gov/cgi-bin/browse-edgar?action=getcompany&amp;CIK=0001813316" TargetMode="External"/><Relationship Id="rId14" Type="http://schemas.openxmlformats.org/officeDocument/2006/relationships/hyperlink" Target="http://www.sec.gov/cgi-bin/browse-edgar?action=getcompany&amp;CIK=0001740279" TargetMode="External"/><Relationship Id="rId17" Type="http://schemas.openxmlformats.org/officeDocument/2006/relationships/hyperlink" Target="http://www.sec.gov/cgi-bin/browse-edgar?action=getcompany&amp;CIK=0001791917" TargetMode="External"/><Relationship Id="rId18" Type="http://schemas.openxmlformats.org/officeDocument/2006/relationships/hyperlink" Target="http://www.sec.gov/cgi-bin/browse-edgar?action=getcompany&amp;CIK=0001791916" TargetMode="External"/><Relationship Id="rId19" Type="http://schemas.openxmlformats.org/officeDocument/2006/relationships/hyperlink" Target="http://www.sec.gov/cgi-bin/browse-edgar?action=getcompany&amp;CIK=0001791910" TargetMode="External"/><Relationship Id="rId20" Type="http://schemas.openxmlformats.org/officeDocument/2006/relationships/hyperlink" Target="http://www.sec.gov/cgi-bin/browse-edgar?action=getcompany&amp;CIK=0001813313" TargetMode="External"/><Relationship Id="rId22" Type="http://schemas.openxmlformats.org/officeDocument/2006/relationships/hyperlink" Target="http://www.sec.gov/cgi-bin/browse-edgar?action=getcompany&amp;CIK=0001831976" TargetMode="External"/><Relationship Id="rId23" Type="http://schemas.openxmlformats.org/officeDocument/2006/relationships/hyperlink" Target="http://www.sec.gov/cgi-bin/browse-edgar?action=getcompany&amp;CIK=0001813311" TargetMode="External"/><Relationship Id="rId24" Type="http://schemas.openxmlformats.org/officeDocument/2006/relationships/hyperlink" Target="http://www.sec.gov/cgi-bin/browse-edgar?action=getcompany&amp;CIK=0001813314" TargetMode="External"/><Relationship Id="rId25" Type="http://schemas.openxmlformats.org/officeDocument/2006/relationships/hyperlink" Target="http://www.sec.gov/cgi-bin/browse-edgar?action=getcompany&amp;CIK=0001813270" TargetMode="External"/><Relationship Id="rId26" Type="http://schemas.openxmlformats.org/officeDocument/2006/relationships/hyperlink" Target="http://www.sec.gov/cgi-bin/browse-edgar?action=getcompany&amp;CIK=00018133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2024-10-11T17:16:32Z</dcterms:created>
  <dcterms:modified xsi:type="dcterms:W3CDTF">2024-10-11T17:16:32Z</dcterms:modified>
</cp:coreProperties>
</file>