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Registration No. 333-292830</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160020</wp:posOffset>
            </wp:positionV>
            <wp:extent cx="2520315" cy="977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9772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14,384,052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covers the offer and resale from time to time by the selling stockholders identified in this prospectus or their donees, pledgees, assignees, transferees, distributees or other successors-in-interest (the “selling stockholders”) of up to an aggregate of 14,384,052 shares of our common stock, par value $0.0001 per share, issued by us in a private placement on December 22, 2025, consisting of (i) 4,931,375 shares of our common stock (the “PIPE Shares”) and (ii) 9,452,677 shares of our common stock (the “Pre-Funded Warrant Shares”) issuable upon the exercise of outstanding pre-funded warrants to purchase shares of our common stock (the “Pre-Funded Warrants”) held by certain selling stockholders.</w:t>
      </w:r>
    </w:p>
    <w:p>
      <w:pPr>
        <w:spacing w:after="0" w:line="183" w:lineRule="exact"/>
        <w:rPr>
          <w:sz w:val="24"/>
          <w:szCs w:val="24"/>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not selling any shares of common stock under this prospectus and will not receive any proceeds from the sale by the selling stockholders of such shares.</w:t>
      </w:r>
    </w:p>
    <w:p>
      <w:pPr>
        <w:spacing w:after="0" w:line="162" w:lineRule="exact"/>
        <w:rPr>
          <w:sz w:val="24"/>
          <w:szCs w:val="24"/>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Sales of the shares by the selling stockholders may occur at fixed prices, at market prices prevailing at the time of sale, at prices related to prevailing market prices or at negotiated prices. The selling stockholders may sell shares to or through underwriters, broker-dealers or agents, who may receive compensation in the form of discounts, concessions or commissions from the selling stockholders, the purchasers of the shares, or both.</w:t>
      </w:r>
    </w:p>
    <w:p>
      <w:pPr>
        <w:spacing w:after="0" w:line="176" w:lineRule="exact"/>
        <w:rPr>
          <w:sz w:val="24"/>
          <w:szCs w:val="24"/>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are paying the cost of registering the shares of common stock covered by this prospectus as well as various related expenses. The selling stockholders are responsible for all broker or similar commissions related to the offer and sale of their shares.</w:t>
      </w:r>
    </w:p>
    <w:p>
      <w:pPr>
        <w:spacing w:after="0" w:line="162" w:lineRule="exact"/>
        <w:rPr>
          <w:sz w:val="24"/>
          <w:szCs w:val="24"/>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“INAB.” On January 28, 2026, the last reported sale price of our common stock was $1.96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0" w:right="16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6 of this prospectus and any similar section contained in any amendment or supplement to this prospectus or in any filing with the Securities and Exchange Commission that is incorporated by reference into this prospectus.</w:t>
      </w:r>
    </w:p>
    <w:p>
      <w:pPr>
        <w:spacing w:after="0" w:line="181" w:lineRule="exact"/>
        <w:rPr>
          <w:sz w:val="24"/>
          <w:szCs w:val="24"/>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28, 2026.</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6"/>
        </w:trPr>
        <w:tc>
          <w:tcPr>
            <w:tcW w:w="80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3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4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2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80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20" w:type="dxa"/>
            <w:vAlign w:val="bottom"/>
            <w:tcBorders>
              <w:top w:val="single" w:sz="8" w:color="0000EE"/>
            </w:tcBorders>
            <w:gridSpan w:val="2"/>
          </w:tcPr>
          <w:p>
            <w:pPr>
              <w:spacing w:after="0"/>
              <w:rPr>
                <w:sz w:val="17"/>
                <w:szCs w:val="17"/>
                <w:color w:val="auto"/>
              </w:rPr>
            </w:pPr>
          </w:p>
        </w:tc>
        <w:tc>
          <w:tcPr>
            <w:tcW w:w="5920" w:type="dxa"/>
            <w:vAlign w:val="bottom"/>
            <w:gridSpan w:val="6"/>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8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4400" w:type="dxa"/>
            <w:vAlign w:val="bottom"/>
            <w:gridSpan w:val="8"/>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Securities and Exchange Commission (“SEC”). Under this registration statement, the selling stockholders may sell from time to time in one or more offerings the common stock described in this prospectus.</w:t>
      </w:r>
    </w:p>
    <w:p>
      <w:pPr>
        <w:spacing w:after="0" w:line="14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you with any information other than that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spacing w:after="0" w:line="18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6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“IN8bio,” “Company,” “we,” “us,” “our” and similar references refer to IN8bio, Inc.</w:t>
      </w: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gamma-delta T cell product candidates and T cell engagers, or TCEs, for cancer and autoimmune diseases. We are the most clinically advanced gamma-delta T cell-focused company and are utilizing our suite of DeltEx platform technologies as we aspire to eliminate cancer cells to achieve our mission of what we refer to as Cancer Zero — the safe elimination of all cancer cells in every patient battling the disease. We develop ex vivo expanded and activated gamma-delta T cell candidates and TCEs based upon our deep expertise in gamma-delta T cell biology, proprietary genetic engineering, and cell-type specific manufacturing capabilities, which we refer to collectively as our DeltEx platform. Our platform employs allogeneic, autologous, induced pluripotent stem cell, or iPSC, genetically modified cell therapy approaches, and TCEs that are designed to effectively identify and eradicate malignant or pathogenic target cells.</w:t>
      </w:r>
    </w:p>
    <w:p>
      <w:pPr>
        <w:spacing w:after="0" w:line="192"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To date, we have conducted two main investigator-sponsored Phase 1 clinical trials to test our gamma-delta T cell technologies in cancer patients. INB-100 tests our DeltEx Allogeneic gamma-delta T cells in older patients with high-risk leukemias undergoing haploidentical stem cell transplantation and INB-200/400 tests our DeltEx Drug Resistant Immunotherapy in newly diagnosed glioblastoma patients. Most recently we introduced INB-600, our proprietary and internally developed T cell engager platform. This platform represents a potentially revolutionary advancement in immunotherapy, harnessing the power of gamma-delta T cells through a distinctive mechanism that optimizes effector function and targeted cytotoxicity through an engager that mimics the function of an in vivo chimeric antigen receptor T cell, or CAR-T. We also have a portfolio of preclinical programs in development. These include INB-300, which is applicable to both solid and liquid tumors using a</w:t>
      </w:r>
    </w:p>
    <w:p>
      <w:pPr>
        <w:spacing w:after="0" w:line="3" w:lineRule="exact"/>
        <w:rPr>
          <w:sz w:val="20"/>
          <w:szCs w:val="20"/>
          <w:color w:val="auto"/>
        </w:rPr>
      </w:pPr>
    </w:p>
    <w:p>
      <w:pPr>
        <w:ind w:left="300" w:right="500"/>
        <w:spacing w:after="0" w:line="255" w:lineRule="auto"/>
        <w:rPr>
          <w:sz w:val="20"/>
          <w:szCs w:val="20"/>
          <w:color w:val="auto"/>
        </w:rPr>
      </w:pPr>
      <w:r>
        <w:rPr>
          <w:rFonts w:ascii="Times New Roman" w:cs="Times New Roman" w:eastAsia="Times New Roman" w:hAnsi="Times New Roman"/>
          <w:sz w:val="18"/>
          <w:szCs w:val="18"/>
          <w:color w:val="auto"/>
        </w:rPr>
        <w:t>targeted non-signaling gamma-delta T cell based CAR-T, and INB-500, which encompasses our ability to produce gamma-delta T cells from iPSCs. iPSCs represent a significant step toward next generation approaches of cellular manufacturing for true allogeneic and potentially “off-the-shelf” innate cell therapies.</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Incysus, Ltd. was incorporated in Bermuda on February 8, 2016. On May 7, 2018, Incysus, Ltd. reincorporated in the United States in a domestication transaction in which Incysus, Ltd. converted into a newly formed Delaware corporation, Incysus Therapeutics, Inc. Upon the domestication, each Class A share of Incysus, Ltd. was automatically converted into one share of common stock of Incysus Therapeutics, Inc. and each Class B share of Incysus, Ltd. was automatically cancelled and did not convert into any shares of any class of capital stock of Incysus Therapeutics, Inc. In August 2020, we amended our certificate of incorporation, as amended, to change our name to IN8bio, Inc. Our principal executive offices are located at 350 5th Avenue, Suite 5330, New York, New York 10118, and our telephone number is (646) 600-6438. Our corporate website address is www.in8bio.com. Information contained on, or accessible through, our website is not a part of this prospectus. We have included our website in this prospectus solely as an inactive textual reference.</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30" w:lineRule="auto"/>
        <w:rPr>
          <w:sz w:val="20"/>
          <w:szCs w:val="20"/>
          <w:color w:val="auto"/>
        </w:rPr>
      </w:pPr>
      <w:r>
        <w:rPr>
          <w:rFonts w:ascii="Times New Roman" w:cs="Times New Roman" w:eastAsia="Times New Roman" w:hAnsi="Times New Roman"/>
          <w:sz w:val="18"/>
          <w:szCs w:val="18"/>
          <w:color w:val="auto"/>
        </w:rPr>
        <w:t xml:space="preserve">“IN8BIO,” “INEIGHTBIO,” the IN8BIO logo, DeltEx and other trademarks, trade names or service marks of IN8bio, Inc. appearing in this prospectus are the property of IN8bio, Inc. All other trademarks, trade names and service marks appearing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their rights thereto.</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21"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On December 18, 2025, we entered into a Securities Purchase Agreement (the “Purchase Agreement”) pursuant to which we agreed to issue and sell shares of our common stock and, in lieu of common stock, pre-funded warrants to purchase shares of our common Stock, in up to two closings in a private placement (the “Private Placement”). The initial closing (the “Initial Closing”) of the Private Placement occurred on December 22, 2025. At the Initial Closing, we issued and sold to the selling stockholders, (i) with respect to certain selling stockholders, 4,931,375 PIPE Shares, and (ii) with respect to certain selling stockholders, Pre-Funded Warrants to purchase an aggregate of 9,452,677 Pre-Funded Warrant Shares. The purchase price per PIPE Share was $1.38, and the purchase price per Pre-Funded Warrant was $1.3799.</w:t>
      </w:r>
    </w:p>
    <w:p>
      <w:pPr>
        <w:spacing w:after="0" w:line="187"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Certain of our directors and officers or their affiliates purchased an aggregate of 920,291 shares of our common stock at the Initial Closing, none of which are included in this registration statement.</w:t>
      </w:r>
    </w:p>
    <w:p>
      <w:pPr>
        <w:spacing w:after="0" w:line="162"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Our total net proceeds from the sale of securities in the Initial Closing of the Private Placement, after deducting commissions to the placement agent and offering expenses, was approximately $18.6 million, which does not include any proceeds that may be received upon exercise of any Pre-Funded Warrants issued in the Initial Closing of the Private Placement.</w:t>
      </w:r>
    </w:p>
    <w:p>
      <w:pPr>
        <w:spacing w:after="0" w:line="176"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subject to the occurrence of certain preclinical data milestones in the INB-619 program and share price related conditions, or the waiver of such conditions by the investors holding a majority of the securities purchased in the Private Placement, we agreed to sell in a second closing up to an additional 14,579,706 shares of our common stock or pre-funded warrants to purchase shares of our common stock in lieu of common stock, at the same price per share or pre-funded warrant, respectively, as at the Initial Closing.</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ind w:left="300" w:right="340" w:firstLine="426"/>
        <w:spacing w:after="0" w:line="261" w:lineRule="auto"/>
        <w:rPr>
          <w:sz w:val="20"/>
          <w:szCs w:val="20"/>
          <w:color w:val="auto"/>
        </w:rPr>
      </w:pPr>
      <w:r>
        <w:rPr>
          <w:rFonts w:ascii="Times New Roman" w:cs="Times New Roman" w:eastAsia="Times New Roman" w:hAnsi="Times New Roman"/>
          <w:sz w:val="18"/>
          <w:szCs w:val="18"/>
          <w:color w:val="auto"/>
        </w:rPr>
        <w:t>Each Pre-Funded Warrant has an exercise price of $0.0001 per share, is exercisable immediately and is exercisable until the Pre-Funded Warrant is exercised in full. In lieu of making the cash payment upon exercise of a Pre-Funded Warrant, the holder may elect instead to receive upon such exercise (either in whole or in part) the net number of shares of common stock determined according to a formula set forth in the Pre-Funded Warrants.</w:t>
      </w:r>
    </w:p>
    <w:p>
      <w:pPr>
        <w:spacing w:after="0" w:line="180"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Under the terms of the Pre-Funded Warrants, we may not give effect to the exercise of any such Pre-Funded Warrant, and a holder will not be entitled to exercise any portion of any such Pre-Funded Warrant, if, upon giving effect to such exercise, the aggregate number of shares of common stock beneficially owned by the holder (together with its affiliates, any other persons acting as a group together with the holder or any of the holder’s affiliates, and any other persons whose beneficial ownership of common stock would or could be aggregated with the holder’s for purposes of Section 13(d) or Section 16 of the Securities Exchange Act of 1934, as amended (the “Exchange Act”)) would exceed a percentage set at the discretion of each holder of between 0% and 19.99% of the number of shares of our common stock outstanding immediately after giving effect to such exercise, which percentage may be increased or decreased to any other percentage up to 19.99% at the holder’s election upon 61 days’ notice to us.</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538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1538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300" w:right="40" w:firstLine="426"/>
        <w:spacing w:after="0" w:line="277" w:lineRule="auto"/>
        <w:rPr>
          <w:sz w:val="20"/>
          <w:szCs w:val="20"/>
          <w:color w:val="auto"/>
        </w:rPr>
      </w:pPr>
      <w:r>
        <w:rPr>
          <w:rFonts w:ascii="Times New Roman" w:cs="Times New Roman" w:eastAsia="Times New Roman" w:hAnsi="Times New Roman"/>
          <w:sz w:val="17"/>
          <w:szCs w:val="17"/>
          <w:color w:val="auto"/>
        </w:rPr>
        <w:t>In connection with the Private Placement, we entered into a registration rights agreement (the “Registration Rights Agreement”) with the selling stockholders, pursuant to which we agreed to register for resale the PIPE Shares and the Pre-Funded Warrant Shares (together, the “Registrable Securities”). Under the Registration Rights Agreement, we agreed to file a registration statement covering the resale by the selling stockholders of their Registrable Securities no later than 30 days following the Initial Closing, and to use reasonable best efforts to cause such registration statement to become effective at the earliest possible date after filing and in any case not more than 90 days following the filing.</w:t>
      </w:r>
    </w:p>
    <w:p>
      <w:pPr>
        <w:spacing w:after="0" w:line="168"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is being filed in part to satisfy the requirements of the Registration Rights Agreement.</w:t>
      </w:r>
    </w:p>
    <w:p>
      <w:pPr>
        <w:spacing w:after="0" w:line="2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60"/>
          </w:cols>
          <w:pgMar w:left="320" w:top="455" w:right="9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098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30988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68"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Shares of common stock offered by the selling stockholders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registering the resale by the selling stockholders an aggregate of 14,384,052 shares of common stock, consisting of:</w:t>
      </w:r>
    </w:p>
    <w:p>
      <w:pPr>
        <w:spacing w:after="0" w:line="81" w:lineRule="exact"/>
        <w:rPr>
          <w:sz w:val="20"/>
          <w:szCs w:val="20"/>
          <w:color w:val="auto"/>
        </w:rPr>
      </w:pPr>
    </w:p>
    <w:p>
      <w:pPr>
        <w:ind w:left="500" w:hanging="289"/>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4,931,375 PIPE Shares; and</w:t>
      </w:r>
    </w:p>
    <w:p>
      <w:pPr>
        <w:spacing w:after="0" w:line="130" w:lineRule="exact"/>
        <w:rPr>
          <w:rFonts w:ascii="Times New Roman" w:cs="Times New Roman" w:eastAsia="Times New Roman" w:hAnsi="Times New Roman"/>
          <w:sz w:val="18"/>
          <w:szCs w:val="18"/>
          <w:color w:val="auto"/>
        </w:rPr>
      </w:pPr>
    </w:p>
    <w:p>
      <w:pPr>
        <w:ind w:left="500" w:hanging="289"/>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9,452,677 Pre-Funded Warrant Shares.</w:t>
      </w:r>
    </w:p>
    <w:p>
      <w:pPr>
        <w:spacing w:after="0" w:line="200" w:lineRule="exact"/>
        <w:rPr>
          <w:sz w:val="20"/>
          <w:szCs w:val="20"/>
          <w:color w:val="auto"/>
        </w:rPr>
      </w:pPr>
    </w:p>
    <w:p>
      <w:pPr>
        <w:sectPr>
          <w:pgSz w:w="11900" w:h="16838" w:orient="portrait"/>
          <w:cols w:equalWidth="0" w:num="2">
            <w:col w:w="3640" w:space="700"/>
            <w:col w:w="6800"/>
          </w:cols>
          <w:pgMar w:left="320" w:top="455" w:right="439" w:bottom="1440" w:gutter="0" w:footer="0" w:header="0"/>
          <w:type w:val="continuous"/>
        </w:sectPr>
      </w:pP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Terms of the offering</w:t>
            </w: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Each selling stockholder will determine when and how it will sell the common stock</w:t>
            </w:r>
          </w:p>
        </w:tc>
      </w:tr>
      <w:tr>
        <w:trPr>
          <w:trHeight w:val="234"/>
        </w:trPr>
        <w:tc>
          <w:tcPr>
            <w:tcW w:w="3540" w:type="dxa"/>
            <w:vAlign w:val="bottom"/>
          </w:tcPr>
          <w:p>
            <w:pPr>
              <w:spacing w:after="0"/>
              <w:rPr>
                <w:sz w:val="20"/>
                <w:szCs w:val="20"/>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offered in this prospectus, as described in “Plan of Distribution.”</w:t>
            </w:r>
          </w:p>
        </w:tc>
      </w:tr>
      <w:tr>
        <w:trPr>
          <w:trHeight w:val="441"/>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covered by</w:t>
            </w:r>
          </w:p>
        </w:tc>
      </w:tr>
      <w:tr>
        <w:trPr>
          <w:trHeight w:val="234"/>
        </w:trPr>
        <w:tc>
          <w:tcPr>
            <w:tcW w:w="3540" w:type="dxa"/>
            <w:vAlign w:val="bottom"/>
          </w:tcPr>
          <w:p>
            <w:pPr>
              <w:spacing w:after="0"/>
              <w:rPr>
                <w:sz w:val="20"/>
                <w:szCs w:val="20"/>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this prospectus by the selling stockholders.</w:t>
            </w:r>
          </w:p>
        </w:tc>
      </w:tr>
      <w:tr>
        <w:trPr>
          <w:trHeight w:val="441"/>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An investment in our common stock involves a high degree of risk. See the information</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contained in or incorporated by reference in the section titled “Risk Factors” and under</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similar headings in the other documents that are incorporated by reference herein, as well</w:t>
            </w:r>
          </w:p>
        </w:tc>
      </w:tr>
      <w:tr>
        <w:trPr>
          <w:trHeight w:val="234"/>
        </w:trPr>
        <w:tc>
          <w:tcPr>
            <w:tcW w:w="3540" w:type="dxa"/>
            <w:vAlign w:val="bottom"/>
          </w:tcPr>
          <w:p>
            <w:pPr>
              <w:spacing w:after="0"/>
              <w:rPr>
                <w:sz w:val="20"/>
                <w:szCs w:val="20"/>
                <w:color w:val="auto"/>
              </w:rPr>
            </w:pP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 the other information included in or incorporated by reference in this prospectus.</w:t>
            </w:r>
          </w:p>
        </w:tc>
      </w:tr>
      <w:tr>
        <w:trPr>
          <w:trHeight w:val="459"/>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Nasdaq Capital Market ticker symbol</w:t>
            </w:r>
          </w:p>
        </w:tc>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“INAB”</w:t>
            </w:r>
          </w:p>
        </w:tc>
      </w:tr>
      <w:tr>
        <w:trPr>
          <w:trHeight w:val="186"/>
        </w:trPr>
        <w:tc>
          <w:tcPr>
            <w:tcW w:w="3540" w:type="dxa"/>
            <w:vAlign w:val="bottom"/>
            <w:tcBorders>
              <w:bottom w:val="single" w:sz="8" w:color="auto"/>
            </w:tcBorders>
          </w:tcPr>
          <w:p>
            <w:pPr>
              <w:spacing w:after="0"/>
              <w:rPr>
                <w:sz w:val="16"/>
                <w:szCs w:val="16"/>
                <w:color w:val="auto"/>
              </w:rPr>
            </w:pPr>
          </w:p>
        </w:tc>
        <w:tc>
          <w:tcPr>
            <w:tcW w:w="7480" w:type="dxa"/>
            <w:vAlign w:val="bottom"/>
            <w:tcBorders>
              <w:bottom w:val="single" w:sz="8" w:color="auto"/>
            </w:tcBorders>
          </w:tcPr>
          <w:p>
            <w:pPr>
              <w:spacing w:after="0"/>
              <w:rPr>
                <w:sz w:val="16"/>
                <w:szCs w:val="16"/>
                <w:color w:val="auto"/>
              </w:rPr>
            </w:pPr>
          </w:p>
        </w:tc>
      </w:tr>
      <w:tr>
        <w:trPr>
          <w:trHeight w:val="361"/>
        </w:trPr>
        <w:tc>
          <w:tcPr>
            <w:tcW w:w="3540" w:type="dxa"/>
            <w:vAlign w:val="bottom"/>
          </w:tcPr>
          <w:p>
            <w:pPr>
              <w:spacing w:after="0"/>
              <w:rPr>
                <w:sz w:val="24"/>
                <w:szCs w:val="24"/>
                <w:color w:val="auto"/>
              </w:rPr>
            </w:pPr>
          </w:p>
        </w:tc>
        <w:tc>
          <w:tcPr>
            <w:tcW w:w="7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140"/>
          </w:cols>
          <w:pgMar w:left="320" w:top="455"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of 1933, as amended (the “Securities Act”), and Section 21E of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words such as “anticipate,” “believe,” “continue,” “could,” “design,” “estimate,” “expect,” “intend,” “may,” “plan,” “potentially,” “predict,” “should,” “will” or the negative of these terms or other similar expressions. These statements reflect our current views with respect to future events and are based on assumptions and are subject to risks and uncertainties. Given these uncertainties, you should not place undue reliance on these forward-looking statements.</w:t>
      </w:r>
    </w:p>
    <w:p>
      <w:pPr>
        <w:spacing w:after="0" w:line="180"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evaluating such forward-looking statements, you should consider various factors, including specifically the risks outlined under the heading “Risk Factors” contained in this prospectus, any accompanying prospectus supplement and any related free writing prospectus, and in our most recent Annual Report on Form 10-K and any Quarterly Report on Form 10-Q or Current Report on Form 8-K we subsequently file with the SEC. The discussion of risks and uncertainties set forth in those filings is not necessarily a complete or exhaustive list of all risks facing us at any particular point in time. As a result of these factors, we cannot assure you that the forward-looking statements contained in or incorporated by reference into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Forward-looking statements represent our estimates and assumptions only as of the date such forward-looking statements are made.</w:t>
      </w:r>
    </w:p>
    <w:p>
      <w:pPr>
        <w:spacing w:after="0" w:line="194"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an investment decision, you should carefully consider the risks described in the sections entitled “Risk Factors” in our most recent Annual Report on Form 10-K and subsequent Quarterly Reports on Form 10-Q, as filed with the SEC, which are incorporated herein by reference in their entirety, as well any amendment or updates to our risk factors reflected in subsequent filings with the SEC, including any applicable prospectus supplement.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section entitled “Where You Can Find Additional Information.” Please also read carefully the section above entitled “Special Note Regarding Forward-Looking Statements.”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common stock pursuant to this prospectus by the selling stockholders. The selling stockholders will receive all of the proceeds from the sale of the shares of common stock offered hereunder.</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80"/>
          </w:cols>
          <w:pgMar w:left="320" w:top="455" w:right="8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shares of common stock being offered by the selling stockholders include shares of common stock issued by us in the Initial Closing of the Private Placement, consisting of the PIPE Shares and the Pre-Funded Warrant Shares. For additional information regarding the issuance of these securities in the Private Placement, see the section above entitled “Prospectus Summary—Private Placement.” We are registering the resale of shares of common stock issued to the selling stockholders and issuable upon exercise of the Pre-Funded Warrants in order to permit such selling stockholders to offer the shares for resale from time to time.</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the term “selling stockholders” includes the selling stockholders listed in the table below, together with any additional selling stockholders listed in a subsequent amendment to this prospectus, and their donees, pledgees, assignees, transferees, distributees or other successors-in-interest that receive shares in any non-sale transfer after the date of this prospectus.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by each of the selling stockholders as of January 12, 2026. This information has been obtained from the selling stockholders or in Schedules 13G or 13D and other public documents filed with the SEC. 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The second column lists the number of shares of common stock beneficially owned by each selling stockholder, based on its ownership of shares of common stock (including the PIPE Shares and the Pre-Funded Warrant Shares issuable upon exercise of the Pre-Funded Warrants), as of January 12, 2026, assuming exercise of the Pre-Funded Warrants held by the selling stockholders on that date for cash, without regard to any limitations on exercises. The percentage of shares owned after the offering in the fifth column is based on 9,766,132 shares of common stock outstanding as of January 12, 2026, plus, for each selling stockholder, the shares of common stock issuable upon exercise of the Pre-Funded Warrants held by such selling stockholder. The third column assumes the sale of all of the shares offered by the selling stockholders pursuant to this prospectus.</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Registration Rights Agreement, this prospectus covers the resale of the sum of (i) the PIPE Shares and (ii) the maximum number of Pre-Funded Warrant Shares issuable upon exercise of the Pre-Funded Warrants, in each case held by the selling stockholders. This maximum amount is determined as if the outstanding Pre-Funded Warrants were exercised in full for cash as of the trading day immediately preceding the date this registration statement was initially filed with the SEC, without regard to any limitations on the exercise of the Pre-Funded Warrants. The selling stockholders may sell all, some or none of their shares in this offering. See the section “Plan of Distribution.”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the selling stockholders do not have, and within the past three years have not had, any position, office or other material relationship with us, other than Emily Fairbairn, who is a member of our board of directors.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1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78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2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60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80" w:type="dxa"/>
            <w:vAlign w:val="bottom"/>
            <w:tcBorders>
              <w:top w:val="single" w:sz="8" w:color="auto"/>
            </w:tcBorders>
            <w:gridSpan w:val="2"/>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7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0" w:type="dxa"/>
            <w:vAlign w:val="bottom"/>
            <w:gridSpan w:val="2"/>
            <w:vMerge w:val="continue"/>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3140" w:type="dxa"/>
            <w:vAlign w:val="bottom"/>
            <w:vMerge w:val="restart"/>
          </w:tcPr>
          <w:p>
            <w:pPr>
              <w:spacing w:after="0"/>
              <w:rPr>
                <w:sz w:val="12"/>
                <w:szCs w:val="12"/>
                <w:color w:val="auto"/>
              </w:rPr>
            </w:pPr>
          </w:p>
        </w:tc>
        <w:tc>
          <w:tcPr>
            <w:tcW w:w="17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Owned Before</w:t>
            </w:r>
          </w:p>
        </w:tc>
        <w:tc>
          <w:tcPr>
            <w:tcW w:w="16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65"/>
        </w:trPr>
        <w:tc>
          <w:tcPr>
            <w:tcW w:w="1180" w:type="dxa"/>
            <w:vAlign w:val="bottom"/>
            <w:tcBorders>
              <w:bottom w:val="single" w:sz="8" w:color="auto"/>
            </w:tcBorders>
            <w:vMerge w:val="continue"/>
          </w:tcPr>
          <w:p>
            <w:pPr>
              <w:spacing w:after="0"/>
              <w:rPr>
                <w:sz w:val="13"/>
                <w:szCs w:val="13"/>
                <w:color w:val="auto"/>
              </w:rPr>
            </w:pPr>
          </w:p>
        </w:tc>
        <w:tc>
          <w:tcPr>
            <w:tcW w:w="3140" w:type="dxa"/>
            <w:vAlign w:val="bottom"/>
            <w:vMerge w:val="continue"/>
          </w:tcPr>
          <w:p>
            <w:pPr>
              <w:spacing w:after="0"/>
              <w:rPr>
                <w:sz w:val="13"/>
                <w:szCs w:val="13"/>
                <w:color w:val="auto"/>
              </w:rPr>
            </w:pPr>
          </w:p>
        </w:tc>
        <w:tc>
          <w:tcPr>
            <w:tcW w:w="178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60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Shares Offered</w:t>
            </w:r>
          </w:p>
        </w:tc>
        <w:tc>
          <w:tcPr>
            <w:tcW w:w="138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Alyeska Master Fund, LP</w:t>
            </w:r>
            <w:r>
              <w:rPr>
                <w:rFonts w:ascii="Times New Roman" w:cs="Times New Roman" w:eastAsia="Times New Roman" w:hAnsi="Times New Roman"/>
                <w:sz w:val="25"/>
                <w:szCs w:val="25"/>
                <w:color w:val="auto"/>
                <w:vertAlign w:val="superscript"/>
              </w:rPr>
              <w:t>(1)</w:t>
            </w:r>
          </w:p>
        </w:tc>
        <w:tc>
          <w:tcPr>
            <w:tcW w:w="11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vMerge w:val="continue"/>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3,901,770</w:t>
            </w:r>
          </w:p>
        </w:tc>
        <w:tc>
          <w:tcPr>
            <w:tcW w:w="66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3,623,188</w:t>
            </w:r>
          </w:p>
        </w:tc>
        <w:tc>
          <w:tcPr>
            <w:tcW w:w="66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278,582</w:t>
            </w:r>
          </w:p>
        </w:tc>
        <w:tc>
          <w:tcPr>
            <w:tcW w:w="66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Coastlands Capital Partners LP</w:t>
            </w:r>
            <w:r>
              <w:rPr>
                <w:rFonts w:ascii="Times New Roman" w:cs="Times New Roman" w:eastAsia="Times New Roman" w:hAnsi="Times New Roman"/>
                <w:sz w:val="25"/>
                <w:szCs w:val="25"/>
                <w:color w:val="auto"/>
                <w:vertAlign w:val="superscript"/>
              </w:rPr>
              <w:t>(2)</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3,623,188</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3,623,188</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Lytton-Kambara Foundation</w:t>
            </w:r>
            <w:r>
              <w:rPr>
                <w:rFonts w:ascii="Times New Roman" w:cs="Times New Roman" w:eastAsia="Times New Roman" w:hAnsi="Times New Roman"/>
                <w:sz w:val="25"/>
                <w:szCs w:val="25"/>
                <w:color w:val="auto"/>
                <w:vertAlign w:val="superscript"/>
              </w:rPr>
              <w:t>(3)</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1,992,753</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1,992,753</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Stonepine Capital, LP</w:t>
            </w:r>
            <w:r>
              <w:rPr>
                <w:rFonts w:ascii="Times New Roman" w:cs="Times New Roman" w:eastAsia="Times New Roman" w:hAnsi="Times New Roman"/>
                <w:sz w:val="25"/>
                <w:szCs w:val="25"/>
                <w:color w:val="auto"/>
                <w:vertAlign w:val="superscript"/>
              </w:rPr>
              <w:t>(4)</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1,614,168</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1,449,275</w:t>
            </w: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164,893</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Dellora Investments LP</w:t>
            </w:r>
            <w:r>
              <w:rPr>
                <w:rFonts w:ascii="Times New Roman" w:cs="Times New Roman" w:eastAsia="Times New Roman" w:hAnsi="Times New Roman"/>
                <w:sz w:val="25"/>
                <w:szCs w:val="25"/>
                <w:color w:val="auto"/>
                <w:vertAlign w:val="superscript"/>
              </w:rPr>
              <w:t>(5)</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1,459,273</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1,449,273</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Franklin Biotechnology</w:t>
            </w:r>
            <w:r>
              <w:rPr>
                <w:rFonts w:ascii="Times New Roman" w:cs="Times New Roman" w:eastAsia="Times New Roman" w:hAnsi="Times New Roman"/>
                <w:sz w:val="25"/>
                <w:szCs w:val="25"/>
                <w:color w:val="auto"/>
                <w:vertAlign w:val="superscript"/>
              </w:rPr>
              <w:t>(6)</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1,104,383</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724,637</w:t>
            </w: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379,746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Emily Fairbairn</w:t>
            </w:r>
            <w:r>
              <w:rPr>
                <w:rFonts w:ascii="Times New Roman" w:cs="Times New Roman" w:eastAsia="Times New Roman" w:hAnsi="Times New Roman"/>
                <w:sz w:val="25"/>
                <w:szCs w:val="25"/>
                <w:color w:val="auto"/>
                <w:vertAlign w:val="superscript"/>
              </w:rPr>
              <w:t>(7)</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837,804</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724,637</w:t>
            </w: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113,167</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683 Capital Partners, LP</w:t>
            </w:r>
            <w:r>
              <w:rPr>
                <w:rFonts w:ascii="Times New Roman" w:cs="Times New Roman" w:eastAsia="Times New Roman" w:hAnsi="Times New Roman"/>
                <w:sz w:val="25"/>
                <w:szCs w:val="25"/>
                <w:color w:val="auto"/>
                <w:vertAlign w:val="superscript"/>
              </w:rPr>
              <w:t>(8)</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770,444</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724,637</w:t>
            </w: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45,807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Richard Gormley</w:t>
            </w:r>
            <w:r>
              <w:rPr>
                <w:rFonts w:ascii="Times New Roman" w:cs="Times New Roman" w:eastAsia="Times New Roman" w:hAnsi="Times New Roman"/>
                <w:sz w:val="25"/>
                <w:szCs w:val="25"/>
                <w:color w:val="auto"/>
                <w:vertAlign w:val="superscript"/>
              </w:rPr>
              <w:t>(9)</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72,464</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72,464</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100" w:hanging="424"/>
        <w:spacing w:after="0" w:line="265"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957,484 shares of common stock (including 875,000 PIPE Shares), (ii) 2,748,188 Pre-Funded Warrant Shares and (iii) 196,098 shares of common stock issuable upon the exercise of warrants outstanding prior to the Private Placement (“Pre-PIPE Warrants”). The Pre-PIPE Warrants contain a provision precluding exercise of the warrants to the extent that, following exercise, the holder, together with any other persons whose beneficial ownership of common stock could be aggregated with the holder’s for purposes of the Exchange Act, would own more than</w:t>
      </w:r>
    </w:p>
    <w:p>
      <w:pPr>
        <w:ind w:left="540" w:right="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9.99% of the common stock outstanding.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3,623,188 Pre-Funded Warrant Shares. Coastlands Capital LP is the investment adviser to Coastlands Capital Partners LP (“Coastlands Capital”), and Coastlands Capital GP LLC (“Coastlands GP”) is the general partner of Coastlands Capital. Coastlands Capital LLC (the “General Partner”, and together with Coastlands Capital, Coastlands Capital LP and Coastlands GP, the “Coastlands Entities”) is the general partner of Coastlands Capital LP. Matthew D. Perry is the control person of the Coastlands Entities. The Coastlands Entities and Mr. Perry each disclaim membership in a group. The Coastlands Entities and Mr. Perry also each disclaim beneficial ownership of the shares except to the extent of such entity or person’s pecuniary interest therein. The address and principal office of the Coastlands Entities and Mr. Perry is 601 California St., Suite 1210, San Francisco, CA 94108.</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900,000 PIPE Shares and (ii) 1,092,753 Pre-Funded Warrant Shares. Laurence Lytton is the President of the Lytton-Kambara Foundation and has sole voting and dispositive power with respect to the securities held by the Lytton-Kambara Foundation. The business address of the Lytton-Kambara Foundation and Mr. Lytton is 467 Central Park West, 17-A, New York, NY 10025.</w:t>
      </w:r>
    </w:p>
    <w:p>
      <w:pPr>
        <w:spacing w:after="0" w:line="1"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684,893 shares of common stock (including 520,000 PIPE Shares) and (ii) 929,275 Pre-Funded Warrant Shares. Jon M. Plexico exercises voting and investment discretion with respect to the securities held by Stonepine Capital, LP and as such may be deemed to beneficially own the securities held by Stonepine Capital, LP. The address of Stonepine Capital, LP and Mr. Plexico is 2900 NW Clearwater Drive, Ste 100-11, Bend, OR 97703.</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60" w:hanging="424"/>
        <w:spacing w:after="0" w:line="253"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(A)(i) 398,784 shares of common stock (including 390,000 PIPE Shares) and (ii) 934,636 Pre-Funded Warrant Shares held directly by Dellora Investments Master Fund LP (“Dellora Master Fund”) and (B)(i) 1,216 shares of common stock and (ii) 124,637 Pre-Funded Warrant Shares held directly by Dellora Long Only Master Fund LP (“Dellora Long Only”). Dellora Investments LP is the investment adviser to Dellora Master Fund and Dellora Long Only and may be deemed to be the beneficial owner of the securities held directly by Dellora Master Fund and Dellora Long Only. Mr. Pyun, as Principal of Dellora Investments LP, has the power to exercise investment and voting discretion over the securities held by Dellora Master Fund and Dellora Long Only and may be deemed to be the beneficial owner of the securities held by Dellora Master Fund and Dellora Long Only. The principal business address of the entities and individual referenced in this footnote is 283 Greenwich Avenue, 3rd Floor, Greenwich, CT 06830.</w:t>
      </w:r>
    </w:p>
    <w:p>
      <w:pPr>
        <w:ind w:left="540" w:right="1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(A)(i) 582,427 shares of common stock (including 462,227 PIPE Shares) and (ii) 120,200 shares of common stock issuable upon exercise of Pre-PIPE Warrants held directly by Franklin Templeton Investment Funds–Franklin Biotechnology Discovery Fund (“Franklin Templeton”) and (B)(i) 332,083 shares of common stock (including 262,410 PIPE Shares) and (ii) 69,673 shares of common stock issuable upon exercise of Pre-PIPE Warrants held directly by Franklin Strategic Series–Franklin Biotechnology Discovery Fund (“Franklin Strategic”). The Pre-PIPE Warrants contain a provision precluding exercise of the warrants to the extent that, following exercise, the holder, together with any other persons whose beneficial ownership of common stock could be aggregated with the holder’s for purposes of the Exchange Act, would own more than 4.99% of the common stock outstanding. Franklin Advisers, Inc., an SEC registered broker-dealer, is the investment adviser to both Franklin Strategic and Franklin Templeton. Evan McCulloch is the portfolio manager for both Franklin Strategic and Franklin Templeton.</w:t>
      </w:r>
    </w:p>
    <w:p>
      <w:pPr>
        <w:spacing w:after="0" w:line="3" w:lineRule="exact"/>
        <w:rPr>
          <w:rFonts w:ascii="Times New Roman" w:cs="Times New Roman" w:eastAsia="Times New Roman" w:hAnsi="Times New Roman"/>
          <w:sz w:val="18"/>
          <w:szCs w:val="18"/>
          <w:color w:val="auto"/>
        </w:rPr>
      </w:pPr>
    </w:p>
    <w:p>
      <w:pPr>
        <w:jc w:val="both"/>
        <w:ind w:left="540"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McCulloch may be deemed to have voting and investment power over the securities held by Franklin Strategic and Franklin Templeton. The address of Franklin Strategic is c/o Franklin Advisers, Inc., One Franklin Parkway, San Mateo, CA 94403. The address of Franklin Templeton is 8A Rue Albert Borschette, 1246 Kirchberg, Luxembourg.</w:t>
      </w:r>
    </w:p>
    <w:p>
      <w:pPr>
        <w:spacing w:after="0" w:line="1" w:lineRule="exact"/>
        <w:rPr>
          <w:rFonts w:ascii="Times New Roman" w:cs="Times New Roman" w:eastAsia="Times New Roman" w:hAnsi="Times New Roman"/>
          <w:sz w:val="18"/>
          <w:szCs w:val="18"/>
          <w:color w:val="auto"/>
        </w:rPr>
      </w:pPr>
    </w:p>
    <w:p>
      <w:pPr>
        <w:ind w:left="540" w:hanging="424"/>
        <w:spacing w:after="0" w:line="265" w:lineRule="auto"/>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724,637 PIPE Shares held by the Malcolm and Emily Fairbairn 2010 CRUT (the “CRUT”), (ii) 202,582 shares of common stock issuable upon exercise of Pre-PIPE Warrants held by the Malcolm and Emily Charitable Remainder Unitrust 2010 (the “Unitrust”), (iii) 3,044 shares of common stock held by Valley High Limited Partnership (“Valley High”), (iv) 923 shares of common stock held by the Emily T. Fairbairn Roth IRA (the “Emily Fairbairn IRA”), and (v) 7,909 shares of common stock issuable upon exercise of options held by Ms. Fairbairn that are currently exercisable or exercisable within 60 days of January 12, 2026. Ms. Fairbairn and her spouse both exercise control over the CRUT and the Unitrust and, as such, have shared voting and investment power over the shares held by the CRUT and the Unitrust. Ms. Fairbairn exercises control over the Emily Fairbairn IRA and, as such, has sole voting and investment power over the shares held by the Emily Fairbairn IRA.</w:t>
      </w:r>
    </w:p>
    <w:p>
      <w:pPr>
        <w:spacing w:after="0" w:line="1" w:lineRule="exact"/>
        <w:rPr>
          <w:rFonts w:ascii="Times New Roman" w:cs="Times New Roman" w:eastAsia="Times New Roman" w:hAnsi="Times New Roman"/>
          <w:sz w:val="17"/>
          <w:szCs w:val="17"/>
          <w:color w:val="auto"/>
        </w:rPr>
      </w:pPr>
    </w:p>
    <w:p>
      <w:pPr>
        <w:ind w:left="540" w:right="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Ms. Fairbairn’s spouse is the sole managing partner of Valley High and has sole voting and investment power over the shares held by Valley High. Ms. Fairbairn disclaims beneficial ownership of the shares held by Valley High except to the extent of her pecuniary interest therein. The address of the individuals and entities referenced in this footnote is 10 Orinda View Road, Orinda, California 94563.</w:t>
      </w:r>
    </w:p>
    <w:p>
      <w:pPr>
        <w:spacing w:after="0" w:line="1" w:lineRule="exact"/>
        <w:rPr>
          <w:rFonts w:ascii="Times New Roman" w:cs="Times New Roman" w:eastAsia="Times New Roman" w:hAnsi="Times New Roman"/>
          <w:sz w:val="17"/>
          <w:szCs w:val="17"/>
          <w:color w:val="auto"/>
        </w:rPr>
      </w:pPr>
    </w:p>
    <w:p>
      <w:pPr>
        <w:ind w:left="540" w:right="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724,637 PIPE Shares and (ii) 45,807 shares of common stock issuable upon exercise of Pre-PIPE Warrants. The Pre-PIPE Warrants contain a provision precluding exercise of the warrants to the extent that, following exercise, the holder, together with any other persons whose beneficial ownership of common stock could be aggregated with the holder’s for purposes of the Exchange Act, would own more than 4.99% of the common stock outstanding. The securities held by 683 Capital Partners, LP are indirectly held by 683 Capital Management, LLC and Ari Zweiman, the managing member of 683 Capital Management, LLC. 683 Capital Management, LLC, 683 Capital Partners, LP and Mr. Zweiman share voting and dispositive power with respect to the securities held by 683 Capital Partners, LP. The address of 683 Capital Partners, LP is 1700 Broadway, Suite 4200, New York, NY 10019.</w:t>
      </w:r>
    </w:p>
    <w:p>
      <w:pPr>
        <w:spacing w:after="0" w:line="2"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72,464 PIPE Shares. Mr. Gormley is Vice Chairman and President of Capital Markets at H.C. Wainwright &amp; Co. LLC, which served as our placement agent in the Private Placement. Mr. Gormley’s business address is 430 Park Avenue, New York, NY 10022.</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left="120" w:right="100" w:firstLine="440"/>
        <w:spacing w:after="0" w:line="270" w:lineRule="auto"/>
        <w:rPr>
          <w:sz w:val="20"/>
          <w:szCs w:val="20"/>
          <w:color w:val="auto"/>
        </w:rPr>
      </w:pPr>
      <w:r>
        <w:rPr>
          <w:rFonts w:ascii="Times New Roman" w:cs="Times New Roman" w:eastAsia="Times New Roman" w:hAnsi="Times New Roman"/>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3" w:lineRule="exact"/>
        <w:rPr>
          <w:sz w:val="20"/>
          <w:szCs w:val="20"/>
          <w:color w:val="auto"/>
        </w:rPr>
      </w:pPr>
    </w:p>
    <w:p>
      <w:pPr>
        <w:ind w:left="120" w:right="760"/>
        <w:spacing w:after="0" w:line="260" w:lineRule="auto"/>
        <w:rPr>
          <w:sz w:val="20"/>
          <w:szCs w:val="20"/>
          <w:color w:val="auto"/>
        </w:rPr>
      </w:pPr>
      <w:r>
        <w:rPr>
          <w:rFonts w:ascii="Times New Roman" w:cs="Times New Roman" w:eastAsia="Times New Roman" w:hAnsi="Times New Roman"/>
          <w:sz w:val="18"/>
          <w:szCs w:val="18"/>
          <w:color w:val="auto"/>
        </w:rPr>
        <w:t>The selling stockholders also may transfer the shares of common stock in other circumstances, in which case the transferees, pledgees or other successors in interest will be the selling stockholders for purposes of this prospectus.</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 any proposed purchase of common stock to be made directly or through agents. We will not receive any of the proceeds from this offering.</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certain liabilities, including liabilities under the Securities Act and state securities laws, relating to the registration of the shares of common stock offered by this prospectus.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of common stock covered by this prospectus may be resold by the selling stockholders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Cooley LLP, Washington, D.C., will pass upon the validity of the securities offered by this prospectus and any supplement thereto. As of the date of this prospectus, GC&amp;H Investments and GC&amp;H Investments, LLC, each an entity that is comprised of partners and associates of Cooley LLP, beneficially own an aggregate of 5,797 shares of our common stock.</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IN8bio, Inc. for the years ended December 31, 2024 and 2023 have been audited by CohnReznick LLP, independent registered public accounting firm, as set forth in their report thereon appearing in IN8bio, Inc.’s Annual Report on Form 10-K for the year ended December 31, 2024 and 2023, and incorporated by reference herein. Such financial statements are incorporated by reference herein in reliance upon such report, which includes an explanatory paragraph on IN8bio, Inc.’s ability to continue as a going concern, given on the authority of such firm as experts in accounting and auditing.</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180"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Relations section of our website. These filings will be available as soon as reasonably practicable after we electronically file such material with, or furnish it to, the SEC. Our website address is </w:t>
      </w:r>
      <w:r>
        <w:rPr>
          <w:rFonts w:ascii="Times New Roman" w:cs="Times New Roman" w:eastAsia="Times New Roman" w:hAnsi="Times New Roman"/>
          <w:sz w:val="17"/>
          <w:szCs w:val="17"/>
          <w:i w:val="1"/>
          <w:iCs w:val="1"/>
          <w:color w:val="auto"/>
        </w:rPr>
        <w:t>www.in8bio.com</w:t>
      </w:r>
      <w:r>
        <w:rPr>
          <w:rFonts w:ascii="Times New Roman" w:cs="Times New Roman" w:eastAsia="Times New Roman" w:hAnsi="Times New Roman"/>
          <w:sz w:val="17"/>
          <w:szCs w:val="17"/>
          <w:color w:val="auto"/>
        </w:rPr>
        <w:t>. Information contained on or accessible through our website is not a part of this prospectus and is not incorporated by reference herein, and the inclusion of our website address in this prospectus is an inactive textual reference only.</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001-39692):</w:t>
      </w:r>
    </w:p>
    <w:p>
      <w:pPr>
        <w:spacing w:after="0" w:line="93" w:lineRule="exact"/>
        <w:rPr>
          <w:sz w:val="20"/>
          <w:szCs w:val="20"/>
          <w:color w:val="auto"/>
        </w:rPr>
      </w:pPr>
    </w:p>
    <w:p>
      <w:pPr>
        <w:jc w:val="both"/>
        <w:ind w:left="1080" w:right="320" w:hanging="424"/>
        <w:spacing w:after="0" w:line="266" w:lineRule="auto"/>
        <w:tabs>
          <w:tab w:leader="none" w:pos="1080" w:val="left"/>
        </w:tabs>
        <w:numPr>
          <w:ilvl w:val="0"/>
          <w:numId w:val="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2024, filed with the SEC on </w:t>
      </w:r>
      <w:hyperlink r:id="rId34">
        <w:r>
          <w:rPr>
            <w:rFonts w:ascii="Times New Roman" w:cs="Times New Roman" w:eastAsia="Times New Roman" w:hAnsi="Times New Roman"/>
            <w:sz w:val="18"/>
            <w:szCs w:val="18"/>
            <w:u w:val="single" w:color="auto"/>
            <w:color w:val="0000EE"/>
          </w:rPr>
          <w:t>March 13, 2025</w:t>
        </w:r>
      </w:hyperlink>
      <w:r>
        <w:rPr>
          <w:rFonts w:ascii="Times New Roman" w:cs="Times New Roman" w:eastAsia="Times New Roman" w:hAnsi="Times New Roman"/>
          <w:sz w:val="18"/>
          <w:szCs w:val="18"/>
          <w:color w:val="auto"/>
        </w:rPr>
        <w:t xml:space="preserve">, as amended by </w:t>
      </w:r>
      <w:hyperlink r:id="rId35">
        <w:r>
          <w:rPr>
            <w:rFonts w:ascii="Times New Roman" w:cs="Times New Roman" w:eastAsia="Times New Roman" w:hAnsi="Times New Roman"/>
            <w:sz w:val="18"/>
            <w:szCs w:val="18"/>
            <w:color w:val="auto"/>
          </w:rPr>
          <w:t xml:space="preserve">Amendment No. 1 to our Annual Report on Form 10-K/A for the fiscal year ended December 31, 2024, filed with the SEC on </w:t>
        </w:r>
        <w:r>
          <w:rPr>
            <w:rFonts w:ascii="Times New Roman" w:cs="Times New Roman" w:eastAsia="Times New Roman" w:hAnsi="Times New Roman"/>
            <w:sz w:val="18"/>
            <w:szCs w:val="18"/>
            <w:u w:val="single" w:color="auto"/>
            <w:color w:val="0000EE"/>
          </w:rPr>
          <w:t>May 7,</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81" w:lineRule="exact"/>
        <w:rPr>
          <w:rFonts w:ascii="Times New Roman" w:cs="Times New Roman" w:eastAsia="Times New Roman" w:hAnsi="Times New Roman"/>
          <w:sz w:val="18"/>
          <w:szCs w:val="18"/>
          <w:color w:val="0000EE"/>
        </w:rPr>
      </w:pPr>
    </w:p>
    <w:p>
      <w:pPr>
        <w:ind w:left="1080" w:right="1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36">
        <w:r>
          <w:rPr>
            <w:rFonts w:ascii="Times New Roman" w:cs="Times New Roman" w:eastAsia="Times New Roman" w:hAnsi="Times New Roman"/>
            <w:sz w:val="18"/>
            <w:szCs w:val="18"/>
            <w:u w:val="single" w:color="auto"/>
            <w:color w:val="0000EE"/>
          </w:rPr>
          <w:t>March 17, 2025</w:t>
        </w:r>
      </w:hyperlink>
      <w:r>
        <w:rPr>
          <w:rFonts w:ascii="Times New Roman" w:cs="Times New Roman" w:eastAsia="Times New Roman" w:hAnsi="Times New Roman"/>
          <w:sz w:val="18"/>
          <w:szCs w:val="18"/>
          <w:color w:val="auto"/>
        </w:rPr>
        <w:t xml:space="preserve">, as amended by Amendment No. 1 to our definitive Proxy Statement on Schedule 14A, filed with the SEC on </w:t>
      </w:r>
      <w:hyperlink r:id="rId37">
        <w:r>
          <w:rPr>
            <w:rFonts w:ascii="Times New Roman" w:cs="Times New Roman" w:eastAsia="Times New Roman" w:hAnsi="Times New Roman"/>
            <w:sz w:val="18"/>
            <w:szCs w:val="18"/>
            <w:u w:val="single" w:color="auto"/>
            <w:color w:val="0000EE"/>
          </w:rPr>
          <w:t>April 29,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those portions that are not incorporated by reference into our Annual Report on Form 10-K for the fiscal year ended December 31, 2024);</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2025, June 30, 2025 and September 30, 2025, filed with the SEC on </w:t>
      </w:r>
      <w:hyperlink r:id="rId38">
        <w:r>
          <w:rPr>
            <w:rFonts w:ascii="Times New Roman" w:cs="Times New Roman" w:eastAsia="Times New Roman" w:hAnsi="Times New Roman"/>
            <w:sz w:val="18"/>
            <w:szCs w:val="18"/>
            <w:u w:val="single" w:color="auto"/>
            <w:color w:val="0000EE"/>
          </w:rPr>
          <w:t>May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 xml:space="preserve">August 7,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November 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20" w:hanging="424"/>
        <w:spacing w:after="0" w:line="266" w:lineRule="auto"/>
        <w:tabs>
          <w:tab w:leader="none" w:pos="1080" w:val="left"/>
        </w:tabs>
        <w:numPr>
          <w:ilvl w:val="0"/>
          <w:numId w:val="6"/>
        </w:numPr>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28,</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
        <w:r>
          <w:rPr>
            <w:rFonts w:ascii="Times New Roman" w:cs="Times New Roman" w:eastAsia="Times New Roman" w:hAnsi="Times New Roman"/>
            <w:sz w:val="18"/>
            <w:szCs w:val="18"/>
            <w:u w:val="single" w:color="auto"/>
            <w:color w:val="0000EE"/>
          </w:rPr>
          <w:t>April 28, 2025</w:t>
        </w:r>
      </w:hyperlink>
      <w:hyperlink r:id="rId4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3">
        <w:r>
          <w:rPr>
            <w:rFonts w:ascii="Times New Roman" w:cs="Times New Roman" w:eastAsia="Times New Roman" w:hAnsi="Times New Roman"/>
            <w:sz w:val="18"/>
            <w:szCs w:val="18"/>
            <w:u w:val="single" w:color="auto"/>
            <w:color w:val="0000EE"/>
          </w:rPr>
          <w:t>May 9, 2025</w:t>
        </w:r>
      </w:hyperlink>
      <w:hyperlink r:id="rId4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4">
        <w:r>
          <w:rPr>
            <w:rFonts w:ascii="Times New Roman" w:cs="Times New Roman" w:eastAsia="Times New Roman" w:hAnsi="Times New Roman"/>
            <w:sz w:val="18"/>
            <w:szCs w:val="18"/>
            <w:u w:val="single" w:color="auto"/>
            <w:color w:val="0000EE"/>
          </w:rPr>
          <w:t>June 2, 2025</w:t>
        </w:r>
      </w:hyperlink>
      <w:hyperlink r:id="rId4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June 4, 2025</w:t>
        </w:r>
      </w:hyperlink>
      <w:hyperlink r:id="rId4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June 30, 2025</w:t>
        </w:r>
      </w:hyperlink>
      <w:hyperlink r:id="rId4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7">
        <w:r>
          <w:rPr>
            <w:rFonts w:ascii="Times New Roman" w:cs="Times New Roman" w:eastAsia="Times New Roman" w:hAnsi="Times New Roman"/>
            <w:sz w:val="18"/>
            <w:szCs w:val="18"/>
            <w:u w:val="single" w:color="auto"/>
            <w:color w:val="0000EE"/>
          </w:rPr>
          <w:t>October 27, 2025</w:t>
        </w:r>
      </w:hyperlink>
      <w:hyperlink r:id="rId4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 xml:space="preserve">November 24, 2025 </w:t>
        </w:r>
      </w:hyperlink>
      <w:hyperlink r:id="rId41">
        <w:r>
          <w:rPr>
            <w:rFonts w:ascii="Times New Roman" w:cs="Times New Roman" w:eastAsia="Times New Roman" w:hAnsi="Times New Roman"/>
            <w:sz w:val="18"/>
            <w:szCs w:val="18"/>
            <w:color w:val="000000"/>
          </w:rPr>
          <w:t>and</w:t>
        </w:r>
      </w:hyperlink>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December 19,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81" w:lineRule="exact"/>
        <w:rPr>
          <w:rFonts w:ascii="Times New Roman" w:cs="Times New Roman" w:eastAsia="Times New Roman" w:hAnsi="Times New Roman"/>
          <w:sz w:val="18"/>
          <w:szCs w:val="18"/>
          <w:color w:val="0000EE"/>
        </w:rPr>
      </w:pPr>
    </w:p>
    <w:p>
      <w:pPr>
        <w:ind w:left="1080" w:right="340" w:hanging="424"/>
        <w:spacing w:after="0" w:line="282" w:lineRule="auto"/>
        <w:tabs>
          <w:tab w:leader="none" w:pos="1080" w:val="left"/>
        </w:tabs>
        <w:numPr>
          <w:ilvl w:val="0"/>
          <w:numId w:val="6"/>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auto"/>
          </w:rPr>
          <w:t xml:space="preserve">the description of our common stock as described in </w:t>
        </w:r>
        <w:r>
          <w:rPr>
            <w:rFonts w:ascii="Times New Roman" w:cs="Times New Roman" w:eastAsia="Times New Roman" w:hAnsi="Times New Roman"/>
            <w:sz w:val="18"/>
            <w:szCs w:val="18"/>
            <w:u w:val="single" w:color="auto"/>
            <w:color w:val="0000EE"/>
          </w:rPr>
          <w:t>Exhibit 4.3 to our Annual Report on Form 10-K filed with the SEC on March 13,</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including any amendments or reports filed for the purpose of updating this description.</w:t>
        </w:r>
      </w:hyperlink>
    </w:p>
    <w:p>
      <w:pPr>
        <w:spacing w:after="0" w:line="162" w:lineRule="exact"/>
        <w:rPr>
          <w:rFonts w:ascii="Times New Roman" w:cs="Times New Roman" w:eastAsia="Times New Roman" w:hAnsi="Times New Roman"/>
          <w:sz w:val="18"/>
          <w:szCs w:val="18"/>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w:t>
      </w:r>
    </w:p>
    <w:p>
      <w:pPr>
        <w:spacing w:after="0" w:line="27"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Form 8-K and exhibits filed on such form that are related to such items) that are filed by us with the SEC pursuant to Sections 13(a), 13(c), 14 or 15(d)</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Exchange Act, including those made after the date of the initial filing of the registration statement of which this prospectus is a part and prior to</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effectiveness of such registration statement, until we file a post-effective amendment that indicates the termination of the offering of the securities made</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by this prospectus and will become a part of this prospectus from the date that such documents are filed with the SEC. Information in such future filings</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updates and supplements the information provided in this prospectus. Any statements in any such future filings will automatically be deemed to modify</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and supersede any information in any document we previously filed with the SEC that is incorporated or deemed to be incorporated herein by reference</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extent that statements in the later filed document modify or replace such earlier statements.</w:t>
      </w:r>
    </w:p>
    <w:p>
      <w:pPr>
        <w:spacing w:after="0" w:line="207" w:lineRule="exact"/>
        <w:rPr>
          <w:rFonts w:ascii="Times New Roman" w:cs="Times New Roman" w:eastAsia="Times New Roman" w:hAnsi="Times New Roman"/>
          <w:sz w:val="18"/>
          <w:szCs w:val="18"/>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IN8bio, Inc., Attn: Patrick McCall, Corporate Secretary, 350 5th Avenue, Suite 5330, New York, New York 10118; telephone: (646) 600-6438.</w:t>
      </w:r>
    </w:p>
    <w:p>
      <w:pPr>
        <w:spacing w:after="0" w:line="112"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1595755</wp:posOffset>
            </wp:positionV>
            <wp:extent cx="1234440" cy="471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1234440" cy="4718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14,384,052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1052830</wp:posOffset>
            </wp:positionV>
            <wp:extent cx="1474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399415</wp:posOffset>
            </wp:positionV>
            <wp:extent cx="1474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January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1383030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5"/>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jpe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34" Type="http://schemas.openxmlformats.org/officeDocument/2006/relationships/hyperlink" Target="http://www.sec.gov/ix?doc=/Archives/edgar/data/0001740279/000095017025038738/inab-20241231.htm" TargetMode="External"/><Relationship Id="rId35" Type="http://schemas.openxmlformats.org/officeDocument/2006/relationships/hyperlink" Target="http://www.sec.gov/ix?doc=/Archives/edgar/data/0001740279/000119312525114915/d932107d10ka.htm" TargetMode="External"/><Relationship Id="rId36" Type="http://schemas.openxmlformats.org/officeDocument/2006/relationships/hyperlink" Target="http://www.sec.gov/Archives/edgar/data/1740279/000119312525055610/d888198ddef14a.htm" TargetMode="External"/><Relationship Id="rId37" Type="http://schemas.openxmlformats.org/officeDocument/2006/relationships/hyperlink" Target="http://www.sec.gov/ix?doc=/Archives/edgar/data/0001740279/000119312525100951/d948398ddefr14a.htm" TargetMode="External"/><Relationship Id="rId38" Type="http://schemas.openxmlformats.org/officeDocument/2006/relationships/hyperlink" Target="http://www.sec.gov/ix?doc=/Archives/edgar/data/0001740279/000095017025065609/inab-20250331.htm" TargetMode="External"/><Relationship Id="rId39" Type="http://schemas.openxmlformats.org/officeDocument/2006/relationships/hyperlink" Target="http://www.sec.gov/ix?doc=/Archives/edgar/data/0001740279/000095017025105028/inab-20250630.htm" TargetMode="External"/><Relationship Id="rId40" Type="http://schemas.openxmlformats.org/officeDocument/2006/relationships/hyperlink" Target="http://www.sec.gov/ix?doc=/Archives/edgar/data/0001740279/000119312525269447/inab-20250930.htm" TargetMode="External"/><Relationship Id="rId41" Type="http://schemas.openxmlformats.org/officeDocument/2006/relationships/hyperlink" Target="http://www.sec.gov/ix?doc=/Archives/edgar/data/0001740279/000119312525098597/d597671d8k.htm" TargetMode="External"/><Relationship Id="rId42" Type="http://schemas.openxmlformats.org/officeDocument/2006/relationships/hyperlink" Target="http://www.sec.gov/ix?doc=/Archives/edgar/data/0001740279/000119312525098599/d788811d8k.htm" TargetMode="External"/><Relationship Id="rId43" Type="http://schemas.openxmlformats.org/officeDocument/2006/relationships/hyperlink" Target="http://www.sec.gov/ix?doc=/Archives/edgar/data/0001740279/000119312525116901/d911601d8k.htm" TargetMode="External"/><Relationship Id="rId44" Type="http://schemas.openxmlformats.org/officeDocument/2006/relationships/hyperlink" Target="http://www.sec.gov/ix?doc=/Archives/edgar/data/0001740279/000119312525132783/d945167d8k.htm" TargetMode="External"/><Relationship Id="rId45" Type="http://schemas.openxmlformats.org/officeDocument/2006/relationships/hyperlink" Target="http://www.sec.gov/ix?doc=/Archives/edgar/data/0001740279/000119312525134487/d927529d8k.htm" TargetMode="External"/><Relationship Id="rId46" Type="http://schemas.openxmlformats.org/officeDocument/2006/relationships/hyperlink" Target="http://www.sec.gov/ix?doc=/Archives/edgar/data/0001740279/000119312525152037/d866741d8k.htm" TargetMode="External"/><Relationship Id="rId47" Type="http://schemas.openxmlformats.org/officeDocument/2006/relationships/hyperlink" Target="http://www.sec.gov/ix?doc=/Archives/edgar/data/0001740279/000119312525250756/d65132d8k.htm" TargetMode="External"/><Relationship Id="rId48" Type="http://schemas.openxmlformats.org/officeDocument/2006/relationships/hyperlink" Target="http://www.sec.gov/ix?doc=/Archives/edgar/data/0001740279/000119312525292057/d11812d8k.htm" TargetMode="External"/><Relationship Id="rId49" Type="http://schemas.openxmlformats.org/officeDocument/2006/relationships/hyperlink" Target="http://www.sec.gov/ix?doc=/Archives/edgar/data/0001740279/000119312525327097/d145007d8k.htm" TargetMode="External"/><Relationship Id="rId50" Type="http://schemas.openxmlformats.org/officeDocument/2006/relationships/hyperlink" Target="http://www.sec.gov/Archives/edgar/data/1740279/000095017025038738/inab-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2026-01-30T16:36:38Z</dcterms:created>
  <dcterms:modified xsi:type="dcterms:W3CDTF">2026-01-30T16:36:38Z</dcterms:modified>
</cp:coreProperties>
</file>