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jc w:val="both"/>
        <w:ind w:left="4364" w:hanging="410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On June 1, 2026,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Capital on Demand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JonesTrading Institutional Services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with respect to an at the market offering program under which the Company may issue and sell, from time to time at its sole discretion, shares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of its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through or to the Agent. The issuance and sale, if any, of the Placement Shares by the Company under the Sales Agreement will be made pursuant to the Company’s registration statement on Form S-3 (File No. 333-291393), as amended.</w:t>
      </w:r>
    </w:p>
    <w:p>
      <w:pPr>
        <w:spacing w:after="0" w:line="20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Agent may sell the Placement Shares by any method permitted by law deemed to be an “at the market offering” as defined in Rule 415 of the Securities Act of 1933, as amended, including, without limitation, sales made through The Nasdaq Capital Market or on any other existing trading market for the Common Stock. The Agent will use commercially reasonable efforts to sell the Placement Shares from time to time, based upon instructions from the Company (including any price, time or size limits or other customary parameters or conditions the Company may impose). The Company will pay the Agent a commission equal to an aggregate of three percent (3.0%) of the gross sales proceeds of any Placement Shares sold through the Agent under the Sales Agreement, and also has provided the Agent with customary indemnification and contribution rights.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not obligated to make any sales of Common Stock under the Sales Agreement. The offering of Placement Shares pursuant to the Sales Agreement will terminate upon the earlier of (i) the issuance and sale of all Placement Shares subject to the Sales Agreement or (ii) termination of the Sales Agreement in accordance with its terms. The Company may terminate the Sales Agreement at any time upon ten (10) days written notice, and the Agent may terminate the Sales Agreement with at any time upon ten (10) days written notice or immediately upon the occurrence of certain specified events.</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qualified in its entirety by reference to the full text of the Sales Agreement, which is attached as Exhibit 10.1 hereto and incorporated by reference herein.</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Cooley LLP, counsel to the Company, has issued a legal opinion relating to the Placement Shares. A copy of such legal opinion, including the consent included therein, is attached as Exhibit 5.1 hereto.</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160" w:firstLine="440"/>
        <w:spacing w:after="0" w:line="224" w:lineRule="auto"/>
        <w:rPr>
          <w:sz w:val="20"/>
          <w:szCs w:val="20"/>
          <w:color w:val="auto"/>
        </w:rPr>
      </w:pPr>
      <w:r>
        <w:rPr>
          <w:rFonts w:ascii="Times New Roman" w:cs="Times New Roman" w:eastAsia="Times New Roman" w:hAnsi="Times New Roman"/>
          <w:sz w:val="18"/>
          <w:szCs w:val="18"/>
          <w:color w:val="auto"/>
        </w:rPr>
        <w:t>As previously disclosed, on November 10, 2022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with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as sales agent (the “</w:t>
      </w:r>
      <w:r>
        <w:rPr>
          <w:rFonts w:ascii="Times New Roman" w:cs="Times New Roman" w:eastAsia="Times New Roman" w:hAnsi="Times New Roman"/>
          <w:sz w:val="18"/>
          <w:szCs w:val="18"/>
          <w:u w:val="single" w:color="auto"/>
          <w:color w:val="auto"/>
        </w:rPr>
        <w:t>Cantor Sales Agreement</w:t>
      </w:r>
      <w:r>
        <w:rPr>
          <w:rFonts w:ascii="Times New Roman" w:cs="Times New Roman" w:eastAsia="Times New Roman" w:hAnsi="Times New Roman"/>
          <w:sz w:val="18"/>
          <w:szCs w:val="18"/>
          <w:color w:val="auto"/>
        </w:rPr>
        <w:t>”), pursuant to which the Company was permitted to issue and sell, from time to time through Cantor, shares of the Company’s Common Stock.</w:t>
      </w:r>
    </w:p>
    <w:p>
      <w:pPr>
        <w:spacing w:after="0" w:line="19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On May 29, 2026, the Company and Cantor mutually agreed to terminate the Cantor Sales Agreement and the offering of shares contemplated thereby, effective at the close of business on May 29, 2026, pursuant to Sections 12(b) and 12(c) of the Cantor Sales Agreement. The Company and Cantor each waived the other party’s requirement in Sections 12(b) and 12(c) of the Cantor Sales Agreement to provide five (5) days’ written notice to terminate the Cantor Sales Agreement. The Company is not subject to any termination penalties related to the termination of the Cantor Sales Agreement.</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Following the termination of the Cantor Sales Agreement, the Company may not issue or sell any additional shares of its common stock under the Cantor Sales Agreement or the related prospectus.</w:t>
      </w:r>
    </w:p>
    <w:p>
      <w:pPr>
        <w:sectPr>
          <w:pgSz w:w="11900" w:h="16838" w:orient="portrait"/>
          <w:cols w:equalWidth="0" w:num="1">
            <w:col w:w="11000"/>
          </w:cols>
          <w:pgMar w:left="440" w:top="293" w:right="459" w:bottom="1440" w:gutter="0" w:footer="0" w:header="0"/>
        </w:sectPr>
      </w:pPr>
    </w:p>
    <w:bookmarkStart w:id="2" w:name="page3"/>
    <w:bookmarkEnd w:id="2"/>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Cantor Sales Agreement is not complete and is qualified in its entirety by reference to the full text of the Cantor Sales Agreement, a copy of which was filed as Exhibit 1.2 to the Company’s shelf registration statement on Form S-3 filed with the SEC on November 10, 2022 and declared effective by the SEC on November 21, 2022, and which is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Cooley LLP, dated June 1, 2026.</w:t>
      </w:r>
    </w:p>
    <w:p>
      <w:pPr>
        <w:spacing w:after="0" w:line="129" w:lineRule="exact"/>
        <w:rPr>
          <w:sz w:val="20"/>
          <w:szCs w:val="20"/>
          <w:color w:val="auto"/>
        </w:rPr>
      </w:pPr>
    </w:p>
    <w:p>
      <w:pPr>
        <w:ind w:left="884" w:right="260" w:hanging="876"/>
        <w:spacing w:after="0" w:line="213"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Capital on Demand</w:t>
      </w:r>
      <w:r>
        <w:rPr>
          <w:rFonts w:ascii="Times New Roman" w:cs="Times New Roman" w:eastAsia="Times New Roman" w:hAnsi="Times New Roman"/>
          <w:sz w:val="26"/>
          <w:szCs w:val="26"/>
          <w:u w:val="single" w:color="auto"/>
          <w:color w:val="0000EE"/>
          <w:vertAlign w:val="superscript"/>
        </w:rPr>
        <w:t>TM</w:t>
      </w:r>
      <w:r>
        <w:rPr>
          <w:rFonts w:ascii="Times New Roman" w:cs="Times New Roman" w:eastAsia="Times New Roman" w:hAnsi="Times New Roman"/>
          <w:sz w:val="18"/>
          <w:szCs w:val="18"/>
          <w:u w:val="single" w:color="auto"/>
          <w:color w:val="0000EE"/>
        </w:rPr>
        <w:t xml:space="preserve"> Sales Agreement, dated as of June 1, 2026, by and between IN8bio, Inc. and JonesTrading Institutional Services LLC.</w:t>
      </w:r>
    </w:p>
    <w:p>
      <w:pPr>
        <w:spacing w:after="0" w:line="91"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Cooley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64"/>
          </w:cols>
          <w:pgMar w:left="436" w:top="297" w:right="5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8300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30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jc w:val="both"/>
        <w:ind w:left="4" w:right="9580" w:hanging="4"/>
        <w:spacing w:after="0" w:line="290" w:lineRule="auto"/>
        <w:tabs>
          <w:tab w:leader="none" w:pos="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+1 202 728 7096 jchase@cooley.com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 5th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5330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40"/>
        <w:spacing w:after="0"/>
        <w:rPr>
          <w:sz w:val="20"/>
          <w:szCs w:val="20"/>
          <w:color w:val="auto"/>
        </w:rPr>
      </w:pPr>
      <w:r>
        <w:rPr>
          <w:rFonts w:ascii="Times New Roman" w:cs="Times New Roman" w:eastAsia="Times New Roman" w:hAnsi="Times New Roman"/>
          <w:sz w:val="18"/>
          <w:szCs w:val="18"/>
          <w:color w:val="auto"/>
        </w:rPr>
        <w:t>We have acted as counsel to IN8bio,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shares of its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$2,800,000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a Registration Statement on Form S-3 (File No. 333-291393)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prospectus supplement relating to the Shares dated June 1, 2026 filed with the Commission pursuant to Rule 424(b) under the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in accordance with that certain Capital on Demand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Agreement, dated June 1, 2026, by and between the Company and JonesTrading Institutional Services LLC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described in the Prospectus.</w:t>
      </w:r>
    </w:p>
    <w:p>
      <w:pPr>
        <w:spacing w:after="0" w:line="200"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Prospectus, (b) the Agreement,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(ii) that no more than 15,000,000 Shares will be sold under the Agreement pursuant to the Prospectus and (iii) that the price at which the Shares are sold will equal or exceed the par value of the Shares.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spacing w:after="0" w:line="18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 WASHINGTON DC 20004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(212) 842-7800 F: (202) 842-7899 COOLEY.COM</w:t>
      </w:r>
    </w:p>
    <w:p>
      <w:pPr>
        <w:sectPr>
          <w:pgSz w:w="11900" w:h="16838" w:orient="portrait"/>
          <w:cols w:equalWidth="0" w:num="1">
            <w:col w:w="11024"/>
          </w:cols>
          <w:pgMar w:left="436"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8300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83005" cy="462915"/>
                    </a:xfrm>
                    <a:prstGeom prst="rect">
                      <a:avLst/>
                    </a:prstGeom>
                    <a:noFill/>
                  </pic:spPr>
                </pic:pic>
              </a:graphicData>
            </a:graphic>
          </wp:anchor>
        </w:drawing>
        <w:t>IN8bio,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qualifications set forth herein, we are of the opinion that the Shares, when sold and issued against payment therefor in accordance with the Agreement, the Registration Statement and the Prospectus, will be validly issued, fully paid and nonassessable.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COOLEY LLP 1299 PENNSYLVANIA AVE., WASHINGTON DC 20004</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 (212) 842-7800 F: (202) 842-7899 COOLEY.COM</w:t>
      </w:r>
    </w:p>
    <w:p>
      <w:pPr>
        <w:sectPr>
          <w:pgSz w:w="11900" w:h="16838" w:orient="portrait"/>
          <w:cols w:equalWidth="0" w:num="1">
            <w:col w:w="10920"/>
          </w:cols>
          <w:pgMar w:left="440" w:top="1107" w:right="539" w:bottom="1440" w:gutter="0" w:footer="0" w:header="0"/>
        </w:sectPr>
      </w:pPr>
    </w:p>
    <w:bookmarkStart w:id="6" w:name="page7"/>
    <w:bookmarkEnd w:id="6"/>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on Demand</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Sales Agreement</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Hudson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IN8bio,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JonesTrading Institutional Services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as follows:</w:t>
      </w:r>
    </w:p>
    <w:p>
      <w:pPr>
        <w:spacing w:after="0" w:line="54" w:lineRule="exact"/>
        <w:rPr>
          <w:sz w:val="20"/>
          <w:szCs w:val="20"/>
          <w:color w:val="auto"/>
        </w:rPr>
      </w:pPr>
    </w:p>
    <w:p>
      <w:pPr>
        <w:ind w:right="60" w:firstLine="436"/>
        <w:spacing w:after="0" w:line="253"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or to the Agent, as agent or principal, shares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of common stock of the Company,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Company issue or sell, through or to Agent, Placement Shares for an aggregate gross sales proceeds that would exceed (a) the dollar amount of shares of Common Stock registered on the Registration Statement (as defined below), (b) the number of authorized but unissued shares of Common Stock, or (c) dollar amount of shares of Common Stock permitted to be sold under Form S-3, including General Instruction I.B.6 of Form S-3, if applicable, or (iv) the dollar amount of shares of Common Stock for which the Company has filed a Prospectus (as defined below) (the least of (i), (ii), (iii) and (iv),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Agent shall have no obligation in connection with such compliance. The issuance and sale of Placement Shares hereunder will be effected pursuant to the Registration Statement and at no earlier time than such time as the Registration Statement shall have been declared effective by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issue any Placement Shares.</w:t>
      </w:r>
    </w:p>
    <w:p>
      <w:pPr>
        <w:spacing w:after="0" w:line="19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As of the date hereof, the Company has filed, in accordance with the provisions of the Securities Act of 1933, as amended, and the rules and regulations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the Commission a registration statement on Form S-3 (333-291393),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the registration statement</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specifically relating to the Placement Shares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will furnish to the Agent, for use by the Agent, copies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 prospectus included as part of such registration statement, as supplemented by the Prospectus Supplement, relating to the Placement Shares. Except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context otherwise requires, such registration statement, and any post-effective amendment thereto, including all documents filed as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incorporated by reference therein, and including any information contained in a Prospectus (as defined below) subsequently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or deemed to be a part of such registration statement pursuant to Rule 430B or 462(b)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Securities Act or any subsequent registration statement on Form S-3 filed pursuant to Rule 415(a)(6) under the Securities Act by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cover any Placement Shares, as a result of the end of the three-year period described in Rule 415(a)(5) of the Securities Act, is herein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to the extent such information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superseded or modified in accordance with Rule 412 under the Securities Act (as qualified by Rule 430B(g) of the Securities Act),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it may be supplemented by one or more prospectus supplements, in the form in which such Prospectus Supplement has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been filed by the Company with the Commission pursuant to Rule 424(b) under the Securities Act, together with any then issued Issuer 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Prospectus (defined below),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thereto shall be deemed to refer to and include the documents incorporated by reference therein, and any reference herein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“amend,” “amendment” or “supplement” with respect to the Registration Statement or the Prospectus shall be deemed to refer to and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filing after the execution hereof of any document with the Commission deemed to be incorporated by reference therein.</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firstLine="436"/>
        <w:spacing w:after="0" w:line="25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of the number or dollar value of Placement Shares to be sold, the time period during which sales are requested to be made, any limitation on the number of Placement Shares that may be sold in any one Trading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the form of which is attached hereto as Schedule 1. The Placement Notice shall originate from any of the individuals from the Company set forth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 w:name="page9"/>
    <w:bookmarkEnd w:id="8"/>
    <w:p>
      <w:pPr>
        <w:ind w:left="4"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Schedule 3 (with a copy to each of the other individuals from the Company listed on such schedule), and shall be addressed to each of the individuals from the Agent set forth on Schedule 3, as such Schedule 3 may be amended from time to time. The Placement Notice shall be effective unless and until</w:t>
      </w:r>
    </w:p>
    <w:p>
      <w:pPr>
        <w:spacing w:after="0" w:line="1" w:lineRule="exact"/>
        <w:rPr>
          <w:sz w:val="20"/>
          <w:szCs w:val="20"/>
          <w:color w:val="auto"/>
        </w:rPr>
      </w:pPr>
    </w:p>
    <w:p>
      <w:pPr>
        <w:ind w:left="4" w:hanging="4"/>
        <w:spacing w:after="0" w:line="251"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declines to accept the terms contained therein for any reason, in its sole discretion, (ii) the entire amount of the Placement Shares to be sold thereunder have been sold, (iii) the Company suspends or terminates the Placement Notice for any reason, in its sole discretion, (iv) the Company issues a subsequent Placement Notice with parameters superseding those of the earlier dated Placement Notice, or (v) this Agreement has been terminated under the provisions of Section 12. The amount of any discount, commission or other compensation to be paid by the Company to the Agent in connection with the sale of the Placement Shares shall be calculated in accordance with the terms set forth in Schedule 2.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3"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 practices and applicable state and federal laws, rules and regulations and the rules of the Nasdaq Stock Market LLC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Agent will provide written confirmation to the Company no later than the opening of the Trading Day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Agent may sell Placement Shares by any method permitted by law deemed to be an “at the market offering” as defined in Rule 415(a)(4) under the Securities Act.</w:t>
      </w:r>
    </w:p>
    <w:p>
      <w:pPr>
        <w:spacing w:after="0" w:line="18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suspension shall not affect or impair any party’s obligations with respect to any Placement Shares sold hereunder prior to the receipt of such notice. While a suspension is in effect any obligation under Sections 7(l), 7(m) and 7(n) with respect to the delivery of certificates, opinions, or comfort letters to the Agent shall be waived. Each party agrees that no such notice under this Section 4 shall be effective against any other party unless it is made to one of the individuals named on Schedule 3 hereto as associated with such other party, as such Schedule may be amended in writing from time to time.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9" w:name="page10"/>
    <w:bookmarkEnd w:id="9"/>
    <w:p>
      <w:pPr>
        <w:ind w:left="624" w:hanging="184"/>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and Delivery to the Agent; Settlement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4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to sell such Placement Shares up to the amount specified in such Placement Notice, and otherwise in accordance with the terms of such Placement Notice. The Company acknowledges and agrees that</w:t>
      </w:r>
    </w:p>
    <w:p>
      <w:pPr>
        <w:jc w:val="both"/>
        <w:ind w:left="4" w:right="320"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84" w:lineRule="exact"/>
        <w:rPr>
          <w:rFonts w:ascii="Times New Roman" w:cs="Times New Roman" w:eastAsia="Times New Roman" w:hAnsi="Times New Roman"/>
          <w:sz w:val="18"/>
          <w:szCs w:val="18"/>
          <w:color w:val="auto"/>
        </w:rPr>
      </w:pPr>
    </w:p>
    <w:p>
      <w:pPr>
        <w:ind w:left="4" w:firstLine="987"/>
        <w:spacing w:after="0" w:line="238" w:lineRule="auto"/>
        <w:tabs>
          <w:tab w:leader="none" w:pos="125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will be equal to the aggregate sales price received by the Agent, after deduction for (i) the Agent’s commission, discount or other compensation for such sales payable by the Company pursuant to Section 2 hereof, and (ii) any transaction fees imposed by any governmental or self-regulatory organization in respect of such sales.</w:t>
      </w:r>
    </w:p>
    <w:p>
      <w:pPr>
        <w:spacing w:after="0" w:line="201" w:lineRule="exact"/>
        <w:rPr>
          <w:rFonts w:ascii="Times New Roman" w:cs="Times New Roman" w:eastAsia="Times New Roman" w:hAnsi="Times New Roman"/>
          <w:sz w:val="18"/>
          <w:szCs w:val="18"/>
          <w:color w:val="auto"/>
        </w:rPr>
      </w:pPr>
    </w:p>
    <w:p>
      <w:pPr>
        <w:ind w:left="4" w:right="120" w:firstLine="987"/>
        <w:spacing w:after="0" w:line="253" w:lineRule="auto"/>
        <w:tabs>
          <w:tab w:leader="none" w:pos="12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 Company agrees that in addition to and in no way limiting the rights and obligations set forth in Section 10(a) hereto, it will (i) hold the Agent harmless against any loss, claim, damage, or reasonable and documented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0" w:name="page11"/>
    <w:bookmarkEnd w:id="10"/>
    <w:p>
      <w:pPr>
        <w:ind w:left="-20" w:right="40" w:firstLine="987"/>
        <w:spacing w:after="0" w:line="254" w:lineRule="auto"/>
        <w:tabs>
          <w:tab w:leader="none" w:pos="12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duly authorized committee thereof or a duly authorized executive committee, and notified to the Agent in writing. Further, under no circumstances shall the Company cause or permit the aggregate gross sales proceeds of Placement Shares sold pursuant to this Agreement to exceed the Maximum Amount.</w:t>
      </w:r>
    </w:p>
    <w:p>
      <w:pPr>
        <w:spacing w:after="0" w:line="190" w:lineRule="exact"/>
        <w:rPr>
          <w:rFonts w:ascii="Times New Roman" w:cs="Times New Roman" w:eastAsia="Times New Roman" w:hAnsi="Times New Roman"/>
          <w:sz w:val="18"/>
          <w:szCs w:val="18"/>
          <w:color w:val="auto"/>
        </w:rPr>
      </w:pPr>
    </w:p>
    <w:p>
      <w:pPr>
        <w:jc w:val="both"/>
        <w:ind w:left="-20" w:right="180" w:firstLine="436"/>
        <w:spacing w:after="0" w:line="266"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otherwise:</w:t>
      </w:r>
    </w:p>
    <w:p>
      <w:pPr>
        <w:spacing w:after="0" w:line="6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As of the date of this Agreement, the Company and the transactions contemplated by this Agreement meet the requirements for and comply with the conditions for the use of Form S-3 under the Securities Act. The Registration Statement has been or will be filed with the Commission and has been or will be declared effective by the Commission under the Securities Act prior to the issuance of any Placement Notice by the Company. The Prospectus Supplement will name Agent as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applicable requirements of Rule 415 under the Securities Act and comply in all material respects with the applicable requirements of said Rule. Any statutes, regulations, contracts or other documents that are required to be described in the Registration Statement or the Prospectus or to be filed as exhibits to the Registration Statement have been or will be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68" w:right="479" w:bottom="1440" w:gutter="0" w:footer="0" w:header="0"/>
        </w:sectPr>
      </w:pPr>
    </w:p>
    <w:bookmarkStart w:id="11" w:name="page12"/>
    <w:bookmarkEnd w:id="11"/>
    <w:p>
      <w:pPr>
        <w:ind w:left="-20" w:right="40" w:firstLine="987"/>
        <w:spacing w:after="0" w:line="252" w:lineRule="auto"/>
        <w:tabs>
          <w:tab w:leader="none" w:pos="12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Omission</w:t>
      </w:r>
      <w:r>
        <w:rPr>
          <w:rFonts w:ascii="Times New Roman" w:cs="Times New Roman" w:eastAsia="Times New Roman" w:hAnsi="Times New Roman"/>
          <w:sz w:val="18"/>
          <w:szCs w:val="18"/>
          <w:color w:val="auto"/>
        </w:rPr>
        <w:t xml:space="preserve">. The Registration Statement, when it became or becomes effective, and the Prospectus, any Issuer Free Writing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representation or warranty is made as to information contained in or omitted from the Registration Statement in reliance upon and in conformity with information furnished to the Company by or through the Agent specifically for inclusion therein. The Prospectus and any amendment or supplement thereto, on the date thereof and at each Applicable Time (defined below), did not and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spacing w:after="0" w:line="19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and the Subsidiaries (as defined below) as of the dates indicated and the results of operations, cash flows and changes in stockholders’ equity of the Company and the Subsidiaries for the periods specified (subject, in the case of unaudited interim financial statements, to normal year-end audit adjustments) and have been prepared in compliance with the requirements of the Securities Act and Exchange Act and in conformity with GAAP (as defined below)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There are no financial statements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(excluding the exhibits thereto), and the Prospectus.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2" w:name="page13"/>
    <w:bookmarkEnd w:id="12"/>
    <w:p>
      <w:pPr>
        <w:ind w:right="60" w:firstLine="987"/>
        <w:spacing w:after="0" w:line="26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Conformity with EDGAR Filing</w:t>
      </w:r>
      <w:r>
        <w:rPr>
          <w:rFonts w:ascii="Times New Roman" w:cs="Times New Roman" w:eastAsia="Times New Roman" w:hAnsi="Times New Roman"/>
          <w:sz w:val="18"/>
          <w:szCs w:val="18"/>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and its Subsidiaries, if any, are, and will be, duly organized, validly existing as a corporation and in good standing under the laws of their respective jurisdictions of organization. Each of the Company and the Subsidiaries is duly licensed or qualified as a foreign corporation for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Company’s only Subsidiaries, if any, are set forth on Exhibit 21.1 to the Company’s Annual Report on Form 10-K for the most recently ended fiscal year, other than any Subsidiaries formed or acquired after the date of filing of such Annual Report on Form 10-K.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As of the date hereof, the Company does not have any Subsidiaries.</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Subsidiary is a party is in default in any respect thereunder where such default would not be reasonably expected to have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4" w:firstLine="987"/>
        <w:spacing w:after="0" w:line="267" w:lineRule="auto"/>
        <w:tabs>
          <w:tab w:leader="none" w:pos="125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Effect</w:t>
      </w:r>
      <w:r>
        <w:rPr>
          <w:rFonts w:ascii="Times New Roman" w:cs="Times New Roman" w:eastAsia="Times New Roman" w:hAnsi="Times New Roman"/>
          <w:sz w:val="17"/>
          <w:szCs w:val="17"/>
          <w:color w:val="auto"/>
        </w:rPr>
        <w:t>. Subsequent to the latest date of which information is given in the Registration Statement, the Prospectus and the Issuer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capital stock or outstanding long-term indebtedness of the Company or the Subsidiaries (other than (A) the grant of awards under equity incentive plans, (B) changes in the number of shares of outstanding Common Stock due to exercise or conversion of securities exercisable for or convertible into Common Stock described in the Registration Statement (including any document deemed incorporated by reference therein), (C) any repurchase of capital stock of the Company, (D) as a result of the sale of Placement Shares or (E) other than as publicly reported or announced) or</w:t>
      </w:r>
    </w:p>
    <w:p>
      <w:pPr>
        <w:spacing w:after="0" w:line="5" w:lineRule="exact"/>
        <w:rPr>
          <w:rFonts w:ascii="Times New Roman" w:cs="Times New Roman" w:eastAsia="Times New Roman" w:hAnsi="Times New Roman"/>
          <w:sz w:val="17"/>
          <w:szCs w:val="17"/>
          <w:color w:val="auto"/>
        </w:rPr>
      </w:pPr>
    </w:p>
    <w:p>
      <w:pPr>
        <w:ind w:left="4" w:right="20" w:hanging="4"/>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w:t>
      </w:r>
    </w:p>
    <w:p>
      <w:pPr>
        <w:spacing w:after="0" w:line="27"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options and restricted stock units under the Company’s equity incentive plans, or changes in the number of outstanding shares of Common Stock of the Company due to the issuance of shares upon the exercise or conversion of securities exercisable for, or convertible into, Common Stock described in the Registration Statement or Prospectus) and such authorized capital stock conforms in all material respects to the description thereof set forth in the Registration Statement and the Prospectus. The description of the securities of the Company in the Registration Statement and the Prospectus is complete and accurate in all material respects. Except as disclosed in the Registration Statement or the Prospectus, as of the date as of the date of the most recent balance sheet included or incorporated by reference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93" w:lineRule="exact"/>
        <w:rPr>
          <w:sz w:val="20"/>
          <w:szCs w:val="20"/>
          <w:color w:val="auto"/>
        </w:rPr>
      </w:pPr>
    </w:p>
    <w:p>
      <w:pPr>
        <w:ind w:left="4" w:right="120" w:firstLine="987"/>
        <w:spacing w:after="0" w:line="258" w:lineRule="auto"/>
        <w:tabs>
          <w:tab w:leader="none" w:pos="12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or by federal or state securities laws or public policy considerations with respect to provisions for indemnification or limitations of liability.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4" w:name="page15"/>
    <w:bookmarkEnd w:id="14"/>
    <w:p>
      <w:pPr>
        <w:ind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against payment therefor as provided herein, will be duly authorized,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governmental or regulatory authority having jurisdiction over the Company is required for the execution, delivery and performance by the Company of this Agreement or the issuance and sale by the Company of the Placement Shares, except for such consents, approvals, authorizations, orders, registrations or qualifications as have been obtained or may be required under applicable state securities laws or by the by-laws and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the Exchange in connection with the sale of the Placement Shares by the Agent.</w:t>
      </w:r>
    </w:p>
    <w:p>
      <w:pPr>
        <w:spacing w:after="0" w:line="183" w:lineRule="exact"/>
        <w:rPr>
          <w:rFonts w:ascii="Times New Roman" w:cs="Times New Roman" w:eastAsia="Times New Roman" w:hAnsi="Times New Roman"/>
          <w:sz w:val="18"/>
          <w:szCs w:val="18"/>
          <w:color w:val="auto"/>
        </w:rPr>
      </w:pPr>
    </w:p>
    <w:p>
      <w:pPr>
        <w:ind w:right="20" w:firstLine="987"/>
        <w:spacing w:after="0" w:line="253"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(i) No person, as such term is defined in Rule 1-02 of Regulation S-X promulgated under the Securities Act (each,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(ii) no Person has any preemptive rights, resale rights, rights of first refusal,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such rights as have been or will be satisfied or duly waived on or prior to the date hereof.</w:t>
      </w:r>
    </w:p>
    <w:p>
      <w:pPr>
        <w:spacing w:after="0" w:line="194"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Accountant</w:t>
      </w:r>
      <w:r>
        <w:rPr>
          <w:rFonts w:ascii="Times New Roman" w:cs="Times New Roman" w:eastAsia="Times New Roman" w:hAnsi="Times New Roman"/>
          <w:sz w:val="18"/>
          <w:szCs w:val="18"/>
          <w:color w:val="auto"/>
        </w:rPr>
        <w:t>. The Company’s accountants, whose report on the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 respect to the Company within the meaning of the Securities Act and the Public Company Accounting Oversight Board (United States). To the Company’s knowledge, the Company’s accountants are not in violation of the auditor independence requirements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with respect to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right="60" w:firstLine="987"/>
        <w:spacing w:after="0" w:line="255"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other than such agreements that have expired by their terms or the termination of which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legal, governmental or regulatory actions, suits or proceedings pending, nor, to the Company’s knowledge, any legal, governmental or regulatory investigations, to which the Company or any Subsidiary is a party or to which any property of the Company or any Subsidiary is the subject that, individually or in the aggregate, if determined adversely to the Company or any Subsidiary, would reasonably be expected to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Subsidiary, would reasonably be expected to have a Material Adverse Effect; and (i) there are no current or pending legal, governmental or regulatory audits or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88" w:lineRule="exact"/>
        <w:rPr>
          <w:rFonts w:ascii="Times New Roman" w:cs="Times New Roman" w:eastAsia="Times New Roman" w:hAnsi="Times New Roman"/>
          <w:sz w:val="18"/>
          <w:szCs w:val="18"/>
          <w:color w:val="auto"/>
        </w:rPr>
      </w:pPr>
    </w:p>
    <w:p>
      <w:pPr>
        <w:ind w:right="120" w:firstLine="987"/>
        <w:spacing w:after="0" w:line="254"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the Subsidiaries have made all filings, applications and submissions required by, possesses and is operating in compliance with, all approvals, licenses, certificates, consents, orders,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possess, obtain or make the same would not, individually or in the aggregate, reasonably be expected to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The Company has not failed to file with the applicable regulatory authorities any required filing, declaration, listing, registration, report or submission, except for such failures that, individually or in the aggregate, would not reasonably be expected to have a Material Adverse Effect;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 w:name="page17"/>
    <w:bookmarkEnd w:id="16"/>
    <w:p>
      <w:pPr>
        <w:ind w:firstLine="987"/>
        <w:spacing w:after="0" w:line="253" w:lineRule="auto"/>
        <w:tabs>
          <w:tab w:leader="none" w:pos="1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Capitalization</w:t>
      </w:r>
      <w:r>
        <w:rPr>
          <w:rFonts w:ascii="Times New Roman" w:cs="Times New Roman" w:eastAsia="Times New Roman" w:hAnsi="Times New Roman"/>
          <w:sz w:val="18"/>
          <w:szCs w:val="18"/>
          <w:color w:val="auto"/>
        </w:rPr>
        <w:t>. At the time the Registration Statement was or will be declared effective, and at the time the Company’s most recent Annual Report on Form 10-K was filed with the Commission, the Company met or will meet the then applicable requirements for the use of Form S-3 under the Securities Act, including, but not limited to, General Instruction I.B.6 of Form S-3, if applicable.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u w:val="single" w:color="auto"/>
          <w:color w:val="auto"/>
        </w:rPr>
        <w:t>Non-Affiliate Shares</w:t>
      </w:r>
      <w:r>
        <w:rPr>
          <w:rFonts w:ascii="Times New Roman" w:cs="Times New Roman" w:eastAsia="Times New Roman" w:hAnsi="Times New Roman"/>
          <w:sz w:val="18"/>
          <w:szCs w:val="18"/>
          <w:color w:val="auto"/>
        </w:rPr>
        <w:t>”), was equal to $17,932,668 (calculated by multiplying (x) the highest price at which the common equity of the Company closed on the Exchange on May 29, 2026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94" w:lineRule="exact"/>
        <w:rPr>
          <w:rFonts w:ascii="Times New Roman" w:cs="Times New Roman" w:eastAsia="Times New Roman" w:hAnsi="Times New Roman"/>
          <w:sz w:val="18"/>
          <w:szCs w:val="18"/>
          <w:color w:val="auto"/>
        </w:rPr>
      </w:pPr>
    </w:p>
    <w:p>
      <w:pPr>
        <w:ind w:right="100" w:firstLine="987"/>
        <w:spacing w:after="0" w:line="256"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Neither the Company nor any Subsidiary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right="420" w:firstLine="987"/>
        <w:spacing w:after="0" w:line="289" w:lineRule="auto"/>
        <w:tabs>
          <w:tab w:leader="none" w:pos="12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Market Activities</w:t>
      </w:r>
      <w:r>
        <w:rPr>
          <w:rFonts w:ascii="Times New Roman" w:cs="Times New Roman" w:eastAsia="Times New Roman" w:hAnsi="Times New Roman"/>
          <w:sz w:val="17"/>
          <w:szCs w:val="17"/>
          <w:color w:val="auto"/>
        </w:rPr>
        <w:t>. Neither the Company, any Subsidiary nor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spacing w:after="0" w:line="157" w:lineRule="exact"/>
        <w:rPr>
          <w:rFonts w:ascii="Times New Roman" w:cs="Times New Roman" w:eastAsia="Times New Roman" w:hAnsi="Times New Roman"/>
          <w:sz w:val="17"/>
          <w:szCs w:val="17"/>
          <w:color w:val="auto"/>
        </w:rPr>
      </w:pPr>
    </w:p>
    <w:p>
      <w:pPr>
        <w:ind w:right="20" w:firstLine="987"/>
        <w:spacing w:after="0" w:line="261"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any of its Subsidiaries, nor any of the Company’s affiliates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rules and regulations of FINRA).</w:t>
      </w:r>
    </w:p>
    <w:p>
      <w:pPr>
        <w:spacing w:after="0" w:line="179" w:lineRule="exact"/>
        <w:rPr>
          <w:rFonts w:ascii="Times New Roman" w:cs="Times New Roman" w:eastAsia="Times New Roman" w:hAnsi="Times New Roman"/>
          <w:sz w:val="18"/>
          <w:szCs w:val="18"/>
          <w:color w:val="auto"/>
        </w:rPr>
      </w:pPr>
    </w:p>
    <w:p>
      <w:pPr>
        <w:ind w:right="360" w:firstLine="987"/>
        <w:spacing w:after="0" w:line="282" w:lineRule="auto"/>
        <w:tabs>
          <w:tab w:leader="none" w:pos="12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ind w:firstLine="987"/>
        <w:spacing w:after="0" w:line="274" w:lineRule="auto"/>
        <w:tabs>
          <w:tab w:leader="none" w:pos="12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file or pay would not reasonably be expected to have a Material Adverse Effect. Except as otherwise disclosed in or contemplated by the Registration Statement or the Prospectus, no tax deficiency has been determined adversely to the Company or any Subsidiary which has had,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ind w:left="-20" w:firstLine="987"/>
        <w:spacing w:after="0" w:line="254"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The Company and the Subsidiaries have good and marketable title to all items of real property owned by them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reasonably be expected to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neither the Company nor any Subsidiary has received any written notice of any claim of infringement or conflict which asserted Intellectual Property rights of others, which infringement or conflict, if the subject of an unfavorable decision, would reasonably be expected to result in a Material Adverse Effect; there are no pending, or to the Company’s knowledge, threatened judicial proceedings or interference proceedings challenging the Company’s or any Subsidiary’s rights in or to or the validity of the scope of any of the Company’s or any Subsidiary’s patents, patent applications or proprietary information, except if such proceedings would not, individually or in the aggregate, reasonably be expected to have a Material Adverse Effect.</w:t>
      </w:r>
    </w:p>
    <w:p>
      <w:pPr>
        <w:spacing w:after="0" w:line="192" w:lineRule="exact"/>
        <w:rPr>
          <w:sz w:val="20"/>
          <w:szCs w:val="20"/>
          <w:color w:val="auto"/>
        </w:rPr>
      </w:pPr>
    </w:p>
    <w:p>
      <w:pPr>
        <w:ind w:left="-20" w:right="20" w:firstLine="987"/>
        <w:spacing w:after="0" w:line="254"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set forth in the Registration Statement or the Prospectus,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18" w:name="page19"/>
    <w:bookmarkEnd w:id="18"/>
    <w:p>
      <w:pPr>
        <w:ind w:left="1344" w:hanging="353"/>
        <w:spacing w:after="0"/>
        <w:tabs>
          <w:tab w:leader="none" w:pos="13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Controls</w:t>
      </w:r>
      <w:r>
        <w:rPr>
          <w:rFonts w:ascii="Times New Roman" w:cs="Times New Roman" w:eastAsia="Times New Roman" w:hAnsi="Times New Roman"/>
          <w:sz w:val="18"/>
          <w:szCs w:val="18"/>
          <w:color w:val="auto"/>
        </w:rPr>
        <w:t>. The Company maintains systems of internal controls designed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or the Incorporated Documents).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or, to the Company’s knowledge, in other factors that would be reasonably expected to significantly affect the Company’s internal controls. To the knowledge of the Company, the Company’s “internal controls over financial reporting” and “disclosure controls and procedures” are effective.</w:t>
      </w:r>
    </w:p>
    <w:p>
      <w:pPr>
        <w:spacing w:after="0" w:line="189"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3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has been no failure on the part of the Company or, any of the Company’s directors or officers, in their capacities as such, to comply with any applicable provisions of the Sarbanes-Oxley Act and the applicable rules and regulations promulgated thereunder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12 months prior to the date of this Agreement. For purposes of the preceding sentence, “principal executive officer” and “principal financial officer” shall have the meanings given to such terms in the Sarbanes-Oxley Act.</w:t>
      </w:r>
    </w:p>
    <w:p>
      <w:pPr>
        <w:spacing w:after="0" w:line="188"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Subsidiary has incurred any liability for any finder’s fees, brokerage commissions or similar payments in connection with the transactions herein contemplated, except as may otherwise exist with respect to Agent pursuant to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9" w:name="page20"/>
    <w:bookmarkEnd w:id="19"/>
    <w:p>
      <w:pPr>
        <w:ind w:right="160" w:firstLine="987"/>
        <w:spacing w:after="0" w:line="282" w:lineRule="auto"/>
        <w:tabs>
          <w:tab w:leader="none" w:pos="1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Labor Disputes</w:t>
      </w:r>
      <w:r>
        <w:rPr>
          <w:rFonts w:ascii="Times New Roman" w:cs="Times New Roman" w:eastAsia="Times New Roman" w:hAnsi="Times New Roman"/>
          <w:sz w:val="18"/>
          <w:szCs w:val="18"/>
          <w:color w:val="auto"/>
        </w:rPr>
        <w:t>. No labor disturbance by or dispute with employees of the Company or any Subsidiary exists or, to the knowledge of the Company, is threatened which would have a Material Adverse Effect</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or any Subsidiary is or, after giving effect to the offering and sale of the Placement Shares, will it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the Subsidiaries are subject,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except as would not have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100" w:firstLine="987"/>
        <w:spacing w:after="0" w:line="258" w:lineRule="auto"/>
        <w:tabs>
          <w:tab w:leader="none" w:pos="1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u w:val="single" w:color="auto"/>
          <w:color w:val="auto"/>
        </w:rPr>
        <w:t>Off Balance Sheet Transaction</w:t>
      </w:r>
      <w:r>
        <w:rPr>
          <w:rFonts w:ascii="Times New Roman" w:cs="Times New Roman" w:eastAsia="Times New Roman" w:hAnsi="Times New Roman"/>
          <w:sz w:val="18"/>
          <w:szCs w:val="18"/>
          <w:color w:val="auto"/>
        </w:rPr>
        <w:t>”) that would reasonably be expected to affect materially the Company’s liquidity or the availability of or requirements for its capital resources required to be described in the Prospectus which have not been described as required.</w:t>
      </w:r>
    </w:p>
    <w:p>
      <w:pPr>
        <w:spacing w:after="0" w:line="183" w:lineRule="exact"/>
        <w:rPr>
          <w:rFonts w:ascii="Times New Roman" w:cs="Times New Roman" w:eastAsia="Times New Roman" w:hAnsi="Times New Roman"/>
          <w:sz w:val="18"/>
          <w:szCs w:val="18"/>
          <w:color w:val="auto"/>
        </w:rPr>
      </w:pPr>
    </w:p>
    <w:p>
      <w:pPr>
        <w:ind w:right="660" w:firstLine="987"/>
        <w:spacing w:after="0" w:line="282" w:lineRule="auto"/>
        <w:tabs>
          <w:tab w:leader="none" w:pos="1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 other than this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53" w:lineRule="auto"/>
        <w:tabs>
          <w:tab w:leader="none" w:pos="1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0" w:name="page21"/>
    <w:bookmarkEnd w:id="20"/>
    <w:p>
      <w:pPr>
        <w:ind w:left="-20" w:right="220" w:firstLine="987"/>
        <w:spacing w:after="0" w:line="261" w:lineRule="auto"/>
        <w:tabs>
          <w:tab w:leader="none" w:pos="1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u w:val="single" w:color="auto"/>
          <w:color w:val="auto"/>
        </w:rPr>
        <w:t>Forward Looking Statement</w:t>
      </w:r>
      <w:r>
        <w:rPr>
          <w:rFonts w:ascii="Times New Roman" w:cs="Times New Roman" w:eastAsia="Times New Roman" w:hAnsi="Times New Roman"/>
          <w:sz w:val="18"/>
          <w:szCs w:val="18"/>
          <w:color w:val="auto"/>
        </w:rPr>
        <w:t>”) contained in the Registration Statement and the Prospectus (i) has been made or reaffirmed without a reasonable basis or has been disclosed other than in good faith, and (iii) been prepared in accordance with Item 10 of Regulation S-K under the Securities Act.</w:t>
      </w:r>
    </w:p>
    <w:p>
      <w:pPr>
        <w:spacing w:after="0" w:line="179" w:lineRule="exact"/>
        <w:rPr>
          <w:rFonts w:ascii="Times New Roman" w:cs="Times New Roman" w:eastAsia="Times New Roman" w:hAnsi="Times New Roman"/>
          <w:sz w:val="18"/>
          <w:szCs w:val="18"/>
          <w:color w:val="auto"/>
        </w:rPr>
      </w:pPr>
    </w:p>
    <w:p>
      <w:pPr>
        <w:ind w:left="-20" w:firstLine="987"/>
        <w:spacing w:after="0" w:line="258"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Purchases</w:t>
      </w:r>
      <w:r>
        <w:rPr>
          <w:rFonts w:ascii="Times New Roman" w:cs="Times New Roman" w:eastAsia="Times New Roman" w:hAnsi="Times New Roman"/>
          <w:sz w:val="18"/>
          <w:szCs w:val="18"/>
          <w:color w:val="auto"/>
        </w:rPr>
        <w:t>. The Company acknowledges and agrees that Agent has informed the Company that the Agent may, to the extent permitted under the Securities Act and the Exchange Act, purchase and sell Common Stock for its own account while this Agreement is in effect, provided,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w:t>
      </w:r>
    </w:p>
    <w:p>
      <w:pPr>
        <w:spacing w:after="0" w:line="183" w:lineRule="exact"/>
        <w:rPr>
          <w:rFonts w:ascii="Times New Roman" w:cs="Times New Roman" w:eastAsia="Times New Roman" w:hAnsi="Times New Roman"/>
          <w:sz w:val="18"/>
          <w:szCs w:val="18"/>
          <w:color w:val="auto"/>
        </w:rPr>
      </w:pPr>
    </w:p>
    <w:p>
      <w:pPr>
        <w:jc w:val="both"/>
        <w:ind w:left="-20" w:right="340" w:firstLine="987"/>
        <w:spacing w:after="0" w:line="266" w:lineRule="auto"/>
        <w:tabs>
          <w:tab w:leader="none" w:pos="14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left="-20" w:right="420" w:firstLine="987"/>
        <w:spacing w:after="0" w:line="266" w:lineRule="auto"/>
        <w:tabs>
          <w:tab w:leader="none" w:pos="1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carry, or are covered by, insurance in such amounts and covering such risks as the Company and the Subsidiaries reasonably believe is adequate for the conduct of their business and as is customary for companies of similar size engaged in similar businesses in similar industries.</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3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Neither the Company nor, to the Company’s knowledge, the Subsidiaries nor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stockholders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to the Company’s knowledge, any affiliate of them, on the one hand, and the directors, officers or stockholders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70" w:right="47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of the families of any of them; (v) the Company has not offered, or caused any placement agent to offer, Common Stock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89" w:lineRule="exact"/>
        <w:rPr>
          <w:sz w:val="20"/>
          <w:szCs w:val="20"/>
          <w:color w:val="auto"/>
        </w:rPr>
      </w:pPr>
    </w:p>
    <w:p>
      <w:pPr>
        <w:ind w:right="100" w:firstLine="987"/>
        <w:spacing w:after="0" w:line="282" w:lineRule="auto"/>
        <w:tabs>
          <w:tab w:leader="none" w:pos="13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3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as of each Applicable Time (as defined below), did not, does not and will not, through the completion of the Placement for which such Issuer Free Writing Prospectus is used or deemed used,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by the Company, nor the issuance, offering or sale of the Placement Shares,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other than in each case any such conflict, breach or violation that, individually or in the aggregate, which would not have a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2" w:name="page23"/>
    <w:bookmarkEnd w:id="22"/>
    <w:p>
      <w:pPr>
        <w:ind w:left="4" w:right="60" w:firstLine="987"/>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w:t>
      </w:r>
      <w:r>
        <w:rPr>
          <w:rFonts w:ascii="Times New Roman" w:cs="Times New Roman" w:eastAsia="Times New Roman" w:hAnsi="Times New Roman"/>
          <w:sz w:val="18"/>
          <w:szCs w:val="18"/>
          <w:color w:val="auto"/>
        </w:rPr>
        <w:t>. (i) The Company represents that, neither it nor any Subsidiary (collectively, the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nor, any director, officer, employee, nor to the Entity’s knowledge, any agent, affiliate or representative of the Entity, is a government, individual, or entity (in this paragraph (ss),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that is, or is owned or controlled by a Covered Person that is:</w:t>
      </w:r>
    </w:p>
    <w:p>
      <w:pPr>
        <w:spacing w:after="0" w:line="68" w:lineRule="exact"/>
        <w:rPr>
          <w:sz w:val="20"/>
          <w:szCs w:val="20"/>
          <w:color w:val="auto"/>
        </w:rPr>
      </w:pPr>
    </w:p>
    <w:p>
      <w:pPr>
        <w:ind w:left="984" w:right="340" w:firstLine="408"/>
        <w:spacing w:after="0" w:line="266" w:lineRule="auto"/>
        <w:tabs>
          <w:tab w:leader="none" w:pos="168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w:t>
      </w:r>
    </w:p>
    <w:p>
      <w:pPr>
        <w:spacing w:after="0" w:line="67" w:lineRule="exact"/>
        <w:rPr>
          <w:rFonts w:ascii="Times New Roman" w:cs="Times New Roman" w:eastAsia="Times New Roman" w:hAnsi="Times New Roman"/>
          <w:sz w:val="18"/>
          <w:szCs w:val="18"/>
          <w:color w:val="auto"/>
        </w:rPr>
      </w:pPr>
    </w:p>
    <w:p>
      <w:pPr>
        <w:ind w:left="1684" w:hanging="292"/>
        <w:spacing w:after="0"/>
        <w:tabs>
          <w:tab w:leader="none" w:pos="1684"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administered by OFAC.</w:t>
      </w:r>
    </w:p>
    <w:p>
      <w:pPr>
        <w:spacing w:after="0" w:line="117" w:lineRule="exact"/>
        <w:rPr>
          <w:rFonts w:ascii="Times New Roman" w:cs="Times New Roman" w:eastAsia="Times New Roman" w:hAnsi="Times New Roman"/>
          <w:sz w:val="18"/>
          <w:szCs w:val="18"/>
          <w:color w:val="auto"/>
        </w:rPr>
      </w:pPr>
    </w:p>
    <w:p>
      <w:pPr>
        <w:ind w:left="444" w:right="680" w:firstLine="419"/>
        <w:spacing w:after="0" w:line="282" w:lineRule="auto"/>
        <w:tabs>
          <w:tab w:leader="none" w:pos="11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represents and covenants that it will not, directly or indirectly, use the proceeds of the offering, or lend, contribute or otherwise make available such proceeds to any subsidiary, joint venture partner or other Covered Person:</w:t>
      </w:r>
    </w:p>
    <w:p>
      <w:pPr>
        <w:spacing w:after="0" w:line="53" w:lineRule="exact"/>
        <w:rPr>
          <w:rFonts w:ascii="Times New Roman" w:cs="Times New Roman" w:eastAsia="Times New Roman" w:hAnsi="Times New Roman"/>
          <w:sz w:val="18"/>
          <w:szCs w:val="18"/>
          <w:color w:val="auto"/>
        </w:rPr>
      </w:pPr>
    </w:p>
    <w:p>
      <w:pPr>
        <w:ind w:left="984" w:firstLine="408"/>
        <w:spacing w:after="0" w:line="282" w:lineRule="auto"/>
        <w:tabs>
          <w:tab w:leader="none" w:pos="168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Covered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4" w:right="860" w:firstLine="408"/>
        <w:spacing w:after="0" w:line="282" w:lineRule="auto"/>
        <w:tabs>
          <w:tab w:leader="none" w:pos="167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Covered Person (including any Covered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444" w:right="200" w:firstLine="419"/>
        <w:spacing w:after="0" w:line="266" w:lineRule="auto"/>
        <w:tabs>
          <w:tab w:leader="none" w:pos="117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represents and covenants that, except as detailed in the Prospectus, for the past 5 years, it has not knowingly engaged in, is not now knowingly engaged in, and will not knowingly engage in, any dealings or transactions with any Covered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operated its businesses, and its businesses currently are, in compliance in all material respects with all applicable rules, regulations and policies of the FDA and any applicable foreign regulatory authority or organization. The Company: (i) has not, during the past three (3) years, received any FDA Form 483, written notice of adverse finding, warning letter, untitled letter or other written correspondence or written notice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other similar federal, state, local or foreign governmental or regulatory authority alleging or asserting material noncompliance with any Health Care Laws (defined above) or any licenses, certificates, approvals, clearances, authorizations, exemptions, permits and supplements or amendments thereto required by any Health Care Laws to conduct the Company’s business as described in the Registration Statement or the Prospectus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(ii) possesses all material Authorizations and such Authorizations are valid and in full force and effect and the Company is not in material violation of any such Authorizations;</w:t>
      </w:r>
    </w:p>
    <w:p>
      <w:pPr>
        <w:ind w:left="4" w:hanging="4"/>
        <w:spacing w:after="0" w:line="252"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written notice of any pending or completed claim, suit, proceeding, hearing, enforcement, investigation, arbitration or other action from the FDA or any other federal, state, local or foreign governmental or regulatory authority or third party alleging that any product candidate, operation or activity is in material violation of any Health Care Laws or material Authorizations and the Company has no knowledge that the FDA or any other federal, state, local or foreign governmental or regulatory authority or third party is considering any such claim, litigation, arbitration, action, suit, investigation or proceeding; (iv) has not received written notice that the FDA or any other federal, state, local or foreign governmental or regulatory authority has taken, is taking or intends to take action to limit, suspend, materially modify 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3" w:name="page24"/>
    <w:bookmarkEnd w:id="2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revoke any material Authorizations and has no knowledge that the FDA or any other federal, state, local or foreign governmental or regulatory authority is considering such action; and (v) has filed, obtained, maintained or submitted all material reports, documents, forms, notices, applications, records, claims, submissions and supplements or amendments as required by any Health Care Laws or Authorizations and all such reports, documents, forms, notices, applications, records, claims, submissions and supplements or amendments were materially complete and correct on the date filed (or were corrected or supplemented by a subsequent submission).</w:t>
      </w:r>
    </w:p>
    <w:p>
      <w:pPr>
        <w:spacing w:after="0" w:line="183" w:lineRule="exact"/>
        <w:rPr>
          <w:sz w:val="20"/>
          <w:szCs w:val="20"/>
          <w:color w:val="auto"/>
        </w:rPr>
      </w:pPr>
    </w:p>
    <w:p>
      <w:pPr>
        <w:ind w:right="560" w:firstLine="987"/>
        <w:spacing w:after="0" w:line="261" w:lineRule="auto"/>
        <w:tabs>
          <w:tab w:leader="none" w:pos="1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Results</w:t>
      </w:r>
      <w:r>
        <w:rPr>
          <w:rFonts w:ascii="Times New Roman" w:cs="Times New Roman" w:eastAsia="Times New Roman" w:hAnsi="Times New Roman"/>
          <w:sz w:val="18"/>
          <w:szCs w:val="18"/>
          <w:color w:val="auto"/>
        </w:rPr>
        <w:t>. The description of the results of the studies, tests and trials contained in the Registration Statement and the Prospectus are accurate in all material respects and the Company has no knowledge of any other studies, tests or trials, the results of which are materially inconsistent with or would reasonably be expected to call into question in any material respect the results described in the Registration Statement and the Prospectus.</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Any clinical trials or human and animal studies described in the Registration Statement and the Prospectus were and, if still pending, are being conducted in all material respects in accordance with standard medical and scientific research procedures and all applicable statutory requirements, rules, regulations and policies of the FDA, including current good clinical practices and Good Laboratory Practices as such terms are understood in the Company’s industry, including, without limitation, 21 C.F.R. Parts 50, 54, 56, 58, and 312, and all applicable foreign regulatory requirements and standards. Expect as disclosed in the Registration Statement and the Prospectus, the Company has not received any notices or correspondence from the FDA or any other governmental authority requiring the termination, suspension or material modification of any studies, tests or preclinical or clinical trials conducted by or on behalf of the Company.</w:t>
      </w:r>
    </w:p>
    <w:p>
      <w:pPr>
        <w:spacing w:after="0" w:line="189" w:lineRule="exact"/>
        <w:rPr>
          <w:sz w:val="20"/>
          <w:szCs w:val="20"/>
          <w:color w:val="auto"/>
        </w:rPr>
      </w:pPr>
    </w:p>
    <w:p>
      <w:pPr>
        <w:ind w:firstLine="987"/>
        <w:spacing w:after="0" w:line="252"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Company is, and since October 1, 2017 has been, in compliance with all applicable data privacy and security laws, statutes, judgements, orders, rules and regulations of any court or arbitrator or any other governmental or regulatory authority and all applicable laws regarding the collection, use, transfer, export, storage, protection, disposal or disclosure by the Company of Personal Data collected from or provided by third parties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except where the failure to be in compliance would not, individually or in the aggregate, result in a Material Adverse Effect. The Company has in place, materially complies with, and takes appropriate steps reasonably designed to (i) ensure compliance with its privacy policies and all third-party contractual obligations regarding Personal Data; and (ii) reasonably protect the security and confidentiality of all Personal Data (collectively,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Since October 1, 2017, the Company has provided notice of its privacy policy on its corporate website, which provides accurate and sufficient notice of Company’s then-current privacy practices relating to its subject matter. None of such disclosures made or contained in the privacy policies have been deceptive or in violation of any Privacy Laws or Policies in any material respect. To the knowledge of the Company, the execution, delivery and performance of this Agreement or any other agreement referred to in this Agreement will not result in a breach of violation of any Privacy Laws or Policies. The Company has not received written notice of any actual or potential liability under or relating to, or actual or potential violation of, any of the Privacy Laws and is unaware of any other facts that, individually or in the aggregate, would reasonably indicate non-compliance with any Privacy Laws or Policies. To the Company’s knowledge, there is no action, suit or proceeding by or before any court or governmental agency, authority or body pending or threatened alleging non-compliance with Privacy Laws or Policies.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4" w:name="page25"/>
    <w:bookmarkEnd w:id="24"/>
    <w:p>
      <w:pPr>
        <w:jc w:val="both"/>
        <w:ind w:left="4" w:right="240" w:firstLine="987"/>
        <w:spacing w:after="0" w:line="266"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Transfer Taxes</w:t>
      </w:r>
      <w:r>
        <w:rPr>
          <w:rFonts w:ascii="Times New Roman" w:cs="Times New Roman" w:eastAsia="Times New Roman" w:hAnsi="Times New Roman"/>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75" w:lineRule="exact"/>
        <w:rPr>
          <w:rFonts w:ascii="Times New Roman" w:cs="Times New Roman" w:eastAsia="Times New Roman" w:hAnsi="Times New Roman"/>
          <w:sz w:val="18"/>
          <w:szCs w:val="18"/>
          <w:color w:val="auto"/>
        </w:rPr>
      </w:pPr>
    </w:p>
    <w:p>
      <w:pPr>
        <w:ind w:left="4" w:right="300" w:firstLine="987"/>
        <w:spacing w:after="0" w:line="257"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(i)(x)There has been no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been notified of, and have no knowledge of any event or condition that would reasonably be expected to result in any security breach, attack or compromise to their IT Systems and Data, (ii) the Company and each of its subsidiaries have complied, and are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w:t>
      </w:r>
    </w:p>
    <w:p>
      <w:pPr>
        <w:spacing w:after="0" w:line="19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 or to counsel for the Agent pursuant to or by the express terms of this Agreement shall be deemed to be a representation and warranty by the Company, as applicable, to the Agent as to the matters set forth therein.</w:t>
      </w:r>
    </w:p>
    <w:p>
      <w:pPr>
        <w:spacing w:after="0" w:line="162" w:lineRule="exact"/>
        <w:rPr>
          <w:sz w:val="20"/>
          <w:szCs w:val="20"/>
          <w:color w:val="auto"/>
        </w:rPr>
      </w:pPr>
    </w:p>
    <w:p>
      <w:pPr>
        <w:ind w:left="624" w:hanging="184"/>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Agent that:</w:t>
      </w:r>
    </w:p>
    <w:p>
      <w:pPr>
        <w:spacing w:after="0" w:line="117"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Agent under the Securities Act (including in circumstances where such requirement may be satisfied pursuant to Rule 172 under the Securities Act), (i) the Company will notify the Agent promptly of the time when any subsequent amendment to the Registration Statement has been filed with the Commission and/or has become effective or any subsequent supplement to the Prospectus has been filed and of any request by the Commission for any amendment or supplement to the Registration Statement or Prospectus or for additional information related to the transactions contemplated by this Agreement,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5" w:name="page26"/>
    <w:bookmarkEnd w:id="25"/>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Agent within a reasonable period of time before the filing and the Agent has not reasonably objected thereto in writing within two (2) Business Days (provided, however, that (A) the failure of the Agent to make such objection shall not relieve the Company of any obligation or liability hereunder, or affect the Agent’s right to rely on the representations and warranties made by the Company in this Agreement and</w:t>
      </w:r>
    </w:p>
    <w:p>
      <w:pPr>
        <w:spacing w:after="0" w:line="3" w:lineRule="exact"/>
        <w:rPr>
          <w:sz w:val="20"/>
          <w:szCs w:val="20"/>
          <w:color w:val="auto"/>
        </w:rPr>
      </w:pPr>
    </w:p>
    <w:p>
      <w:pPr>
        <w:ind w:left="4" w:hanging="4"/>
        <w:spacing w:after="0" w:line="251" w:lineRule="auto"/>
        <w:tabs>
          <w:tab w:leader="none" w:pos="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 to provide the Agent any advance copy of such filing or to provide Agent an opportunity to object to such filing if the filing does not name the Agent or does not relate to the transactions contemplated by this Agreement; and provided, further, that the only remedy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193" w:lineRule="exact"/>
        <w:rPr>
          <w:rFonts w:ascii="Times New Roman" w:cs="Times New Roman" w:eastAsia="Times New Roman" w:hAnsi="Times New Roman"/>
          <w:sz w:val="18"/>
          <w:szCs w:val="18"/>
          <w:color w:val="auto"/>
        </w:rPr>
      </w:pPr>
    </w:p>
    <w:p>
      <w:pPr>
        <w:ind w:left="4" w:right="160" w:firstLine="987"/>
        <w:spacing w:after="0" w:line="254"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91" w:lineRule="exact"/>
        <w:rPr>
          <w:rFonts w:ascii="Times New Roman" w:cs="Times New Roman" w:eastAsia="Times New Roman" w:hAnsi="Times New Roman"/>
          <w:sz w:val="18"/>
          <w:szCs w:val="18"/>
          <w:color w:val="auto"/>
        </w:rPr>
      </w:pPr>
    </w:p>
    <w:p>
      <w:pPr>
        <w:ind w:left="4" w:right="120" w:firstLine="987"/>
        <w:spacing w:after="0" w:line="273" w:lineRule="auto"/>
        <w:tabs>
          <w:tab w:leader="none" w:pos="12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commercially reasonable efforts to</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the filing of any amendment or supplement, if in the judgment of the Company, it is in the best interests of the Company.</w:t>
      </w:r>
    </w:p>
    <w:p>
      <w:pPr>
        <w:spacing w:after="0" w:line="192" w:lineRule="exact"/>
        <w:rPr>
          <w:sz w:val="20"/>
          <w:szCs w:val="20"/>
          <w:color w:val="auto"/>
        </w:rPr>
      </w:pPr>
    </w:p>
    <w:p>
      <w:pPr>
        <w:ind w:right="60" w:firstLine="987"/>
        <w:spacing w:after="0" w:line="26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the Company will use commercially reasonable efforts to cause the Placement Shares to be listed on the Exchange.</w:t>
      </w:r>
    </w:p>
    <w:p>
      <w:pPr>
        <w:spacing w:after="0" w:line="175"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Agent’s reasonable request, will also furnish copies of the Prospectus to each exchange or market on which sales of the Placement Shares may be made; provided, however, that the Company shall not be required to furnish any document (other than the Prospectus) to the Agent or its counsel to the extent such document is available on EDGAR.</w:t>
      </w:r>
    </w:p>
    <w:p>
      <w:pPr>
        <w:spacing w:after="0" w:line="191"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of the Securities Act and Rule 158 under the Securities Act, provided that the Company will be deemed to have furnished such statements to its security holders to the extent they are filed with the Commission on EDGAR.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firstLine="987"/>
        <w:spacing w:after="0" w:line="26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prior written notice to Agent, the Company will not, (A)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the Agent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7" w:name="page28"/>
    <w:bookmarkEnd w:id="27"/>
    <w:p>
      <w:pPr>
        <w:ind w:left="4" w:right="6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and ending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(B)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provided, however, that such restrictions will not apply in connection with the Company’s issuance, grant or sale of</w:t>
      </w:r>
    </w:p>
    <w:p>
      <w:pPr>
        <w:spacing w:after="0" w:line="3" w:lineRule="exact"/>
        <w:rPr>
          <w:sz w:val="20"/>
          <w:szCs w:val="20"/>
          <w:color w:val="auto"/>
        </w:rPr>
      </w:pPr>
    </w:p>
    <w:p>
      <w:pPr>
        <w:ind w:left="4" w:right="20" w:hanging="4"/>
        <w:spacing w:after="0" w:line="251"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restricted stock units, options to purchase Common Stock or Common Stock issuable upon the exercise of options, or the vesting of any of the foregoing, pursuant to any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convertible notes or other rights in effect or outstanding, and disclosed in filings by the Company available on EDGAR or otherwise in writing to the Agent and (iii) Common Stock or securities convertible into or exchangeable for shares of Common Stock issued in privately negotiated transactions to vendors, customers or other commercial or strategic partners or potential commercial or strategic partners, as consideration for mergers, acquisitions, other business combinations or strategic alliances occurring after the date of this Agreement which are not issued for capital raising purposes.</w:t>
      </w:r>
    </w:p>
    <w:p>
      <w:pPr>
        <w:spacing w:after="0" w:line="193" w:lineRule="exact"/>
        <w:rPr>
          <w:rFonts w:ascii="Times New Roman" w:cs="Times New Roman" w:eastAsia="Times New Roman" w:hAnsi="Times New Roman"/>
          <w:sz w:val="18"/>
          <w:szCs w:val="18"/>
          <w:color w:val="auto"/>
        </w:rPr>
      </w:pPr>
    </w:p>
    <w:p>
      <w:pPr>
        <w:ind w:left="4" w:firstLine="987"/>
        <w:spacing w:after="0" w:line="266" w:lineRule="auto"/>
        <w:tabs>
          <w:tab w:leader="none" w:pos="12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5" w:lineRule="exact"/>
        <w:rPr>
          <w:rFonts w:ascii="Times New Roman" w:cs="Times New Roman" w:eastAsia="Times New Roman" w:hAnsi="Times New Roman"/>
          <w:sz w:val="18"/>
          <w:szCs w:val="18"/>
          <w:color w:val="auto"/>
        </w:rPr>
      </w:pPr>
    </w:p>
    <w:p>
      <w:pPr>
        <w:jc w:val="both"/>
        <w:ind w:left="4" w:right="320" w:firstLine="987"/>
        <w:spacing w:after="0" w:line="289" w:lineRule="auto"/>
        <w:tabs>
          <w:tab w:leader="none" w:pos="121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Diligence Cooperation</w:t>
      </w:r>
      <w:r>
        <w:rPr>
          <w:rFonts w:ascii="Times New Roman" w:cs="Times New Roman" w:eastAsia="Times New Roman" w:hAnsi="Times New Roman"/>
          <w:sz w:val="17"/>
          <w:szCs w:val="17"/>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57" w:lineRule="exact"/>
        <w:rPr>
          <w:rFonts w:ascii="Times New Roman" w:cs="Times New Roman" w:eastAsia="Times New Roman" w:hAnsi="Times New Roman"/>
          <w:sz w:val="17"/>
          <w:szCs w:val="17"/>
          <w:color w:val="auto"/>
        </w:rPr>
      </w:pPr>
    </w:p>
    <w:p>
      <w:pPr>
        <w:ind w:left="4" w:right="20" w:firstLine="987"/>
        <w:spacing w:after="0" w:line="256"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with respect to the Placement Shares,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28" w:name="page29"/>
    <w:bookmarkEnd w:id="28"/>
    <w:p>
      <w:pPr>
        <w:ind w:right="260" w:firstLine="987"/>
        <w:spacing w:after="0" w:line="282" w:lineRule="auto"/>
        <w:tabs>
          <w:tab w:leader="none" w:pos="12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Dates; Certificate</w:t>
      </w:r>
      <w:r>
        <w:rPr>
          <w:rFonts w:ascii="Times New Roman" w:cs="Times New Roman" w:eastAsia="Times New Roman" w:hAnsi="Times New Roman"/>
          <w:sz w:val="18"/>
          <w:szCs w:val="18"/>
          <w:color w:val="auto"/>
        </w:rPr>
        <w:t>. On or prior to the date of the first Placement Notice delivered by the Company to the Agent (such date, the “</w:t>
      </w:r>
      <w:r>
        <w:rPr>
          <w:rFonts w:ascii="Times New Roman" w:cs="Times New Roman" w:eastAsia="Times New Roman" w:hAnsi="Times New Roman"/>
          <w:sz w:val="18"/>
          <w:szCs w:val="18"/>
          <w:u w:val="single" w:color="auto"/>
          <w:color w:val="auto"/>
        </w:rPr>
        <w:t>First Placement Date</w:t>
      </w:r>
      <w:r>
        <w:rPr>
          <w:rFonts w:ascii="Times New Roman" w:cs="Times New Roman" w:eastAsia="Times New Roman" w:hAnsi="Times New Roman"/>
          <w:sz w:val="18"/>
          <w:szCs w:val="18"/>
          <w:color w:val="auto"/>
        </w:rPr>
        <w:t>”) and each time the Company:</w:t>
      </w:r>
    </w:p>
    <w:p>
      <w:pPr>
        <w:spacing w:after="0" w:line="53" w:lineRule="exact"/>
        <w:rPr>
          <w:rFonts w:ascii="Times New Roman" w:cs="Times New Roman" w:eastAsia="Times New Roman" w:hAnsi="Times New Roman"/>
          <w:sz w:val="18"/>
          <w:szCs w:val="18"/>
          <w:color w:val="auto"/>
        </w:rPr>
      </w:pPr>
    </w:p>
    <w:p>
      <w:pPr>
        <w:ind w:left="440" w:right="60" w:hanging="4"/>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67" w:lineRule="exact"/>
        <w:rPr>
          <w:rFonts w:ascii="Times New Roman" w:cs="Times New Roman" w:eastAsia="Times New Roman" w:hAnsi="Times New Roman"/>
          <w:sz w:val="18"/>
          <w:szCs w:val="18"/>
          <w:color w:val="auto"/>
        </w:rPr>
      </w:pPr>
    </w:p>
    <w:p>
      <w:pPr>
        <w:ind w:left="440" w:right="400" w:hanging="4"/>
        <w:spacing w:after="0" w:line="282" w:lineRule="auto"/>
        <w:tabs>
          <w:tab w:leader="none" w:pos="7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5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w:t>
      </w:r>
    </w:p>
    <w:p>
      <w:pPr>
        <w:spacing w:after="0" w:line="27" w:lineRule="exact"/>
        <w:rPr>
          <w:sz w:val="20"/>
          <w:szCs w:val="20"/>
          <w:color w:val="auto"/>
        </w:rPr>
      </w:pPr>
    </w:p>
    <w:p>
      <w:pPr>
        <w:ind w:left="440" w:right="160"/>
        <w:spacing w:after="0" w:line="260" w:lineRule="auto"/>
        <w:rPr>
          <w:sz w:val="20"/>
          <w:szCs w:val="20"/>
          <w:color w:val="auto"/>
        </w:rPr>
      </w:pPr>
      <w:r>
        <w:rPr>
          <w:rFonts w:ascii="Times New Roman" w:cs="Times New Roman" w:eastAsia="Times New Roman" w:hAnsi="Times New Roman"/>
          <w:sz w:val="18"/>
          <w:szCs w:val="18"/>
          <w:color w:val="auto"/>
        </w:rPr>
        <w:t>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date of filing of one or more of the documents referred to in clauses (i)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shall furnish the Agent (but in the case of clause (iv) above only if the Agent reasonably determines that the information contained in such Form 8-K is material) with a certificate dated the Representation Date, in the form attached hereto as Exhibit 7(l). The requirement to provide a certificate under this Section 7(l)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when the Company relied on such waiver and did not provide the Agent with a certificate under this Section 7(l), then before the Company delivers the Placement Notice or the Agent sells any Placement Shares, the Company shall provide the Agent with a certificate, in the form attached hereto as Exhibit 7(l), dated the date of the Placement Notice.</w:t>
      </w:r>
    </w:p>
    <w:p>
      <w:pPr>
        <w:spacing w:after="0" w:line="192" w:lineRule="exact"/>
        <w:rPr>
          <w:sz w:val="20"/>
          <w:szCs w:val="20"/>
          <w:color w:val="auto"/>
        </w:rPr>
      </w:pPr>
    </w:p>
    <w:p>
      <w:pPr>
        <w:ind w:right="100" w:firstLine="987"/>
        <w:spacing w:after="0" w:line="254"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 and Negative Assurance Letter</w:t>
      </w:r>
      <w:r>
        <w:rPr>
          <w:rFonts w:ascii="Times New Roman" w:cs="Times New Roman" w:eastAsia="Times New Roman" w:hAnsi="Times New Roman"/>
          <w:sz w:val="18"/>
          <w:szCs w:val="18"/>
          <w:color w:val="auto"/>
        </w:rPr>
        <w:t>. (1) On or before the First Placement Date, the Company shall cause to be furnished to the Agent a written opinion and negative assurance letter of Cooley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reasonably satisfactory to the Agent, each in form and substance reasonably satisfactory to Agent and its counsel; and (2)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Company Counsel, or other counsel reasonably satisfactory to the Agent, in form and substance reasonably satisfactory to Agent and its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Company shall not be required to furnish any such letter if the Company does not intend to deliver a Placement Notice in such calendar quarter until such time as the Company delivers its next Placement Notice.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9" w:name="page30"/>
    <w:bookmarkEnd w:id="29"/>
    <w:p>
      <w:pPr>
        <w:ind w:right="40" w:firstLine="987"/>
        <w:spacing w:after="0" w:line="253"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w:t>
      </w:r>
      <w:r>
        <w:rPr>
          <w:rFonts w:ascii="Times New Roman" w:cs="Times New Roman" w:eastAsia="Times New Roman" w:hAnsi="Times New Roman"/>
          <w:sz w:val="18"/>
          <w:szCs w:val="18"/>
          <w:color w:val="auto"/>
        </w:rPr>
        <w:t>. (1) On or before the First Placement Date and (2) within five (5) Trading Days of each Representation Date, other than pursuant to Section 7(l)(iii), with respect to which the Company is obligated to deliver a certificate in the form attached hereto as Exhibit 7(l) for which no waiver is applicable, the Company shall cause its independent accountants to furnish the Agent letters (the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dated the date the Comfort Letter is delivered, which shall meet the requirements set forth in this Section 7(n). The Comfort Letter from the Company’s independent accountants shall be in a form and substance reasonably satisfactory to the Agent, (i) confirming that they are an independent public accounting firm within the meaning of the Securities Act and the Public Company Account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4"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 provided, however, that the Company may bid for and purchase shares of its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100" w:firstLine="987"/>
        <w:spacing w:after="0" w:line="289" w:lineRule="auto"/>
        <w:tabs>
          <w:tab w:leader="none" w:pos="124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The Company will conduct its affairs in such a manner so as to reasonably ensure that neither it nor the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57"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the Prospectus and the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0" w:name="page31"/>
    <w:bookmarkEnd w:id="30"/>
    <w:p>
      <w:pPr>
        <w:ind w:left="4" w:right="60" w:firstLine="987"/>
        <w:spacing w:after="0" w:line="254" w:lineRule="auto"/>
        <w:tabs>
          <w:tab w:leader="none" w:pos="12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90"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3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the Company’s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organization, particularly during the period in which such periodic reports are being prepared.</w:t>
      </w:r>
    </w:p>
    <w:p>
      <w:pPr>
        <w:spacing w:after="0" w:line="192"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in such number as the Agent shall reasonably deem necessary, (ii) the printing and delivery to the Agent of this Agreement and such other documents as may be required in connection with the offering, purchase, sale, issuance or delivery of the Placement Shares, (iii) the fees and disbursements of the counsel, accountants and other advisors to the Company, (iv) the reasonable and documented out-of-pocket expenses of Agent, including reasonable and documented fees and disbursements of counsel to the Agent incurred in connection with (a) entering into the transactions contemplated by this Agreement in an amount not to exceed $75,000 in the aggregate, and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amount not to exceed $15,000 per calendar quarter thereafter payable in connection with each Representation Date with respect to which the Company is obligated to deliver a certificate pursuant to Section 7(l) for which no waiver is applicable excluding the date of this Agreement (v) the printing and delivery to the Agent of copies of any Permitted Issuer Free Writing Prospectus (defined below) and the Prospectus and any amendments or supplements thereto in such number as the Agent shall deem reasonably necessary, (vi) the preparation, printing and delivery to the Agent of copies of the blue sky survey, (vii) the documented fees and expenses of the transfer agent and registrar for the Common Stock, (viii) the reasonable and documented fees and expenses incident to any review by FINRA of the terms of the sale of the Placement Shares, including fees and expenses of counsel to the Agent (subject to the cap, set forth in clause (iv) above), and (ix) the documented fees and expenses incurred in connection with the listing of the Placement Shares on the Exchange.</w:t>
      </w:r>
    </w:p>
    <w:p>
      <w:pPr>
        <w:spacing w:after="0" w:line="192" w:lineRule="exact"/>
        <w:rPr>
          <w:sz w:val="20"/>
          <w:szCs w:val="20"/>
          <w:color w:val="auto"/>
        </w:rPr>
      </w:pPr>
    </w:p>
    <w:p>
      <w:pPr>
        <w:ind w:right="340" w:firstLine="436"/>
        <w:spacing w:after="0" w:line="261" w:lineRule="auto"/>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spacing w:after="0" w:line="71"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material fact made in the Registration Statement or the Prospectus or any material document incorporated or deemed to be incorporated therein by reference untrue in any material respect or that requires the making of any changes in the Registration Statement, the Prospectus or Incorporated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2" w:name="page33"/>
    <w:bookmarkEnd w:id="32"/>
    <w:p>
      <w:pPr>
        <w:ind w:firstLine="987"/>
        <w:spacing w:after="0" w:line="255"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right="580" w:firstLine="987"/>
        <w:spacing w:after="0" w:line="26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Agent shall have received the opinion and the negative assurance letter of Company Counsel required to be delivered pursuant to Section 7(m) on or before the date on which such delivery of such opinion and letter, as applicable, is required pursuant to Section 7(m).</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Agent shall have received the Comfort Letter required to be delivered pursuant to Section 7(n) on or before the date on which such delivery of such Comfort Letter is required pursuant to Section 7(n).</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7(l) on or before the date on which delivery of such certificate is required pursuant to Section 7(l).</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Representation Date, the Agent shall have received a certificate, signed on behalf of the Company by its corporate Secretary, in form and substance satisfactory to the Agent and its counsel.</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ind w:right="240" w:firstLine="987"/>
        <w:spacing w:after="0" w:line="261" w:lineRule="auto"/>
        <w:tabs>
          <w:tab w:leader="none" w:pos="12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7(l), the Company shall have furnished to the Agent such appropriate further information, certificates and documents as the Agent may reasonably request. All such opinions, certificates, letters and other documents will be in compliance with the provisions hereof. The Company will furnish the Agent with such conformed copies of such opinions, certificates, letters and other documents as the Agent shall reasonably request.</w:t>
      </w:r>
    </w:p>
    <w:p>
      <w:pPr>
        <w:spacing w:after="0" w:line="179"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with respect to the Placement Shares to have been filed prior to the issuance of any Placement Notice hereunder shall have been made within the applicable time period prescribed for such filing by Rule 424.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3" w:name="page34"/>
    <w:bookmarkEnd w:id="33"/>
    <w:p>
      <w:pPr>
        <w:ind w:right="480" w:firstLine="987"/>
        <w:spacing w:after="0" w:line="266" w:lineRule="auto"/>
        <w:tabs>
          <w:tab w:leader="none" w:pos="12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for Listing</w:t>
      </w:r>
      <w:r>
        <w:rPr>
          <w:rFonts w:ascii="Times New Roman" w:cs="Times New Roman" w:eastAsia="Times New Roman" w:hAnsi="Times New Roman"/>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this offering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w:t>
      </w:r>
    </w:p>
    <w:p>
      <w:pPr>
        <w:spacing w:after="0" w:line="2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color w:val="auto"/>
        </w:rPr>
      </w:pPr>
    </w:p>
    <w:p>
      <w:pPr>
        <w:ind w:firstLine="1428"/>
        <w:spacing w:after="0" w:line="256" w:lineRule="auto"/>
        <w:tabs>
          <w:tab w:leader="none" w:pos="164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right="140" w:firstLine="1428"/>
        <w:spacing w:after="0" w:line="258" w:lineRule="auto"/>
        <w:tabs>
          <w:tab w:leader="none" w:pos="169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10(d)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ind w:right="300" w:firstLine="1428"/>
        <w:spacing w:after="0" w:line="261" w:lineRule="auto"/>
        <w:tabs>
          <w:tab w:leader="none" w:pos="174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of the Company to the extent that any such expense is not paid under (i) or (ii) above,</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ind w:left="-20" w:right="60" w:firstLine="987"/>
        <w:spacing w:after="0" w:line="255" w:lineRule="auto"/>
        <w:tabs>
          <w:tab w:leader="none" w:pos="1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Indemnification</w:t>
      </w:r>
      <w:r>
        <w:rPr>
          <w:rFonts w:ascii="Times New Roman" w:cs="Times New Roman" w:eastAsia="Times New Roman" w:hAnsi="Times New Roman"/>
          <w:sz w:val="18"/>
          <w:szCs w:val="18"/>
          <w:color w:val="auto"/>
        </w:rPr>
        <w:t>.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10(a),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the Agent and furnished to the Company in writing by the Agent expressly for use therein.</w:t>
      </w:r>
    </w:p>
    <w:p>
      <w:pPr>
        <w:spacing w:after="0" w:line="188" w:lineRule="exact"/>
        <w:rPr>
          <w:rFonts w:ascii="Times New Roman" w:cs="Times New Roman" w:eastAsia="Times New Roman" w:hAnsi="Times New Roman"/>
          <w:sz w:val="18"/>
          <w:szCs w:val="18"/>
          <w:color w:val="auto"/>
        </w:rPr>
      </w:pPr>
    </w:p>
    <w:p>
      <w:pPr>
        <w:ind w:left="-20" w:firstLine="987"/>
        <w:spacing w:after="0" w:line="251"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10 will, promptly after receipt of notice of commencement of any action against such party in respect of which a claim is to be made against an indemnifying party or parties under this Section 10, notify each such indemnifying party of the commencement of such action, enclosing a copy of all papers served, but the omission so to notify such indemnifying party will not relieve the indemnifying party from (i) any liability that it may have to any indemnified party otherwise than under this Section 10 and (ii) any liability that it may have to any indemnified party under the foregoing provision of this Section 10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separate firm admitted to practice in such jurisdiction at any one time for all such indemnified party or parties. All such fees, disbursements and other charges will be reimbursed by the indemnifying party promptly after the indemnifying party receives a written invoice related to fees, disbursements and other reasonable charges in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10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92" w:lineRule="exact"/>
        <w:rPr>
          <w:sz w:val="20"/>
          <w:szCs w:val="20"/>
          <w:color w:val="auto"/>
        </w:rPr>
      </w:pPr>
    </w:p>
    <w:p>
      <w:pPr>
        <w:ind w:right="40" w:firstLine="987"/>
        <w:spacing w:after="0" w:line="251"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this Section 10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and documented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10(d)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10(d) shall be deemed to include, for the purpose of this Section 10(d), any legal or other expenses reasonably incurred by such indemnified party in connection with investigating or defending any such action or claim to the extent consistent with Section 10(c) hereof. Notwithstanding the foregoing provisions of this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10(d),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10(d),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10(d), will notify any such party or parties from whom contribution may be sought, but the omission to so notify will not relieve that party or parties from whom contribution may be sought from any other obligation it or they may have under this Section 10(d) except to the extent that the failure to so notify such other party materially prejudiced the substantive rights or defenses of the party from whom contribution is sought. Except for a settlement entered into pursuant to the last sentence of Section 10(c) hereof, no party will be liable for contribution with respect to any action or claim settled without its written consent if such consent is required pursuant to Section 10(c) hereof.</w:t>
      </w:r>
    </w:p>
    <w:p>
      <w:pPr>
        <w:spacing w:after="0" w:line="190" w:lineRule="exact"/>
        <w:rPr>
          <w:sz w:val="20"/>
          <w:szCs w:val="20"/>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Covenants of the Agent</w:t>
      </w:r>
      <w:r>
        <w:rPr>
          <w:rFonts w:ascii="Times New Roman" w:cs="Times New Roman" w:eastAsia="Times New Roman" w:hAnsi="Times New Roman"/>
          <w:sz w:val="18"/>
          <w:szCs w:val="18"/>
          <w:color w:val="auto"/>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the Agent of the Placement Shares</w:t>
      </w:r>
    </w:p>
    <w:p>
      <w:pPr>
        <w:spacing w:after="0" w:line="188" w:lineRule="exact"/>
        <w:rPr>
          <w:rFonts w:ascii="Times New Roman" w:cs="Times New Roman" w:eastAsia="Times New Roman" w:hAnsi="Times New Roman"/>
          <w:sz w:val="18"/>
          <w:szCs w:val="18"/>
          <w:color w:val="auto"/>
        </w:rPr>
      </w:pPr>
    </w:p>
    <w:p>
      <w:pPr>
        <w:ind w:firstLine="987"/>
        <w:spacing w:after="0" w:line="281" w:lineRule="auto"/>
        <w:tabs>
          <w:tab w:leader="none" w:pos="124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Agreements to Survive</w:t>
      </w:r>
      <w:r>
        <w:rPr>
          <w:rFonts w:ascii="Times New Roman" w:cs="Times New Roman" w:eastAsia="Times New Roman" w:hAnsi="Times New Roman"/>
          <w:sz w:val="17"/>
          <w:szCs w:val="17"/>
          <w:color w:val="auto"/>
        </w:rPr>
        <w:t xml:space="preserve"> Delivery. The indemnity and contribution agreements contained in Section 10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6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terminate this Agreement, by written notice to the Company, as hereinafter specified at any time (1) if there has been, since the time of execution of this Agreement or since the date as of which information is given in the Prospectus, any Material Adverse Effect, or any development that would reasonably be expected to result in a Material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 Effect has occurred, which in the reasonable judgment of the Agent, is material and adverse and makes it impractical or inadvisable to market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8 (Expenses), Section 10 (Indemnification), Section 11 (Survival of Representations), Section 17 (Governing Law; Consent to Jurisdiction) and Section 18 (Waiver of Jury Trial) hereof shall remain in full force and effect notwithstanding such termination. If the Agent elects to terminate this Agreement as provided in this Section 12(a), the Agent shall provide the required written notice as specified in Section 13 (Notices).</w:t>
      </w:r>
    </w:p>
    <w:p>
      <w:pPr>
        <w:spacing w:after="0" w:line="187" w:lineRule="exact"/>
        <w:rPr>
          <w:sz w:val="20"/>
          <w:szCs w:val="20"/>
          <w:color w:val="auto"/>
        </w:rPr>
      </w:pPr>
    </w:p>
    <w:p>
      <w:pPr>
        <w:ind w:right="20" w:firstLine="987"/>
        <w:spacing w:after="0" w:line="289" w:lineRule="auto"/>
        <w:tabs>
          <w:tab w:leader="none" w:pos="124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right, by giving ten (10)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spacing w:after="0" w:line="157" w:lineRule="exact"/>
        <w:rPr>
          <w:rFonts w:ascii="Times New Roman" w:cs="Times New Roman" w:eastAsia="Times New Roman" w:hAnsi="Times New Roman"/>
          <w:sz w:val="17"/>
          <w:szCs w:val="17"/>
          <w:color w:val="auto"/>
        </w:rPr>
      </w:pPr>
    </w:p>
    <w:p>
      <w:pPr>
        <w:ind w:right="80" w:firstLine="987"/>
        <w:spacing w:after="0" w:line="289" w:lineRule="auto"/>
        <w:tabs>
          <w:tab w:leader="none" w:pos="12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the right, by giving ten (10)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spacing w:after="0" w:line="157" w:lineRule="exact"/>
        <w:rPr>
          <w:rFonts w:ascii="Times New Roman" w:cs="Times New Roman" w:eastAsia="Times New Roman" w:hAnsi="Times New Roman"/>
          <w:sz w:val="17"/>
          <w:szCs w:val="17"/>
          <w:color w:val="auto"/>
        </w:rPr>
      </w:pPr>
    </w:p>
    <w:p>
      <w:pPr>
        <w:ind w:right="20"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12, this Agreement shall automatically terminate upon the issuance and sale of all of the Placement Shares through the Agent on the terms and subject to the conditions set forth herein; provided that the provisions of Section 8, Section 10, Section 11, Section 17 and Section 18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unless terminated pursuant to Sections 12(a), (b), (c), or (d) above or otherwise by mutual agreement of the parties; provided, however, that any such termination by mutual agreement shall in all cases be deemed to provide that Section 8, Section 10, Section 11, Section 17 and Section 18 shall remain in full force and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8" w:name="page39"/>
    <w:bookmarkEnd w:id="38"/>
    <w:p>
      <w:pPr>
        <w:ind w:right="20" w:firstLine="987"/>
        <w:spacing w:after="0" w:line="258"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provided, further, any termination of this Agreement in accordance with the terms of Section 12(b) or (c) shall not be effective until the date that is ten days after the date of such written notice. If such termination shall occur prior to the Settlement Date for any sale of Placement Shares, such Placement Shares shall settle in accordance with the provisions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additional limitations set forth in Section 8 of this Agreement, in the event of termination of this Agreement prior to the sale of any Placement Shares, the Agent shall be entitled only to reimbursement of its out-of-pocket expenses actually incurred.</w:t>
      </w:r>
    </w:p>
    <w:p>
      <w:pPr>
        <w:spacing w:after="0" w:line="162" w:lineRule="exact"/>
        <w:rPr>
          <w:sz w:val="20"/>
          <w:szCs w:val="20"/>
          <w:color w:val="auto"/>
        </w:rPr>
      </w:pPr>
    </w:p>
    <w:p>
      <w:pPr>
        <w:ind w:right="160" w:firstLine="436"/>
        <w:spacing w:after="0" w:line="282"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JonesTrading Institutional Services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880 Island Park Drive,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Daniel Island, SC 29492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Burke Cook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burke@jonestrading.com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 Vanderbilt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335 Madison Avenue, 23rd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James T. Seery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JTSeery@duanemorris.com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10118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Patrick McCall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1299 Pennsylvania Avenue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District of Columbia 20004-2400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Jaime L. Chase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jchase@cooley.com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440" w:top="270" w:right="579" w:bottom="1440" w:gutter="0" w:footer="0" w:header="0"/>
        </w:sectPr>
      </w:pPr>
    </w:p>
    <w:bookmarkStart w:id="39" w:name="page40"/>
    <w:bookmarkEnd w:id="39"/>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u w:val="single" w:color="auto"/>
          <w:color w:val="auto"/>
        </w:rPr>
        <w:t>Nonelectronic Notic</w:t>
      </w:r>
      <w:r>
        <w:rPr>
          <w:rFonts w:ascii="Times New Roman" w:cs="Times New Roman" w:eastAsia="Times New Roman" w:hAnsi="Times New Roman"/>
          <w:sz w:val="18"/>
          <w:szCs w:val="18"/>
          <w:color w:val="auto"/>
        </w:rPr>
        <w:t>e”) which shall be sent to the requesting party within ten (10) days of receipt of the written request for Nonelectronic Notice.</w:t>
      </w:r>
    </w:p>
    <w:p>
      <w:pPr>
        <w:spacing w:after="0" w:line="183" w:lineRule="exact"/>
        <w:rPr>
          <w:sz w:val="20"/>
          <w:szCs w:val="20"/>
          <w:color w:val="auto"/>
        </w:rPr>
      </w:pPr>
    </w:p>
    <w:p>
      <w:pPr>
        <w:ind w:right="20" w:firstLine="436"/>
        <w:spacing w:after="0" w:line="255" w:lineRule="auto"/>
        <w:tabs>
          <w:tab w:leader="none" w:pos="7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Company and the Agent and their 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the Agent may assign its rights and obligations hereunder to an affiliate thereof without obtaining the Company’s consent, so long as such affiliate is a registered broker dealer.</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61" w:lineRule="exact"/>
        <w:rPr>
          <w:rFonts w:ascii="Times New Roman" w:cs="Times New Roman" w:eastAsia="Times New Roman" w:hAnsi="Times New Roman"/>
          <w:sz w:val="18"/>
          <w:szCs w:val="18"/>
          <w:color w:val="auto"/>
        </w:rPr>
      </w:pPr>
    </w:p>
    <w:p>
      <w:pPr>
        <w:ind w:firstLine="436"/>
        <w:spacing w:after="0" w:line="272" w:lineRule="auto"/>
        <w:tabs>
          <w:tab w:leader="none" w:pos="71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 Severability</w:t>
      </w:r>
      <w:r>
        <w:rPr>
          <w:rFonts w:ascii="Times New Roman" w:cs="Times New Roman" w:eastAsia="Times New Roman" w:hAnsi="Times New Roman"/>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0" w:name="page41"/>
    <w:bookmarkEnd w:id="40"/>
    <w:p>
      <w:pPr>
        <w:ind w:left="-20" w:right="120" w:firstLine="436"/>
        <w:spacing w:after="0" w:line="257" w:lineRule="auto"/>
        <w:tabs>
          <w:tab w:leader="none" w:pos="69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b w:val="1"/>
          <w:bCs w:val="1"/>
          <w:color w:val="auto"/>
        </w:rPr>
      </w:pPr>
    </w:p>
    <w:p>
      <w:pPr>
        <w:ind w:left="-20" w:firstLine="436"/>
        <w:spacing w:after="0" w:line="253"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use any information gained in connection with this Agreement and the transactions contemplated by this Agreement, including due diligence, to advise any party with respect to transactions not expressly approved by the Company.</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66"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60" w:top="266" w:right="479" w:bottom="1440" w:gutter="0" w:footer="0" w:header="0"/>
        </w:sectPr>
      </w:pPr>
    </w:p>
    <w:bookmarkStart w:id="41" w:name="page42"/>
    <w:bookmarkEnd w:id="41"/>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Free Writing Prospectuses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represents, warrants and agrees that, unless it obtains the prior consent of the Agent (which consent shall not be unreasonably withheld or delayed), and the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92" w:lineRule="exact"/>
        <w:rPr>
          <w:sz w:val="20"/>
          <w:szCs w:val="20"/>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acknowledges and agrees that:</w:t>
      </w:r>
    </w:p>
    <w:p>
      <w:pPr>
        <w:spacing w:after="0" w:line="117" w:lineRule="exact"/>
        <w:rPr>
          <w:sz w:val="20"/>
          <w:szCs w:val="20"/>
          <w:color w:val="auto"/>
        </w:rPr>
      </w:pPr>
    </w:p>
    <w:p>
      <w:pPr>
        <w:ind w:firstLine="987"/>
        <w:spacing w:after="0" w:line="25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right="760" w:firstLine="987"/>
        <w:spacing w:after="0" w:line="28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2" w:name="page43"/>
    <w:bookmarkEnd w:id="42"/>
    <w:p>
      <w:pPr>
        <w:ind w:left="704" w:hanging="264"/>
        <w:spacing w:after="0"/>
        <w:tabs>
          <w:tab w:leader="none" w:pos="7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117"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225"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20" w:hanging="4"/>
        <w:spacing w:after="0" w:line="255"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6"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that may be identified on Exhibit 21.1 to the Company’s Annual Report on Form 10-K for the most recently ended fiscal year, and shall, where applicable, also include any direct or indirect subsidiary of the Company formed or acquired after the date 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shares of Common Stock are purchased and sold on the Exchange.</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4"/>
          </w:cols>
          <w:pgMar w:left="436" w:top="270" w:right="499" w:bottom="1440" w:gutter="0" w:footer="0" w:header="0"/>
        </w:sectPr>
      </w:pPr>
    </w:p>
    <w:bookmarkStart w:id="43" w:name="page44"/>
    <w:bookmarkEnd w:id="4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70" w:right="51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JONESTRADING INSTITUTIONAL SERVICES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Burke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Burke Cook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&amp; Secretary</w:t>
      </w:r>
    </w:p>
    <w:p>
      <w:pPr>
        <w:sectPr>
          <w:pgSz w:w="11900" w:h="16838" w:orient="portrait"/>
          <w:cols w:equalWidth="0" w:num="1">
            <w:col w:w="10980"/>
          </w:cols>
          <w:pgMar w:left="440" w:top="270"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6220" w:type="dxa"/>
            <w:vAlign w:val="bottom"/>
            <w:gridSpan w:val="3"/>
          </w:tcPr>
          <w:p>
            <w:pPr>
              <w:ind w:left="3420"/>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364"/>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8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IN8BIO, INC.</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JONESTRADING INSTITUTIONAL SERVICES LLC</w:t>
            </w:r>
          </w:p>
        </w:tc>
      </w:tr>
      <w:tr>
        <w:trPr>
          <w:trHeight w:val="234"/>
        </w:trPr>
        <w:tc>
          <w:tcPr>
            <w:tcW w:w="680" w:type="dxa"/>
            <w:vAlign w:val="bottom"/>
          </w:tcPr>
          <w:p>
            <w:pPr>
              <w:spacing w:after="0"/>
              <w:rPr>
                <w:sz w:val="20"/>
                <w:szCs w:val="20"/>
                <w:color w:val="auto"/>
              </w:rPr>
            </w:pP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Attention: _____________________</w:t>
            </w:r>
          </w:p>
        </w:tc>
      </w:tr>
      <w:tr>
        <w:trPr>
          <w:trHeight w:val="33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Placement Notice</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23" w:lineRule="auto"/>
        <w:rPr>
          <w:sz w:val="20"/>
          <w:szCs w:val="20"/>
          <w:color w:val="auto"/>
        </w:rPr>
      </w:pPr>
      <w:r>
        <w:rPr>
          <w:rFonts w:ascii="Times New Roman" w:cs="Times New Roman" w:eastAsia="Times New Roman" w:hAnsi="Times New Roman"/>
          <w:sz w:val="17"/>
          <w:szCs w:val="17"/>
          <w:color w:val="auto"/>
        </w:rPr>
        <w:t>Pursuant to the terms and subject to the conditions contained in the Capital on Demand</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color w:val="auto"/>
        </w:rPr>
        <w:t xml:space="preserve"> Sales Agreement between IN8bio,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JonesTrading Institutional Services LLC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dated June 1, 2026, the Company hereby requests that the Agent sell up to ____________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$0.0001 par value per share, at a minimum market price of $_______ per share, during the time period beginning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time] and ending [month, day, time].</w:t>
      </w:r>
    </w:p>
    <w:p>
      <w:pPr>
        <w:sectPr>
          <w:pgSz w:w="11900" w:h="16838" w:orient="portrait"/>
          <w:cols w:equalWidth="0" w:num="1">
            <w:col w:w="11000"/>
          </w:cols>
          <w:pgMar w:left="440" w:top="266"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equal to 3.0% of the gross proceeds from each sale of Placement Shares.</w:t>
      </w:r>
    </w:p>
    <w:p>
      <w:pPr>
        <w:sectPr>
          <w:pgSz w:w="11900" w:h="16838" w:orient="portrait"/>
          <w:cols w:equalWidth="0" w:num="1">
            <w:col w:w="10640"/>
          </w:cols>
          <w:pgMar w:left="440" w:top="266" w:right="8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w:t>
            </w:r>
          </w:p>
        </w:tc>
        <w:tc>
          <w:tcPr>
            <w:tcW w:w="760" w:type="dxa"/>
            <w:vAlign w:val="bottom"/>
          </w:tcPr>
          <w:p>
            <w:pPr>
              <w:spacing w:after="0"/>
              <w:rPr>
                <w:sz w:val="17"/>
                <w:szCs w:val="17"/>
                <w:color w:val="auto"/>
              </w:rPr>
            </w:pPr>
          </w:p>
        </w:tc>
      </w:tr>
      <w:tr>
        <w:trPr>
          <w:trHeight w:val="326"/>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William Ho</w:t>
            </w: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Agent</w:t>
            </w:r>
          </w:p>
        </w:tc>
        <w:tc>
          <w:tcPr>
            <w:tcW w:w="76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2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Moe Cohen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Bryan Turley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Burke Cook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Loforte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Truettner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a copy to [***]</w:t>
            </w:r>
          </w:p>
        </w:tc>
        <w:tc>
          <w:tcPr>
            <w:tcW w:w="76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____________________, 20__</w:t>
      </w:r>
    </w:p>
    <w:p>
      <w:pPr>
        <w:spacing w:after="0" w:line="229" w:lineRule="exact"/>
        <w:rPr>
          <w:sz w:val="20"/>
          <w:szCs w:val="20"/>
          <w:color w:val="auto"/>
        </w:rPr>
      </w:pPr>
    </w:p>
    <w:p>
      <w:pPr>
        <w:ind w:right="340" w:firstLine="440"/>
        <w:spacing w:after="0" w:line="224" w:lineRule="auto"/>
        <w:rPr>
          <w:sz w:val="20"/>
          <w:szCs w:val="20"/>
          <w:color w:val="auto"/>
        </w:rPr>
      </w:pPr>
      <w:r>
        <w:rPr>
          <w:rFonts w:ascii="Times New Roman" w:cs="Times New Roman" w:eastAsia="Times New Roman" w:hAnsi="Times New Roman"/>
          <w:sz w:val="18"/>
          <w:szCs w:val="18"/>
          <w:color w:val="auto"/>
        </w:rPr>
        <w:t>This Representation Date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is executed and delivered in connection with Section 7(l) of the Capital on Demand</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Sales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June 1, 2026, and entered into between IN8bio,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JonesTrading Institutional Services LLC. All capitalized terms used but not defined herein shall have the meanings given to such terms in the Agreement</w:t>
      </w:r>
    </w:p>
    <w:p>
      <w:pPr>
        <w:spacing w:after="0" w:line="19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undersigned, a duly appointed and authorized officer of the Company, having made all necessary inquiries to establish the accuracy of the statements below and having been authorized by the Company to execute this certificate, hereby certifies as follows:</w:t>
      </w:r>
    </w:p>
    <w:p>
      <w:pPr>
        <w:spacing w:after="0" w:line="54" w:lineRule="exact"/>
        <w:rPr>
          <w:sz w:val="20"/>
          <w:szCs w:val="20"/>
          <w:color w:val="auto"/>
        </w:rPr>
      </w:pPr>
    </w:p>
    <w:p>
      <w:pPr>
        <w:ind w:right="60" w:firstLine="436"/>
        <w:spacing w:after="0" w:line="258"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Company contained in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so true and correct as of such date; and.</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required to be performed by the Company in the Agreement on or prior to the date of the Agreement, this Representation Date, and each such other date as set forth in the Agreement, has been duly, timely and fully performed in all material respects and each condition required to be complied with by the Company on or prior to the date of the Agreement, this Representation Date, and each such other date as set forth in the Agreement has been duly, timely and fully complied with in all material respects.</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the most recent financial statements in the Prospectus, there has been no Material Adverse Effect.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6" w:right="479" w:bottom="1440" w:gutter="0" w:footer="0" w:header="0"/>
        </w:sectPr>
      </w:pPr>
    </w:p>
    <w:bookmarkStart w:id="49" w:name="page50"/>
    <w:bookmarkEnd w:id="49"/>
    <w:p>
      <w:pPr>
        <w:ind w:left="-100" w:right="240" w:firstLine="436"/>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spacing w:after="0" w:line="175" w:lineRule="exact"/>
        <w:rPr>
          <w:rFonts w:ascii="Times New Roman" w:cs="Times New Roman" w:eastAsia="Times New Roman" w:hAnsi="Times New Roman"/>
          <w:sz w:val="18"/>
          <w:szCs w:val="18"/>
          <w:color w:val="auto"/>
        </w:rPr>
      </w:pPr>
    </w:p>
    <w:p>
      <w:pPr>
        <w:ind w:left="-100" w:firstLine="436"/>
        <w:spacing w:after="0" w:line="289" w:lineRule="auto"/>
        <w:tabs>
          <w:tab w:leader="none" w:pos="5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 suspending the effectiveness of the Registration Statement or the qualification or registration of the Placement Shares under the applicable securities or blue sky laws of any applicable jurisdiction are in effect and no proceeding for such purpose is pending before, or threatened, to the Company’s knowledge or in writing by, any applicable securities or other governmental authority (including, without limitation, the Commission).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has executed this Representation Date Certificate as of the date first written above.</w:t>
      </w:r>
    </w:p>
    <w:p>
      <w:pPr>
        <w:spacing w:after="0" w:line="24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17145</wp:posOffset>
            </wp:positionV>
            <wp:extent cx="24599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22860</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-121920</wp:posOffset>
            </wp:positionV>
            <wp:extent cx="2459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sectPr>
      <w:pgSz w:w="11900" w:h="16838" w:orient="portrait"/>
      <w:cols w:equalWidth="0" w:num="1">
        <w:col w:w="10800"/>
      </w:cols>
      <w:pgMar w:left="5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
      <w:numFmt w:val="bullet"/>
      <w:start w:val="1"/>
    </w:lvl>
  </w:abstractNum>
  <w:abstractNum w:abstractNumId="2">
    <w:nsid w:val="4516DDE9"/>
    <w:multiLevelType w:val="hybridMultilevel"/>
    <w:lvl w:ilvl="0">
      <w:lvlJc w:val="left"/>
      <w:lvlText w:val="%1:"/>
      <w:numFmt w:val="upperLetter"/>
      <w:start w:val="20"/>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6">
    <w:nsid w:val="5577F8E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
    <w:nsid w:val="440BADF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8">
    <w:nsid w:val="5072367"/>
    <w:multiLevelType w:val="hybridMultilevel"/>
    <w:lvl w:ilvl="0">
      <w:lvlJc w:val="left"/>
      <w:lvlText w:val="%1"/>
      <w:numFmt w:val="decimal"/>
      <w:start w:val="1"/>
    </w:lvl>
    <w:lvl w:ilvl="1">
      <w:lvlJc w:val="left"/>
      <w:lvlText w:val="(%2)"/>
      <w:numFmt w:val="lowerLetter"/>
      <w:start w:val="4"/>
    </w:lvl>
  </w:abstractNum>
  <w:abstractNum w:abstractNumId="9">
    <w:nsid w:val="3804823E"/>
    <w:multiLevelType w:val="hybridMultilevel"/>
    <w:lvl w:ilvl="0">
      <w:lvlJc w:val="left"/>
      <w:lvlText w:val="%1."/>
      <w:numFmt w:val="decimal"/>
      <w:start w:val="6"/>
    </w:lvl>
    <w:lvl w:ilvl="1">
      <w:lvlJc w:val="left"/>
      <w:lvlText w:val="(%2)"/>
      <w:numFmt w:val="lowerLetter"/>
      <w:start w:val="1"/>
    </w:lvl>
  </w:abstractNum>
  <w:abstractNum w:abstractNumId="10">
    <w:nsid w:val="77465F01"/>
    <w:multiLevelType w:val="hybridMultilevel"/>
    <w:lvl w:ilvl="0">
      <w:lvlJc w:val="left"/>
      <w:lvlText w:val="(%1)"/>
      <w:numFmt w:val="lowerLetter"/>
      <w:start w:val="2"/>
    </w:lvl>
  </w:abstractNum>
  <w:abstractNum w:abstractNumId="11">
    <w:nsid w:val="7724C67E"/>
    <w:multiLevelType w:val="hybridMultilevel"/>
    <w:lvl w:ilvl="0">
      <w:lvlJc w:val="left"/>
      <w:lvlText w:val="(%1)"/>
      <w:numFmt w:val="lowerLetter"/>
      <w:start w:val="4"/>
    </w:lvl>
  </w:abstractNum>
  <w:abstractNum w:abstractNumId="12">
    <w:nsid w:val="5C482A97"/>
    <w:multiLevelType w:val="hybridMultilevel"/>
    <w:lvl w:ilvl="0">
      <w:lvlJc w:val="left"/>
      <w:lvlText w:val="%1"/>
      <w:numFmt w:val="lowerLetter"/>
      <w:start w:val="1"/>
    </w:lvl>
    <w:lvl w:ilvl="1">
      <w:lvlJc w:val="left"/>
      <w:lvlText w:val="(%2)"/>
      <w:numFmt w:val="lowerLetter"/>
      <w:start w:val="8"/>
    </w:lvl>
  </w:abstractNum>
  <w:abstractNum w:abstractNumId="13">
    <w:nsid w:val="2463B9EA"/>
    <w:multiLevelType w:val="hybridMultilevel"/>
    <w:lvl w:ilvl="0">
      <w:lvlJc w:val="left"/>
      <w:lvlText w:val="(%1)"/>
      <w:numFmt w:val="lowerLetter"/>
      <w:start w:val="22"/>
    </w:lvl>
    <w:lvl w:ilvl="1">
      <w:lvlJc w:val="left"/>
      <w:lvlText w:val="(%2)"/>
      <w:numFmt w:val="lowerLetter"/>
      <w:start w:val="9"/>
    </w:lvl>
  </w:abstractNum>
  <w:abstractNum w:abstractNumId="14">
    <w:nsid w:val="5E884ADC"/>
    <w:multiLevelType w:val="hybridMultilevel"/>
    <w:lvl w:ilvl="0">
      <w:lvlJc w:val="left"/>
      <w:lvlText w:val="(%1)"/>
      <w:numFmt w:val="lowerLetter"/>
      <w:start w:val="10"/>
    </w:lvl>
  </w:abstractNum>
  <w:abstractNum w:abstractNumId="15">
    <w:nsid w:val="51EAD36B"/>
    <w:multiLevelType w:val="hybridMultilevel"/>
    <w:lvl w:ilvl="0">
      <w:lvlJc w:val="left"/>
      <w:lvlText w:val="(%1)"/>
      <w:numFmt w:val="lowerLetter"/>
      <w:start w:val="11"/>
    </w:lvl>
  </w:abstractNum>
  <w:abstractNum w:abstractNumId="16">
    <w:nsid w:val="2D517796"/>
    <w:multiLevelType w:val="hybridMultilevel"/>
    <w:lvl w:ilvl="0">
      <w:lvlJc w:val="left"/>
      <w:lvlText w:val="(%1)"/>
      <w:numFmt w:val="lowerLetter"/>
      <w:start w:val="15"/>
    </w:lvl>
  </w:abstractNum>
  <w:abstractNum w:abstractNumId="17">
    <w:nsid w:val="580BD78F"/>
    <w:multiLevelType w:val="hybridMultilevel"/>
    <w:lvl w:ilvl="0">
      <w:lvlJc w:val="left"/>
      <w:lvlText w:val="(%1)"/>
      <w:numFmt w:val="lowerLetter"/>
      <w:start w:val="19"/>
    </w:lvl>
  </w:abstractNum>
  <w:abstractNum w:abstractNumId="18">
    <w:nsid w:val="153EA438"/>
    <w:multiLevelType w:val="hybridMultilevel"/>
    <w:lvl w:ilvl="0">
      <w:lvlJc w:val="left"/>
      <w:lvlText w:val="(%1)"/>
      <w:numFmt w:val="lowerLetter"/>
      <w:start w:val="25"/>
    </w:lvl>
  </w:abstractNum>
  <w:abstractNum w:abstractNumId="19">
    <w:nsid w:val="3855585C"/>
    <w:multiLevelType w:val="hybridMultilevel"/>
    <w:lvl w:ilvl="0">
      <w:lvlJc w:val="left"/>
      <w:lvlText w:val="(%1)"/>
      <w:numFmt w:val="lowerLetter"/>
      <w:start w:val="27"/>
    </w:lvl>
  </w:abstractNum>
  <w:abstractNum w:abstractNumId="20">
    <w:nsid w:val="70A64E2A"/>
    <w:multiLevelType w:val="hybridMultilevel"/>
    <w:lvl w:ilvl="0">
      <w:lvlJc w:val="left"/>
      <w:lvlText w:val="%1"/>
      <w:numFmt w:val="lowerLetter"/>
      <w:start w:val="1"/>
    </w:lvl>
    <w:lvl w:ilvl="1">
      <w:lvlJc w:val="left"/>
      <w:lvlText w:val="(%2)"/>
      <w:numFmt w:val="lowerLetter"/>
      <w:start w:val="28"/>
    </w:lvl>
  </w:abstractNum>
  <w:abstractNum w:abstractNumId="21">
    <w:nsid w:val="6A2342EC"/>
    <w:multiLevelType w:val="hybridMultilevel"/>
    <w:lvl w:ilvl="0">
      <w:lvlJc w:val="left"/>
      <w:lvlText w:val="(%1)"/>
      <w:numFmt w:val="lowerLetter"/>
      <w:start w:val="9"/>
    </w:lvl>
    <w:lvl w:ilvl="1">
      <w:lvlJc w:val="left"/>
      <w:lvlText w:val="(%2)"/>
      <w:numFmt w:val="lowerLetter"/>
      <w:start w:val="29"/>
    </w:lvl>
  </w:abstractNum>
  <w:abstractNum w:abstractNumId="22">
    <w:nsid w:val="2A487CB0"/>
    <w:multiLevelType w:val="hybridMultilevel"/>
    <w:lvl w:ilvl="0">
      <w:lvlJc w:val="left"/>
      <w:lvlText w:val="(%1)"/>
      <w:numFmt w:val="lowerLetter"/>
      <w:start w:val="31"/>
    </w:lvl>
  </w:abstractNum>
  <w:abstractNum w:abstractNumId="23">
    <w:nsid w:val="1D4ED43B"/>
    <w:multiLevelType w:val="hybridMultilevel"/>
    <w:lvl w:ilvl="0">
      <w:lvlJc w:val="left"/>
      <w:lvlText w:val="(%1)"/>
      <w:numFmt w:val="lowerLetter"/>
      <w:start w:val="37"/>
    </w:lvl>
  </w:abstractNum>
  <w:abstractNum w:abstractNumId="24">
    <w:nsid w:val="725A06FB"/>
    <w:multiLevelType w:val="hybridMultilevel"/>
    <w:lvl w:ilvl="0">
      <w:lvlJc w:val="left"/>
      <w:lvlText w:val="(%1)"/>
      <w:numFmt w:val="lowerLetter"/>
      <w:start w:val="42"/>
    </w:lvl>
  </w:abstractNum>
  <w:abstractNum w:abstractNumId="25">
    <w:nsid w:val="2CD89A32"/>
    <w:multiLevelType w:val="hybridMultilevel"/>
    <w:lvl w:ilvl="0">
      <w:lvlJc w:val="left"/>
      <w:lvlText w:val="(%1)"/>
      <w:numFmt w:val="lowerLetter"/>
      <w:start w:val="45"/>
    </w:lvl>
  </w:abstractNum>
  <w:abstractNum w:abstractNumId="26">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7">
    <w:nsid w:val="7A6D8D3C"/>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46"/>
    </w:lvl>
    <w:lvl w:ilvl="3">
      <w:lvlJc w:val="left"/>
      <w:lvlText w:val="(%4)"/>
      <w:numFmt w:val="upperLetter"/>
      <w:start w:val="1"/>
    </w:lvl>
  </w:abstractNum>
  <w:abstractNum w:abstractNumId="28">
    <w:nsid w:val="4B588F54"/>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9">
    <w:nsid w:val="542289EC"/>
    <w:multiLevelType w:val="hybridMultilevel"/>
    <w:lvl w:ilvl="0">
      <w:lvlJc w:val="left"/>
      <w:lvlText w:val="(%1)"/>
      <w:numFmt w:val="lowerLetter"/>
      <w:start w:val="59"/>
    </w:lvl>
  </w:abstractNum>
  <w:abstractNum w:abstractNumId="30">
    <w:nsid w:val="6DE91B18"/>
    <w:multiLevelType w:val="hybridMultilevel"/>
    <w:lvl w:ilvl="0">
      <w:lvlJc w:val="left"/>
      <w:lvlText w:val="(%1)"/>
      <w:numFmt w:val="lowerLetter"/>
      <w:start w:val="47"/>
    </w:lvl>
  </w:abstractNum>
  <w:abstractNum w:abstractNumId="31">
    <w:nsid w:val="38437FDB"/>
    <w:multiLevelType w:val="hybridMultilevel"/>
    <w:lvl w:ilvl="0">
      <w:lvlJc w:val="left"/>
      <w:lvlText w:val="%1"/>
      <w:numFmt w:val="lowerLetter"/>
      <w:start w:val="1"/>
    </w:lvl>
    <w:lvl w:ilvl="1">
      <w:lvlJc w:val="left"/>
      <w:lvlText w:val="(%2)"/>
      <w:numFmt w:val="lowerLetter"/>
      <w:start w:val="48"/>
    </w:lvl>
  </w:abstractNum>
  <w:abstractNum w:abstractNumId="32">
    <w:nsid w:val="7644A45C"/>
    <w:multiLevelType w:val="hybridMultilevel"/>
    <w:lvl w:ilvl="0">
      <w:lvlJc w:val="left"/>
      <w:lvlText w:val="(%1)"/>
      <w:numFmt w:val="lowerLetter"/>
      <w:start w:val="25"/>
    </w:lvl>
    <w:lvl w:ilvl="1">
      <w:lvlJc w:val="left"/>
      <w:lvlText w:val="%2"/>
      <w:numFmt w:val="lowerLetter"/>
      <w:start w:val="1"/>
    </w:lvl>
  </w:abstractNum>
  <w:abstractNum w:abstractNumId="33">
    <w:nsid w:val="32FFF902"/>
    <w:multiLevelType w:val="hybridMultilevel"/>
    <w:lvl w:ilvl="0">
      <w:lvlJc w:val="left"/>
      <w:lvlText w:val="%1."/>
      <w:numFmt w:val="decimal"/>
      <w:start w:val="7"/>
    </w:lvl>
    <w:lvl w:ilvl="1">
      <w:lvlJc w:val="left"/>
      <w:lvlText w:val="(%2)"/>
      <w:numFmt w:val="lowerLetter"/>
      <w:start w:val="1"/>
    </w:lvl>
  </w:abstractNum>
  <w:abstractNum w:abstractNumId="34">
    <w:nsid w:val="684A481A"/>
    <w:multiLevelType w:val="hybridMultilevel"/>
    <w:lvl w:ilvl="0">
      <w:lvlJc w:val="left"/>
      <w:lvlText w:val="(%1)"/>
      <w:numFmt w:val="upperLetter"/>
      <w:start w:val="2"/>
    </w:lvl>
    <w:lvl w:ilvl="1">
      <w:lvlJc w:val="left"/>
      <w:lvlText w:val="(%2)"/>
      <w:numFmt w:val="lowerLetter"/>
      <w:start w:val="2"/>
    </w:lvl>
  </w:abstractNum>
  <w:abstractNum w:abstractNumId="35">
    <w:nsid w:val="579478FE"/>
    <w:multiLevelType w:val="hybridMultilevel"/>
    <w:lvl w:ilvl="0">
      <w:lvlJc w:val="left"/>
      <w:lvlText w:val="(%1)"/>
      <w:numFmt w:val="lowerLetter"/>
      <w:start w:val="4"/>
    </w:lvl>
  </w:abstractNum>
  <w:abstractNum w:abstractNumId="36">
    <w:nsid w:val="749ABB43"/>
    <w:multiLevelType w:val="hybridMultilevel"/>
    <w:lvl w:ilvl="0">
      <w:lvlJc w:val="left"/>
      <w:lvlText w:val="(%1)"/>
      <w:numFmt w:val="lowerLetter"/>
      <w:start w:val="9"/>
    </w:lvl>
    <w:lvl w:ilvl="1">
      <w:lvlJc w:val="left"/>
      <w:lvlText w:val="(%2)"/>
      <w:numFmt w:val="lowerLetter"/>
      <w:start w:val="9"/>
    </w:lvl>
  </w:abstractNum>
  <w:abstractNum w:abstractNumId="37">
    <w:nsid w:val="3DC240FB"/>
    <w:multiLevelType w:val="hybridMultilevel"/>
    <w:lvl w:ilvl="0">
      <w:lvlJc w:val="left"/>
      <w:lvlText w:val="%1"/>
      <w:numFmt w:val="lowerRoman"/>
      <w:start w:val="1"/>
    </w:lvl>
    <w:lvl w:ilvl="1">
      <w:lvlJc w:val="left"/>
      <w:lvlText w:val="(%2)"/>
      <w:numFmt w:val="lowerLetter"/>
      <w:start w:val="12"/>
    </w:lvl>
  </w:abstractNum>
  <w:abstractNum w:abstractNumId="38">
    <w:nsid w:val="1BA026FA"/>
    <w:multiLevelType w:val="hybridMultilevel"/>
    <w:lvl w:ilvl="0">
      <w:lvlJc w:val="left"/>
      <w:lvlText w:val="(%1)"/>
      <w:numFmt w:val="lowerRoman"/>
      <w:start w:val="1"/>
    </w:lvl>
    <w:lvl w:ilvl="1">
      <w:lvlJc w:val="left"/>
      <w:lvlText w:val="%2"/>
      <w:numFmt w:val="lowerLetter"/>
      <w:start w:val="1"/>
    </w:lvl>
  </w:abstractNum>
  <w:abstractNum w:abstractNumId="39">
    <w:nsid w:val="79A1DEAA"/>
    <w:multiLevelType w:val="hybridMultilevel"/>
    <w:lvl w:ilvl="0">
      <w:lvlJc w:val="left"/>
      <w:lvlText w:val="(%1)"/>
      <w:numFmt w:val="lowerLetter"/>
      <w:start w:val="13"/>
    </w:lvl>
  </w:abstractNum>
  <w:abstractNum w:abstractNumId="40">
    <w:nsid w:val="75C6C33A"/>
    <w:multiLevelType w:val="hybridMultilevel"/>
    <w:lvl w:ilvl="0">
      <w:lvlJc w:val="left"/>
      <w:lvlText w:val="(%1)"/>
      <w:numFmt w:val="lowerLetter"/>
      <w:start w:val="14"/>
    </w:lvl>
  </w:abstractNum>
  <w:abstractNum w:abstractNumId="41">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8"/>
    </w:lvl>
  </w:abstractNum>
  <w:abstractNum w:abstractNumId="42">
    <w:nsid w:val="70C6A529"/>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43">
    <w:nsid w:val="520EEDD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4">
    <w:nsid w:val="374A3FE6"/>
    <w:multiLevelType w:val="hybridMultilevel"/>
    <w:lvl w:ilvl="0">
      <w:lvlJc w:val="left"/>
      <w:lvlText w:val="%1."/>
      <w:numFmt w:val="decimal"/>
      <w:start w:val="9"/>
    </w:lvl>
    <w:lvl w:ilvl="1">
      <w:lvlJc w:val="left"/>
      <w:lvlText w:val="(%2)"/>
      <w:numFmt w:val="lowerLetter"/>
      <w:start w:val="1"/>
    </w:lvl>
  </w:abstractNum>
  <w:abstractNum w:abstractNumId="45">
    <w:nsid w:val="4F4EF005"/>
    <w:multiLevelType w:val="hybridMultilevel"/>
    <w:lvl w:ilvl="0">
      <w:lvlJc w:val="left"/>
      <w:lvlText w:val="(%1)"/>
      <w:numFmt w:val="lowerLetter"/>
      <w:start w:val="4"/>
    </w:lvl>
  </w:abstractNum>
  <w:abstractNum w:abstractNumId="46">
    <w:nsid w:val="23F9C13C"/>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7">
    <w:nsid w:val="649BB77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8">
    <w:nsid w:val="275AC794"/>
    <w:multiLevelType w:val="hybridMultilevel"/>
    <w:lvl w:ilvl="0">
      <w:lvlJc w:val="left"/>
      <w:lvlText w:val="(%1)"/>
      <w:numFmt w:val="lowerLetter"/>
      <w:start w:val="2"/>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1."/>
      <w:numFmt w:val="decimal"/>
      <w:start w:val="11"/>
    </w:lvl>
    <w:lvl w:ilvl="1">
      <w:lvlJc w:val="left"/>
      <w:lvlText w:val="(%2)"/>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6"/>
    </w:lvl>
  </w:abstractNum>
  <w:abstractNum w:abstractNumId="53">
    <w:nsid w:val="47398C89"/>
    <w:multiLevelType w:val="hybridMultilevel"/>
    <w:lvl w:ilvl="0">
      <w:lvlJc w:val="left"/>
      <w:lvlText w:val="%1."/>
      <w:numFmt w:val="decimal"/>
      <w:start w:val="13"/>
    </w:lvl>
  </w:abstractNum>
  <w:abstractNum w:abstractNumId="54">
    <w:nsid w:val="354FE9F9"/>
    <w:multiLevelType w:val="hybridMultilevel"/>
    <w:lvl w:ilvl="0">
      <w:lvlJc w:val="left"/>
      <w:lvlText w:val="%1."/>
      <w:numFmt w:val="decimal"/>
      <w:start w:val="14"/>
    </w:lvl>
  </w:abstractNum>
  <w:abstractNum w:abstractNumId="55">
    <w:nsid w:val="15B5AF5C"/>
    <w:multiLevelType w:val="hybridMultilevel"/>
    <w:lvl w:ilvl="0">
      <w:lvlJc w:val="left"/>
      <w:lvlText w:val="%1."/>
      <w:numFmt w:val="decimal"/>
      <w:start w:val="17"/>
    </w:lvl>
  </w:abstractNum>
  <w:abstractNum w:abstractNumId="56">
    <w:nsid w:val="741226BB"/>
    <w:multiLevelType w:val="hybridMultilevel"/>
    <w:lvl w:ilvl="0">
      <w:lvlJc w:val="left"/>
      <w:lvlText w:val="%1."/>
      <w:numFmt w:val="decimal"/>
      <w:start w:val="22"/>
    </w:lvl>
  </w:abstractNum>
  <w:abstractNum w:abstractNumId="57">
    <w:nsid w:val="D34B6A8"/>
    <w:multiLevelType w:val="hybridMultilevel"/>
    <w:lvl w:ilvl="0">
      <w:lvlJc w:val="left"/>
      <w:lvlText w:val="%1."/>
      <w:numFmt w:val="decimal"/>
      <w:start w:val="23"/>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24"/>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2026-06-01T05:58:11Z</dcterms:created>
  <dcterms:modified xsi:type="dcterms:W3CDTF">2026-06-01T05:58:11Z</dcterms:modified>
</cp:coreProperties>
</file>