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333-276504</w:t>
      </w:r>
    </w:p>
    <w:p>
      <w:pPr>
        <w:spacing w:after="0" w:line="28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114300</wp:posOffset>
            </wp:positionV>
            <wp:extent cx="123444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42,703,475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195580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covers the offer and resale by the selling stockholders identified in this prospectus or their donees, pledgees, assignees, transferees,</w:t>
      </w:r>
    </w:p>
    <w:p>
      <w:pPr>
        <w:spacing w:after="0" w:line="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distributees or other successors-in-interest (the “selling stockholders”) of up to an aggregate of 42,703,475 shares of our common stock, par value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$0.0001 per share, which consists of (i) up to 34,304,688 shares of common stock issued by us in a private placement on December 13, 2023 consisting</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of (a) 10,860,655 shares of our common stock (the “PIPE Shares”), (b) 547,241 shares of our common stock issuable upon the exercise of outstanding</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pre-funded warrants to purchase shares of our common stock held by certain selling stockholders (the “Pre-Funded Warrant Shares”), (c) 11,434,896</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our common stock issuable upon the exercise of outstanding common warrants to purchase shares of our common stock held by the selling</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(the “Series A Warrant Shares”) and (d) 11,434,896 shares of our common stock issuable upon the exercise of outstanding common</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to purchase shares of our common stock held by the selling stockholders (the “Series B Warrant Shares” and, together with the Pre-Funded</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 Shares and the Series A Warrant Shares, the “Warrant Shares”), and (ii) up to 8,398,787 shares of common stock pursuant to that certain</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Rights Agreement, dated May 7, 2018 (the “IRA”), between us and the selling securityholders granting such holders registration rights with</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such shares.</w:t>
      </w:r>
    </w:p>
    <w:p>
      <w:pPr>
        <w:spacing w:after="0" w:line="139" w:lineRule="exact"/>
        <w:rPr>
          <w:sz w:val="24"/>
          <w:szCs w:val="24"/>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are not selling any shares of common stock under this prospectus and will not receive any proceeds from the sale by the selling stockholders of such shares. We will, however, receive the net proceeds of any warrants exercised for cash.</w:t>
      </w:r>
    </w:p>
    <w:p>
      <w:pPr>
        <w:spacing w:after="0" w:line="94" w:lineRule="exact"/>
        <w:rPr>
          <w:sz w:val="24"/>
          <w:szCs w:val="24"/>
          <w:color w:val="auto"/>
        </w:rPr>
      </w:pPr>
    </w:p>
    <w:p>
      <w:pPr>
        <w:jc w:val="both"/>
        <w:ind w:left="120" w:right="260"/>
        <w:spacing w:after="0" w:line="289" w:lineRule="auto"/>
        <w:rPr>
          <w:sz w:val="20"/>
          <w:szCs w:val="20"/>
          <w:color w:val="auto"/>
        </w:rPr>
      </w:pPr>
      <w:r>
        <w:rPr>
          <w:rFonts w:ascii="Times New Roman" w:cs="Times New Roman" w:eastAsia="Times New Roman" w:hAnsi="Times New Roman"/>
          <w:sz w:val="17"/>
          <w:szCs w:val="17"/>
          <w:color w:val="auto"/>
        </w:rPr>
        <w:t>Sales of the shares by the selling stockholders may occur at fixed prices, at market prices prevailing at the time of sale, at prices related to prevailing market prices or at negotiated prices. The selling stockholders may sell shares to or through underwriters, broker-dealers or agents, who may receive compensation in the form of discounts, concessions or commissions from the selling stockholders, the purchasers of the shares, or both.</w:t>
      </w:r>
    </w:p>
    <w:p>
      <w:pPr>
        <w:spacing w:after="0" w:line="77" w:lineRule="exact"/>
        <w:rPr>
          <w:sz w:val="24"/>
          <w:szCs w:val="24"/>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We are paying the cost of registering the shares of common stock covered by this prospectus as well as various related expenses. The selling stockholders are responsible for all broker or similar commissions related to the offer and sale of their shares.</w:t>
      </w:r>
    </w:p>
    <w:p>
      <w:pPr>
        <w:spacing w:after="0" w:line="94" w:lineRule="exact"/>
        <w:rPr>
          <w:sz w:val="24"/>
          <w:szCs w:val="24"/>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“INAB.” On January 17, 2024, the last reported sale price of our common stock was $1.52 per share.</w:t>
      </w:r>
    </w:p>
    <w:p>
      <w:pPr>
        <w:spacing w:after="0" w:line="94" w:lineRule="exact"/>
        <w:rPr>
          <w:sz w:val="24"/>
          <w:szCs w:val="24"/>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5" w:lineRule="exact"/>
        <w:rPr>
          <w:sz w:val="24"/>
          <w:szCs w:val="24"/>
          <w:color w:val="auto"/>
        </w:rPr>
      </w:pPr>
    </w:p>
    <w:p>
      <w:pPr>
        <w:ind w:left="120" w:right="8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7 of this prospectus and any similar section contained in any amendment or supplement to this prospectus or in any filing with the Securities and Exchange Commission that is incorporated by reference into this prospectus.</w:t>
      </w:r>
    </w:p>
    <w:p>
      <w:pPr>
        <w:spacing w:after="0" w:line="100" w:lineRule="exact"/>
        <w:rPr>
          <w:sz w:val="24"/>
          <w:szCs w:val="24"/>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146685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18, 2024.</w:t>
      </w:r>
    </w:p>
    <w:p>
      <w:pPr>
        <w:sectPr>
          <w:pgSz w:w="11900" w:h="16838" w:orient="portrait"/>
          <w:cols w:equalWidth="0" w:num="1">
            <w:col w:w="11060"/>
          </w:cols>
          <w:pgMar w:left="320" w:top="22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2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20" w:type="dxa"/>
            <w:vAlign w:val="bottom"/>
            <w:tcBorders>
              <w:top w:val="single" w:sz="8" w:color="0000EE"/>
            </w:tcBorders>
            <w:gridSpan w:val="2"/>
          </w:tcPr>
          <w:p>
            <w:pPr>
              <w:spacing w:after="0"/>
              <w:rPr>
                <w:sz w:val="17"/>
                <w:szCs w:val="17"/>
                <w:color w:val="auto"/>
              </w:rPr>
            </w:pPr>
          </w:p>
        </w:tc>
        <w:tc>
          <w:tcPr>
            <w:tcW w:w="592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4400" w:type="dxa"/>
            <w:vAlign w:val="bottom"/>
            <w:gridSpan w:val="8"/>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(“SEC”) using a “shelf” registration process under the Securities Act of 1933, as amended (“Securities Act”). Under this registration statement, the selling stockholders may sell from time to time in one or more offerings the common stock described in this prospectus.</w:t>
      </w:r>
    </w:p>
    <w:p>
      <w:pPr>
        <w:spacing w:after="0" w:line="176"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gamma-delta T cell product candidates for solid and liquid tumors. Gamma-delta T cells are a specialized population of T cells that possess unique properties. They are naturally occurring immune cells that can intrinsically differentiate between healthy and diseased tissue. These cells serve as a functional bridge between innate and adaptive immunity to contribute to direct tumor killing, as well as immune cell recruitment and activation to drive deeper and more comprehensive immune responses. The pivotal role of gamma-delta T cells in immune function and activation against diseases such as cancer underscores their therapeutic potential across a wide range of solid and hematologic malignancies. We develop ex vivo-expanded and activated gamma-delta T cell candidates based upon our deep expertise in gamma-delta T cell biology, proprietary genetic engineering, and cell-type specific manufacturing capabilities, which we refer to collectively as our DeltEx platform. Our platform employs allogeneic, autologous, induced pluripotent stem cell, and genetically modified cell therapy approaches that are designed to effectively identify and eradicate tumor cells. We are the most clinically advanced gamma-delta T cell focused cellular therapy company and are utilizing our suite of DeltEx platform technologies as we aspire to eliminate cancer cells to achieve our mission of what we refer to as Cancer Zero — the elimination of all cancer cells in every patient battling the disease. We believe this lofty aspiration will one day be achievable and that it is our responsibility to directly contribute to related global health efforts by pursuing scientific research that will advance cancer treatment.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20"/>
        <w:spacing w:after="0" w:line="254" w:lineRule="auto"/>
        <w:rPr>
          <w:sz w:val="20"/>
          <w:szCs w:val="20"/>
          <w:color w:val="auto"/>
        </w:rPr>
      </w:pPr>
      <w:r>
        <w:rPr>
          <w:rFonts w:ascii="Times New Roman" w:cs="Times New Roman" w:eastAsia="Times New Roman" w:hAnsi="Times New Roman"/>
          <w:sz w:val="18"/>
          <w:szCs w:val="18"/>
          <w:color w:val="auto"/>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5th Avenue, Suite 5330, New York, New York 10118, and our telephone number is (646) 600-6438. Our corporate website address is www.in8bio.com. Information contained on, or accessible through, our website is not a part of this prospectus. We have included our website in this prospectus solely as an inactive textual reference.</w:t>
      </w:r>
    </w:p>
    <w:p>
      <w:pPr>
        <w:spacing w:after="0" w:line="192" w:lineRule="exact"/>
        <w:rPr>
          <w:sz w:val="20"/>
          <w:szCs w:val="20"/>
          <w:color w:val="auto"/>
        </w:rPr>
      </w:pPr>
    </w:p>
    <w:p>
      <w:pPr>
        <w:ind w:left="300" w:right="560"/>
        <w:spacing w:after="0" w:line="282" w:lineRule="auto"/>
        <w:rPr>
          <w:sz w:val="20"/>
          <w:szCs w:val="20"/>
          <w:color w:val="auto"/>
        </w:rPr>
      </w:pPr>
      <w:r>
        <w:rPr>
          <w:rFonts w:ascii="Times New Roman" w:cs="Times New Roman" w:eastAsia="Times New Roman" w:hAnsi="Times New Roman"/>
          <w:sz w:val="18"/>
          <w:szCs w:val="18"/>
          <w:color w:val="auto"/>
        </w:rPr>
        <w:t>“IN8BIO,” “INEIGHTBIO,” the IN8BIO logo, DeltEx and other trademarks, trade names or service marks of IN8bio, Inc. appearing in this prospectus are the property of IN8bio, Inc.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(“EGC”), as defined in the Jumpstart Our Business Startups (“JOBS”) Act. As an EGC, we may take advantage of specified reduced disclosure and other requirements that</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76"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spacing w:after="0" w:line="187"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p>
    <w:p>
      <w:pPr>
        <w:spacing w:after="0" w:line="189" w:lineRule="exact"/>
        <w:rPr>
          <w:sz w:val="20"/>
          <w:szCs w:val="20"/>
          <w:color w:val="auto"/>
        </w:rPr>
      </w:pPr>
    </w:p>
    <w:p>
      <w:pPr>
        <w:ind w:left="300" w:right="200"/>
        <w:spacing w:after="0" w:line="281"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stock held by non-affiliates was less than $700 million at the closing of the initial public offering (“IPO”) and our annual revenue for 2021 was less than $100 million.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64"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jc w:val="both"/>
        <w:ind w:left="300" w:right="220"/>
        <w:spacing w:after="0" w:line="276" w:lineRule="auto"/>
        <w:rPr>
          <w:sz w:val="20"/>
          <w:szCs w:val="20"/>
          <w:color w:val="auto"/>
        </w:rPr>
      </w:pPr>
      <w:r>
        <w:rPr>
          <w:rFonts w:ascii="Times New Roman" w:cs="Times New Roman" w:eastAsia="Times New Roman" w:hAnsi="Times New Roman"/>
          <w:sz w:val="17"/>
          <w:szCs w:val="17"/>
          <w:color w:val="auto"/>
        </w:rPr>
        <w:t>On December 11, 2023, we entered into a Securities Purchase Agreement (the “Purchase Agreement”), pursuant to which we agreed to issue and sell the following securities to the selling stockholders in a private placement transaction (the “Private Placement”): (i) 10,860,655 PIPE Shares;</w:t>
      </w:r>
    </w:p>
    <w:p>
      <w:pPr>
        <w:spacing w:after="0" w:line="1" w:lineRule="exact"/>
        <w:rPr>
          <w:sz w:val="20"/>
          <w:szCs w:val="20"/>
          <w:color w:val="auto"/>
        </w:rPr>
      </w:pPr>
    </w:p>
    <w:p>
      <w:pPr>
        <w:ind w:left="300" w:right="140" w:hanging="2"/>
        <w:spacing w:after="0" w:line="251" w:lineRule="auto"/>
        <w:tabs>
          <w:tab w:leader="none" w:pos="5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certain selling stockholders, pre-funded warrants to purchase an aggregate of 547,241 Pre-Funded Warrant Shares (the “Pre-Funded Warrants”); (iii) common warrants to purchase 11,434,896 Series A Warrant Shares (the “Series A Warrants”); (iv) common warrants to purchase 11,434,896 Series B Warrant Shares (the “Series B Warrants” and, together with the Series A Warrants, the “Common Stock Warrants” and the Common Stock Warrants together with the Pre-Funded Warrants, the “Warrants”). In addition, certain of our directors and officers purchased 388,933 shares of our common stock, Series A common stock warrants to purchase 388,933 shares of our common stock and Series B common stock warrants to purchase 388,933 shares of our common stock in the Private Placement, none of which are included in this registration statement. The purchase price per share of common stock and accompanying common warrants was $1.22, and the purchase price per pre-funded warrant was $1.2199.</w:t>
      </w: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66" w:lineRule="auto"/>
        <w:rPr>
          <w:sz w:val="20"/>
          <w:szCs w:val="20"/>
          <w:color w:val="auto"/>
        </w:rPr>
      </w:pPr>
      <w:r>
        <w:rPr>
          <w:rFonts w:ascii="Times New Roman" w:cs="Times New Roman" w:eastAsia="Times New Roman" w:hAnsi="Times New Roman"/>
          <w:sz w:val="18"/>
          <w:szCs w:val="18"/>
          <w:color w:val="auto"/>
        </w:rPr>
        <w:t>Our total gross proceeds from the sale of securities in the Private Placement, before deducting commissions to the placement agent and estimated offering expenses, was approximately $14.4 million, which does not include any proceeds that may be received upon exercise of any warrants issued in the Private Placement. The closing of the Private Placement occurred on December 13, 2023.</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Pre-Funded Warrants have an exercise price of $0.0001 per share, are exercisable immediately and are exercisable until</w:t>
      </w:r>
    </w:p>
    <w:p>
      <w:pPr>
        <w:spacing w:after="0" w:line="27"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color w:val="auto"/>
        </w:rPr>
        <w:t>the Pre-Funded Warrant is exercised in full. In lieu of making the cash payment upon exercise of a Pre-Funded Warrant, the holder may elect instead to receive upon such exercise (either in whole or in part) the net number of shares of common stock determined according to a formula set forth in the Pre-Funded Warrants.</w:t>
      </w:r>
    </w:p>
    <w:p>
      <w:pPr>
        <w:spacing w:after="0" w:line="186"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The Series A Warrants are exercisable immediately and will expire on June 13, 2025. We have the option to cause the Series A Warrants to be exercised at a strike price of $1.25 per share upon our public announcement of INB-100 clinical data for the 10 currently enrolled patients, should they remain alive and evaluable, covering a period of at least 11 months, along with certain stock price and trading volume requirements.</w:t>
      </w:r>
    </w:p>
    <w:p>
      <w:pPr>
        <w:spacing w:after="0" w:line="176"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8"/>
          <w:szCs w:val="18"/>
          <w:color w:val="auto"/>
        </w:rPr>
        <w:t>The Series B Warrants are exercisable immediately and will expire on December 13, 2028. The Series B Warrants allow us to redeem such warrants at a price of $0.01 per share upon our public announcement of INB-100 data for all enrolled patients covering a period of at least 22 months, along with certain stock price and trading volume requirements. Holders of Class B Warrants may choose to exercise such warrants at a purchase price of $1.50 per share prior to such redemption.</w:t>
      </w:r>
    </w:p>
    <w:p>
      <w:pPr>
        <w:spacing w:after="0" w:line="180"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color w:val="auto"/>
        </w:rPr>
        <w:t>Under the terms of the Warrants, we may not give effect to the exercise of any such Warrant, and a holder will not be entitled to exercise any portion of any such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(the “Exchange Act”)) would exceed 4.99% of the number of shares of common stock outstanding immediately after giving effect to such exercise, which percentage may be increased or decreased at the holder’s election upon notice to us, up to 19.99%.</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jc w:val="both"/>
        <w:ind w:left="300" w:right="40"/>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(the “2023 RRA”) with the selling stockholders, pursuant to which we agreed to register for resale the PIPE Shares and the Warrant Shares (together, the “Registrable Securities”). Under the 2023 RRA, we agreed to file a registration statement covering the resale by the selling stockholders of their Registrable Securities no later than 30 days following the closing of the Private Placement, and to use commercially reasonable efforts to cause such registration statement to become effective as soon as reasonably practicable after filing and in any case not more than 30 days following the filing.</w:t>
      </w:r>
    </w:p>
    <w:p>
      <w:pPr>
        <w:spacing w:after="0" w:line="183" w:lineRule="exact"/>
        <w:rPr>
          <w:sz w:val="20"/>
          <w:szCs w:val="20"/>
          <w:color w:val="auto"/>
        </w:rPr>
      </w:pPr>
    </w:p>
    <w:p>
      <w:pPr>
        <w:ind w:left="30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more information regarding the Private Placement, see our Current Report on </w:t>
      </w:r>
      <w:hyperlink r:id="rId2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11, 2023 and incorporated herein by reference. The registration statement of which this prospectus forms a part is being filed in part to satisfy the requirements of the Registration Rights Agreement.</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387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8970" cy="38785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registering the resale by the selling stockholders an aggregate of 42,703, 475 shares of common stock, consisting of:</w:t>
      </w:r>
    </w:p>
    <w:p>
      <w:pPr>
        <w:spacing w:after="0" w:line="81" w:lineRule="exact"/>
        <w:rPr>
          <w:sz w:val="20"/>
          <w:szCs w:val="20"/>
          <w:color w:val="auto"/>
        </w:rPr>
      </w:pPr>
    </w:p>
    <w:p>
      <w:pPr>
        <w:sectPr>
          <w:pgSz w:w="11900" w:h="16838" w:orient="portrait"/>
          <w:cols w:equalWidth="0" w:num="2">
            <w:col w:w="3640" w:space="700"/>
            <w:col w:w="68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up to 10,860,655 PIPE Shares;</w:t>
            </w:r>
          </w:p>
        </w:tc>
      </w:tr>
      <w:tr>
        <w:trPr>
          <w:trHeight w:val="338"/>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up to 547,241 Pre-Funded Warrant Shares;</w:t>
            </w:r>
          </w:p>
        </w:tc>
      </w:tr>
      <w:tr>
        <w:trPr>
          <w:trHeight w:val="338"/>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up to 11,434,896 Series A Warrant Shares;</w:t>
            </w:r>
          </w:p>
        </w:tc>
      </w:tr>
      <w:tr>
        <w:trPr>
          <w:trHeight w:val="338"/>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up to 11,434,896 Series B Warrant Shares; and</w:t>
            </w:r>
          </w:p>
        </w:tc>
      </w:tr>
      <w:tr>
        <w:trPr>
          <w:trHeight w:val="338"/>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up to 8,398,787 shares of common stock pursuant to the IRA.</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of the offering</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offered in this prospectus, as described in “Plan of Distribution.”</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this prospectus. We will, however, receive the exercise price of (i) $0.0001 per share of any</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 the Pre-Funded Warrants, (ii) $1.25 per share of any of the Series A Warrants and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(iii) $1.50 per share of any of the Series B Warrants (if not otherwise redeemed by us</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pursuant to terms set forth in the Purchase Agreement), in each case exercised for cash.</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See “Risk Factors” on page 4 for a discussion of factors you should carefully consider</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before deciding to invest in our common stock.</w:t>
            </w:r>
          </w:p>
        </w:tc>
      </w:tr>
      <w:tr>
        <w:trPr>
          <w:trHeight w:val="45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ticker symbol</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“INAB”</w:t>
            </w:r>
          </w:p>
        </w:tc>
      </w:tr>
      <w:tr>
        <w:trPr>
          <w:trHeight w:val="172"/>
        </w:trPr>
        <w:tc>
          <w:tcPr>
            <w:tcW w:w="298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substantial doubt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abbreviated regulatory pathways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or in-license additional product candidates on reasonable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of such product candidates;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duration of our patent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markets we serve;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 liabilities thereunder;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recent bank closures, public health crises and geopolitical tensions, such as the Russia-Ukraine war, on our business, our industry and the economy;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contribute to eliminate cancer and achieve cancer-free status in any or all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impact our financial results;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any offering of securities.</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foregoing list of risks is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6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including statements regarding our future financial condition, business strategy and plans, and objectives of management for future operations, are forward-looking statements. In some cases, you can identify forward-looking statements by words such as “anticipate,” “believe,” “continue,” “could,” “design,” “estimate,” “expect,” “intend,” “may,” “plan,” “potentially,” “predict,” “should,” “will”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below section “Where You Can Find Additional Information.” Please also read carefully the above section “Special Note Regarding Forward-Looking Statements.”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shares of our common stock may be sold in the market following the effective date of the registration statement of which this prospectus form a part, which may depress the market price for our common stock.</w:t>
      </w:r>
    </w:p>
    <w:p>
      <w:pPr>
        <w:spacing w:after="0" w:line="5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the effective date of the registration statement of which this prospectus forms a part could cause the market price of our common stock to decline. A substantial majority of our outstanding common stock is, and the common stock offered hereby will be, freely tradable without restriction or further registration under the Securities Act.</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the net proceeds from the exercise of any Pre-Funded Warrants or Warrants for cash and may use them in ways with which you do not agree and in ways that may not enhance our operating results or the price of our common stock.</w:t>
      </w:r>
    </w:p>
    <w:p>
      <w:pPr>
        <w:spacing w:after="0" w:line="5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Our board of directors and management will have broad discretion over the application of the net proceeds that we receive from any exercise of Pre-Funded Warrants or Warrants for cash. We may spend or invest these proceeds in ways with which our stockholders disagree or that do not yield a favorable return, if at all. We intend to use the net proceeds from any exercise of Pre-Funded Warrants or Warrants for cash, together with our existing cash resources as described in “Use of Proceeds.” However, our use of these proceeds may differ substantially from our current plans. Failure by our management to apply these funds effectively could harm our business, results of operations, cash flows, financial condition and/or prospects. Pending use, we may invest the net proceeds from the offering in a manner that does not produce income or that loses value.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shares of our common stock beneficially owned by the selling stockholders pursuant to this prospectus. Upon any exercise of the Warrants for cash, the applicable selling stockholder would pay us the exercise price set forth in the applicable Warrant.</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Each Pre-Funded Warrant has an exercise price equal to $0.0001 per share, and if all 547,241 Pre-Funded Warrants are exercised on a cash basis, we will receive proceeds of approximately $55. Each Series A Warrant has an exercise price equal to $1.25 per share, and if all 11,434,896 Series A Warrants are exercised on a cash basis, we will receive proceeds of approximately $14.3 million. Each Series B Warrant has an exercise price equal to $1.50 per share, and if all 11,434,896 Series B Warrants are exercised on a cash basis, we will receive proceeds of approximately $17.2 million. We expect to use any such proceeds primarily to fund the clinical development of our product candidates and for general corporate purposes. The Pre-Funded Warrants are exercisable at any time after their original issuance on December 13, 2023 and will not expire until exercised in full. The Series A Warrants are exercisable at any time after their original issuance on December 13, 2023 and expire on June 13, 2025. The Series B Warrants are exercisable at any time after their original issuance on December 13, 2023 and expire on December 13, 2028.</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Pre-Funded Warrants are exercisable on a net exercise cashless basis. The Series A Warrants and the Series B Warrants are only exercisable on a net exercise cashless basis if there is no effective registration statement registering, or the prospectus contained therein is not available for the issuance of, the shares issuable upon exercise of such warrants. If any of the Warrants are exercised on a cashless basis, we would not receive any cash payment from the applicable selling stockholder upon any such exercise.</w:t>
      </w:r>
    </w:p>
    <w:p>
      <w:pPr>
        <w:spacing w:after="0" w:line="180"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shares of our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660"/>
        <w:spacing w:after="0" w:line="276" w:lineRule="auto"/>
        <w:rPr>
          <w:sz w:val="20"/>
          <w:szCs w:val="20"/>
          <w:color w:val="auto"/>
        </w:rPr>
      </w:pPr>
      <w:r>
        <w:rPr>
          <w:rFonts w:ascii="Times New Roman" w:cs="Times New Roman" w:eastAsia="Times New Roman" w:hAnsi="Times New Roman"/>
          <w:sz w:val="17"/>
          <w:szCs w:val="17"/>
          <w:color w:val="auto"/>
        </w:rPr>
        <w:t>The shares of common stock being offered by the selling stockholders include (i) shares of common stock issued by us in the Private Placement consisting of (a) the PIPE Shares, (b) the Pre-Funded Warrant Shares, (c) the Series A Warrant Shares and (d) the Series B Warrant Shares, and</w:t>
      </w:r>
    </w:p>
    <w:p>
      <w:pPr>
        <w:spacing w:after="0" w:line="1" w:lineRule="exact"/>
        <w:rPr>
          <w:sz w:val="20"/>
          <w:szCs w:val="20"/>
          <w:color w:val="auto"/>
        </w:rPr>
      </w:pPr>
    </w:p>
    <w:p>
      <w:pPr>
        <w:ind w:left="120" w:right="200" w:hanging="4"/>
        <w:spacing w:after="0" w:line="253" w:lineRule="auto"/>
        <w:tabs>
          <w:tab w:leader="none" w:pos="3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required to be registered pursuant to the IRA. For additional information regarding the issuance of the PIPE Shares and Warrants in connection with the Private Placement, see the section “Prospectus Summary—Private Placement” above. We are registering the resale of shares of common stock issued to the selling stockholders and issuable upon exercise of the Warrants in order to permit such selling stockholders to offer the shares for resale from time to time.</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or other successors-in-interest that receive shares in any non-sale transfer after the date of this prospectus. None of the seling stockholders or any persons having control over such selling stockholders has held any position or office with us or our affiliates within the last three years or has had a material relationship with us or any of our predecessors or affiliates within the past three years, other than as a result of the ownership of our shares or other securities, except that prior to our IPO on July 29, 2021, our director, Travis Whitfill, a former partner at Bios Equity Partners, LP, was a board of director designee selected by the Bios Entities. Upon completion of the IPO, this board designation right terminated.</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This information has been obtained from the selling stockholders or in Schedules 13G or 13D and other public documents filed with the SEC. The second column lists the number of shares of common stock beneficially owned by each selling stockholder, based on its ownership of shares of common stock, PIPE Shares and Warrants, as of January 1, 2024, assuming exercise of the Warrants held by the selling stockholders on that date, without regard to any limitations on exercises. The percentage of shares owned prior to and after the offering in the third and sixth columns are based on 43,287,325 shares of common stock outstanding as of January 1, 2024. The fourth column assumes the sale of all of the shares offered by the selling stockholders pursuant to this prospectus.</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2023 RRA, this prospectus covers the resale of the sum of (i) the PIPE Shares (ii) the maximum number of shares of common stock issuable upon exercise of the Warrants issued in the Private Placement. This maximum amount is determined as if the outstanding warrants were exercised in full as of the trading day immediately preceding the date this registration statement was initially filed with the SEC, subject to adjustment as provided in the 2023 RRA and without regard to any limitations on the exercise of the Warrants. 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19.99%, as applicable to each holder, of the number of shares of our common stock outstanding following such exercise (for purposes of the denominator, immediately after giving effect to the issuance of shares of common stock to be issued upon the applicable exercise of such warrant). The number of shares in the second and fifth columns do not reflect this limitation. The selling stockholders may sell all, some or none of their shares in this offering. See the section “Plan of Distribution.”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of the stockholders in the table below is c/o IN8bio, Inc., 350 5th Avenue, Suite 5330, New York, New York 10118.</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72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2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492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5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Bios Equity Entities</w:t>
            </w:r>
            <w:r>
              <w:rPr>
                <w:rFonts w:ascii="Times New Roman" w:cs="Times New Roman" w:eastAsia="Times New Roman" w:hAnsi="Times New Roman"/>
                <w:sz w:val="24"/>
                <w:szCs w:val="24"/>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10,121,510</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10,121,510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AIGH Investment Partners, LP</w:t>
            </w:r>
            <w:r>
              <w:rPr>
                <w:rFonts w:ascii="Times New Roman" w:cs="Times New Roman" w:eastAsia="Times New Roman" w:hAnsi="Times New Roman"/>
                <w:sz w:val="25"/>
                <w:szCs w:val="25"/>
                <w:color w:val="auto"/>
                <w:vertAlign w:val="superscript"/>
              </w:rPr>
              <w:t>(2)</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9,238,488</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9,238,488</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WVP Emerging Manager Onshore Fund, LLC –</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AIGH Series</w:t>
            </w:r>
            <w:r>
              <w:rPr>
                <w:rFonts w:ascii="Times New Roman" w:cs="Times New Roman" w:eastAsia="Times New Roman" w:hAnsi="Times New Roman"/>
                <w:sz w:val="26"/>
                <w:szCs w:val="26"/>
                <w:color w:val="auto"/>
                <w:vertAlign w:val="superscript"/>
              </w:rPr>
              <w:t>(3)</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2,401,356</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2,401,356</w:t>
            </w: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WVP Emerging Manager Onshore Fund, LLC –</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Optimized Equity Series</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655,239</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655,239</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Grant Ryan Fairbairn Revocable Trust</w:t>
            </w:r>
            <w:r>
              <w:rPr>
                <w:rFonts w:ascii="Times New Roman" w:cs="Times New Roman" w:eastAsia="Times New Roman" w:hAnsi="Times New Roman"/>
                <w:sz w:val="25"/>
                <w:szCs w:val="25"/>
                <w:color w:val="auto"/>
                <w:vertAlign w:val="superscript"/>
              </w:rPr>
              <w:t>(5)</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3,688,524</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3,688,524</w:t>
            </w: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The Nina Claire Fairbairn Revocable Trust</w:t>
            </w:r>
            <w:r>
              <w:rPr>
                <w:rFonts w:ascii="Times New Roman" w:cs="Times New Roman" w:eastAsia="Times New Roman" w:hAnsi="Times New Roman"/>
                <w:sz w:val="25"/>
                <w:szCs w:val="25"/>
                <w:color w:val="auto"/>
                <w:vertAlign w:val="superscript"/>
              </w:rPr>
              <w:t>(6)</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3,688,524</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3,688,524</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Puffin Partners, LP</w:t>
            </w:r>
            <w:r>
              <w:rPr>
                <w:rFonts w:ascii="Times New Roman" w:cs="Times New Roman" w:eastAsia="Times New Roman" w:hAnsi="Times New Roman"/>
                <w:sz w:val="25"/>
                <w:szCs w:val="25"/>
                <w:color w:val="auto"/>
                <w:vertAlign w:val="superscript"/>
              </w:rPr>
              <w:t>(7)</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4,180,326</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4,180,326</w:t>
            </w: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Montrose Investments Fund I, LP</w:t>
            </w:r>
            <w:r>
              <w:rPr>
                <w:rFonts w:ascii="Times New Roman" w:cs="Times New Roman" w:eastAsia="Times New Roman" w:hAnsi="Times New Roman"/>
                <w:sz w:val="25"/>
                <w:szCs w:val="25"/>
                <w:color w:val="auto"/>
                <w:vertAlign w:val="superscript"/>
              </w:rPr>
              <w:t>(8)</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1,967,214</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1,967,214</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Hewlett Fund LP</w:t>
            </w:r>
            <w:r>
              <w:rPr>
                <w:rFonts w:ascii="Times New Roman" w:cs="Times New Roman" w:eastAsia="Times New Roman" w:hAnsi="Times New Roman"/>
                <w:sz w:val="25"/>
                <w:szCs w:val="25"/>
                <w:color w:val="auto"/>
                <w:vertAlign w:val="superscript"/>
              </w:rPr>
              <w:t>(9)</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2,459,016</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2,459,016</w:t>
            </w: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(10)</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2,459,016</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2,459,016</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683 Capital Partners, LP</w:t>
            </w:r>
            <w:r>
              <w:rPr>
                <w:rFonts w:ascii="Times New Roman" w:cs="Times New Roman" w:eastAsia="Times New Roman" w:hAnsi="Times New Roman"/>
                <w:sz w:val="25"/>
                <w:szCs w:val="25"/>
                <w:color w:val="auto"/>
                <w:vertAlign w:val="superscript"/>
              </w:rPr>
              <w:t>(11)</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1,844,262</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1,844,262</w:t>
            </w: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51"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 574,432 shares of common stock directly held by Bios Fund II, LP (“Bios Fund II”), (b) 1,876,624 shares of common stock directly held by Bios Fund II QP, LP (“Bios Fund II QP”), (c) 251,211 shares of common stock directly held by Bios Fund II NT, LP (“Bios Fund II NT”), (d) 997,433 shares of common stock directly held by BIOS Incysus Co-Invest I, LP (“BIOS Incysus”), (e) 547,288 shares of common stock directly held by Bios Fund III, LP (“Bios Fund III”), (f) 3,574,534 shares of common stock directly held by Bios Fund III QP, LP (“Bios Fund III QP”), (g) 577,265 shares of common stock directly held by Bios Fund III NT, LP (“Bios Fund III NT”) and (ii) (a) 574,241 Pre-Funded Warrant Shares, (b) 574,241 Series A Warrant Shares and (c) 574,241 Series B Warrant Shares in each case purchased in the Private Placement by Bios Clinical Opportunity Fund, LP (“Bios COF Fund” and together with Bios Fund II, Bios Fund II QP, Bios Fund II NT, BIOS Incysus, Bios Fund III, Bios Fund III QP and Bios Fund III NT the “Bios Equity Entities”). Bios Equity Partners II, LP is the general partner of Bios Fund II, Bios Fund II QP and Bios Fund II NT (collectively, “Bios Equity II Entities”). Bios Equity Partners III, LP is the general partner of Bios Fund III, Bios Fund III QP and Bios Fund III NT (collectively, “Bios Equity III Entities”). Bios Equity COF, LP (“Bios Equity COF”) is the general partner of Bios COF Fund. Cavu Management, LP (“Cavu Management”) and Bios Capital Management, LP (“Bios Management”) are the general partners of Bios Equity I, Bios Equity II and Bios Equity III and Bios Management is the general partner of Bios Equity COF. Cavu Advisors, LLC (“Cavu Advisors”) an entity controlled by Leslie Wayne Kreis, Jr. is the general partner of Cavu Management. Bios Advisors GP, LLC, an entity controlled by Aaron Glenn Louis Fletcher, Ph.D., is the general partner of Bios Management. Due to the foregoing relationships, Bios Equity I, Bios Equity II, Bios Equity III, Bios Equity COF, Cavu Management, Bios Management, Cavu Advisors, Bios Advisors, Mr. Kreis and Dr. Fletcher may be deemed to have shared voting and/or dispositive power with respect to Shares directly or indirectly held by the Bios Equity II Entities, the Bios Equity III and Bios COF Fund. The address of each of the Bios Equity Entities is 1751 River Run, Suite 400, Fort Worth, Texas 76107.</w:t>
      </w:r>
    </w:p>
    <w:p>
      <w:pPr>
        <w:spacing w:after="0" w:line="9" w:lineRule="exact"/>
        <w:rPr>
          <w:rFonts w:ascii="Times New Roman" w:cs="Times New Roman" w:eastAsia="Times New Roman" w:hAnsi="Times New Roman"/>
          <w:sz w:val="18"/>
          <w:szCs w:val="18"/>
          <w:color w:val="auto"/>
        </w:rPr>
      </w:pPr>
    </w:p>
    <w:p>
      <w:pPr>
        <w:ind w:left="540" w:right="120" w:hanging="424"/>
        <w:spacing w:after="0" w:line="26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3,079,496 PIPE Shares, (ii) 3,079,496 Series A Warrant Shares (iii) 3,079,496 Series B Warrant Shares, in each case purchased in the Private Placement. The warrants held by AIGH Investment Partners, LP prohibit the exercise thereof if, after giving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253" w:lineRule="auto"/>
        <w:rPr>
          <w:sz w:val="20"/>
          <w:szCs w:val="20"/>
          <w:color w:val="auto"/>
        </w:rPr>
      </w:pPr>
      <w:r>
        <w:rPr>
          <w:rFonts w:ascii="Times New Roman" w:cs="Times New Roman" w:eastAsia="Times New Roman" w:hAnsi="Times New Roman"/>
          <w:sz w:val="18"/>
          <w:szCs w:val="18"/>
          <w:color w:val="auto"/>
        </w:rPr>
        <w:t>effect to such exercise, the beneficial ownership of AIGH Investment Partners, LP and its affiliates and any person whose beneficial ownership would be attributable to such entities, would exceed 9.99%. Mr. Orin Hirschman is the managing member of AIGH Capital Management, LLC, a Maryland limited liability company (“AIGH CM”), who is an advisor with respect to the securities held by AIGH Investment Partners, L.P. (“AIGH LP”). Mr. Hirschman has voting and investment control over the securities indirectly held by AIGH CM, directly held by AIGH IP and directly held by Mr. Hirschman and his family. The address for AIGH CM, AIGH LP and Mr. Hirschman is 6006 Berkeley Avenue, Baltimore, Maryland 21209.</w:t>
      </w:r>
    </w:p>
    <w:p>
      <w:pPr>
        <w:spacing w:after="0" w:line="5" w:lineRule="exact"/>
        <w:rPr>
          <w:sz w:val="20"/>
          <w:szCs w:val="20"/>
          <w:color w:val="auto"/>
        </w:rPr>
      </w:pPr>
    </w:p>
    <w:p>
      <w:pPr>
        <w:ind w:left="540" w:right="2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800,452 PIPE Shares, (ii) 800,452 Series A Warrant Shares and (iii) 800,452 Series B Warrant Shares, in each case purchased in the Private Placement. The warrants held by WVP Emerging Manager Onshore Fund, LLC – AIGH Series prohibit the exercise thereof if, after giving effect to such exercise, the beneficial ownership of WVP Emerging Manager Onshore Fund, LLC – AIGH Series and its affiliates and any person whose beneficial ownership would be attributable to such entities, would exceed 9.99%. Mr. Orin Hirschman is the managing member of AIGH CM, who is a sub-advisor with respect to the securities held by WVP Emerging Manager Onshore Fund, LLC—AIGH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218,413 PIPE Shares, (ii) 218,413 Series A Warrant Shares and (iii) 218,413 Series B Warrant Shares, in each case purchased in the Private Placement. The warrants held by WVP Emerging Manager Onshore Fund, LLC – Optimized Equity Series prohibit the exercise thereof if, after giving effect to such exercise, the beneficial ownership of WVP Emerging Manager Onshore Fund, LLC – Optimized Equity Series and its affiliates and any person whose beneficial ownership would be attributable to such entities, would exceed 9.99%. Mr. Orin Hirschman is the managing member of AIGH CM, who is a sub-advisor with respect to the securities held by WVP Emerging Manager Onshore Fund, LLC— Optimized Equity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1,229,508 PIPE Shares, (ii) 1,229,508 Series A Warrant Shares and (iii) 1,229,508 Series B Warrant Shares, in each case purchased in the Private Placement. The address of The Grant Ryan Fairbairn Revocable Trust is 3826 Happy Valley Rd., Lafayette, CA 94549.</w:t>
      </w:r>
    </w:p>
    <w:p>
      <w:pPr>
        <w:ind w:left="540" w:right="6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1,229,508 PIPE Shares, (ii) 1,229,508 Series A Warrant Shares and (iii) 1,229,508 Series B Warrant Shares, in each case purchased in the Private Placement. The address of The Nina Claire Fairbairn Revocable Trust is 3826 Happy Valley Rd., Lafayette, CA 94549.</w:t>
      </w:r>
    </w:p>
    <w:p>
      <w:pPr>
        <w:ind w:left="540" w:right="2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1,393,442 PIPE Shares, (ii) 1,393,442 Series A Warrant Shares and (iii) 1,393,442 Series B Warrant Shares, in each case purchased in the Private Placement. The warrants held by Puffin Partners, LP prohibit the exercise thereof if, after giving effect to such exercise, the beneficial ownership of Puffin Partners, LP and its affiliates and any person whose beneficial ownership would be attributable to such entities, would exceed 4.99%. Charles E. Gale and William E. Rose are the co-managers of Puffin Partners, LP and have shared voting and dispositive power with respect to the PIPE Shares and Warrants held by Puffin Partners, LP. The address of Puffin Partners, LP is 4215 W Lovers Lane, Suite 200, Dallas, TX 75209.</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655,738 PIPE Shares, (ii) 655,738 Series A Warrant Shares and (iii) 655,738 Series B Warrant Shares, in each case purchased in the Private Placement. The warrants held by Montrose Investments Fund I, LP prohibit the exercise thereof if, after giving effect to such exercise, the beneficial ownership of Montrose Investments Fund I, LP and its affiliates and any person whose beneficial ownership would be attributable to such entities, would exceed 4.99%. William E. Rose is the sole manager of Montrose Investments Fund I, LP and has voting and dispositive power with respect to the shares of common stock and Warrants held by Montrose Investments Fund I, LP. The address of Montrose Investments Fund I, LP is 4215 W Lovers Lane, Suite 200, Dallas, TX 75209.</w:t>
      </w:r>
    </w:p>
    <w:p>
      <w:pPr>
        <w:spacing w:after="0" w:line="2"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819,672 PIPE Shares, (ii) 819,672 Series A Warrant Shares and (iii) 819,672 Series B Warrant Shares, in each case purchased in the Private Placement. Martin Chopp has voting and investment control over the securities held by The Hewlett Fund LP. The address of The Hewlett Fund LP is 100 Merrick Road, Suite 400W, Rockville Centre, NY 11570.</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68" w:lineRule="auto"/>
        <w:tabs>
          <w:tab w:leader="none" w:pos="5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819,672 PIPE Shares, (ii) 819,672 Series A Warrant Shares and (iii) 819,672 Series B Warrant Shares, in each case purchased in the Private Placement.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4" w:lineRule="exact"/>
        <w:rPr>
          <w:rFonts w:ascii="Times New Roman" w:cs="Times New Roman" w:eastAsia="Times New Roman" w:hAnsi="Times New Roman"/>
          <w:sz w:val="17"/>
          <w:szCs w:val="17"/>
          <w:color w:val="auto"/>
        </w:rPr>
      </w:pPr>
    </w:p>
    <w:p>
      <w:pPr>
        <w:ind w:left="540" w:right="120" w:hanging="424"/>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614,754 PIPE Shares, (ii) 614,754 Series A Warrant Shares and (iii) 614,754 Series B Warrant Shares, in each case purchased in the Private Placement. The shares and warrants held by 683 Capital Partners, LP are indirectly held by 683 Capital Management, LLC and Ari Zweiman, the managing member of 683 Capital Management, LLC. 683 Capital Management, LLC, 683 Capital Partners, LP and Mr. Zweiman share voting and dispositive power with respect to the shares and warrants held by 683 Capital Partners, LP. The address of 683 Capital Partners, LP is 1700 Broadway, Suite 4200, New York, NY 10019.</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of their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one or more of the following methods when disposing of the shares or interests therein:</w:t>
      </w:r>
    </w:p>
    <w:p>
      <w:pPr>
        <w:spacing w:after="0" w:line="8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or dealers that may act solely as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disposition;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or Rule 904 under the Securities Act, if available, or Section 4(a)(1) under the Securities Act, rather than under this prospectus.</w:t>
      </w:r>
    </w:p>
    <w:p>
      <w:pPr>
        <w:spacing w:after="0" w:line="162"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158"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shares of common stock from time to time under this prospectus, or under a supplement or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6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shares of common stock were sold, (iv) the commissions paid or discounts or concessions allowed to such broker-dealer(s), where applicable,</w:t>
      </w:r>
    </w:p>
    <w:p>
      <w:pPr>
        <w:spacing w:after="0" w:line="27" w:lineRule="exact"/>
        <w:rPr>
          <w:sz w:val="20"/>
          <w:szCs w:val="20"/>
          <w:color w:val="auto"/>
        </w:rPr>
      </w:pPr>
    </w:p>
    <w:p>
      <w:pPr>
        <w:ind w:left="380" w:hanging="264"/>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broker-dealer(s) did not conduct any investigation to verify the information set out or incorporated by reference in this prospectus, and</w:t>
      </w:r>
    </w:p>
    <w:p>
      <w:pPr>
        <w:spacing w:after="0" w:line="9" w:lineRule="exact"/>
        <w:rPr>
          <w:rFonts w:ascii="Times New Roman" w:cs="Times New Roman" w:eastAsia="Times New Roman" w:hAnsi="Times New Roman"/>
          <w:sz w:val="18"/>
          <w:szCs w:val="18"/>
          <w:color w:val="auto"/>
        </w:rPr>
      </w:pPr>
    </w:p>
    <w:p>
      <w:pPr>
        <w:ind w:left="120" w:right="380" w:hanging="4"/>
        <w:spacing w:after="0" w:line="290" w:lineRule="auto"/>
        <w:tabs>
          <w:tab w:leader="none" w:pos="42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facts material to the transaction. In addition, upon being notified in writing by a selling stockholder that a donee or pledgee intends to sell more than 500 shares of common stock, we will file a supplement to this prospectus if then required in accordance with applicable securities law.</w:t>
      </w:r>
    </w:p>
    <w:p>
      <w:pPr>
        <w:spacing w:after="0" w:line="157"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transfer the shares of common stock in other circumstances, in which case the transferees, pledgees or other successors in interest will be the selling beneficial owners for purposes of this prospectus.</w:t>
      </w:r>
    </w:p>
    <w:p>
      <w:pPr>
        <w:spacing w:after="0" w:line="16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shares of common stock or interests in shares of common stock, the selling stockholders may enter into hedging transactions with broker-dealers or other financial institutions, which may in turn engage in short sales of the common stock in the course of hedging the positions they assume. The selling stockholders may also sell shares of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shares may be deemed to be “underwriters” within the meaning of the Securities Act in connection with such sales. In such event, any profits realized by such selling stockholders or compensation received by such broker-dealers or agents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have advised the selling stockholders that they are required to comply with Regulation M promulgated under the Exchange Act during such time as they may be engaged in a distribution of the shares. The foregoing may affect the marketability of the common stock.</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shares. We have agreed to indemnify the selling stockholders against certain losses, claims, damages and liabilities, including liabilities under the Securities Act or otherwise.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agreed with the selling stockholders who purchased securities in the Private Placement to keep the registration statement of which this prospectus constitutes a part effective until the earlier of (a) such time as all of the shares covered by this prospectus have been disposed of pursuant to and in accordance with the registration statement and (b) such time as none of the shares covered by this prospectus constitute “registrable securities,” as such term is defined in the registration rights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Cooley LLP, New York, New York, will pass upon the validity of the securities offered by this prospectus and any supplement thereto. As of the date of this prospectus, partners of Cooley LLP and GC&amp;H Investments and GC&amp;H Investments, LLC, each an entity that is comprised of partners and associates of Cooley LLP, beneficially own an aggregate of 173,937 shares of our common stock. Additional legal matters may be passed upon for us or any underwriters, dealers or agents, by counsel that we name in the applicable prospectus supplement.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financial statements of IN8bio, Inc. for the years ended December 31, 2021 and 2022 have been audited by CohnReznick LLP, independent registered public accounting firm, as forth in their report thereon appearing in IN8bio Inc.’s Annual Report on Form 10-K for the year ended December 31, 2022, and incorporated by reference herein. Such financial statements are incorporated by reference herein in reliance upon such report, which includes an explanatory paragraph on IN8bio, Inc.’s ability to continue as a going concern, given on the authority of such firm as experts in accounting and auditing.</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These filings will be available as soon as reasonably practicable after we electronically file such material with, or furnish it to, the SEC. Our website address is </w:t>
      </w:r>
      <w:r>
        <w:rPr>
          <w:rFonts w:ascii="Times New Roman" w:cs="Times New Roman" w:eastAsia="Times New Roman" w:hAnsi="Times New Roman"/>
          <w:sz w:val="18"/>
          <w:szCs w:val="18"/>
          <w:i w:val="1"/>
          <w:iCs w:val="1"/>
          <w:color w:val="auto"/>
        </w:rPr>
        <w:t>www.in8bio.com</w:t>
      </w:r>
      <w:r>
        <w:rPr>
          <w:rFonts w:ascii="Times New Roman" w:cs="Times New Roman" w:eastAsia="Times New Roman" w:hAnsi="Times New Roman"/>
          <w:sz w:val="18"/>
          <w:szCs w:val="18"/>
          <w:color w:val="auto"/>
        </w:rPr>
        <w:t>.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001-39692):</w:t>
      </w:r>
    </w:p>
    <w:p>
      <w:pPr>
        <w:spacing w:after="0" w:line="93"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March 30, 2023;</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May 1, 2023 (excluding those portions that are not incorporated by reference into 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filed with the SEC on </w:t>
      </w:r>
      <w:hyperlink r:id="rId40">
        <w:r>
          <w:rPr>
            <w:rFonts w:ascii="Times New Roman" w:cs="Times New Roman" w:eastAsia="Times New Roman" w:hAnsi="Times New Roman"/>
            <w:sz w:val="18"/>
            <w:szCs w:val="18"/>
            <w:u w:val="single" w:color="auto"/>
            <w:color w:val="0000EE"/>
          </w:rPr>
          <w:t>May 12,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80" w:hanging="424"/>
        <w:spacing w:after="0" w:line="266" w:lineRule="auto"/>
        <w:tabs>
          <w:tab w:leader="none" w:pos="1080" w:val="left"/>
        </w:tabs>
        <w:numPr>
          <w:ilvl w:val="0"/>
          <w:numId w:val="9"/>
        </w:numPr>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May 17, 2023</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June 5, 2023</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June 16, 2023</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October 12, 2023</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November 20, 2023</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December 7, 2023</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 xml:space="preserve">December 11,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December 11,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0000EE"/>
        </w:rPr>
      </w:pPr>
    </w:p>
    <w:p>
      <w:pPr>
        <w:ind w:left="1080" w:right="4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November 10, 2020,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0000EE"/>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0000EE"/>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0000EE"/>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IN8bio, Inc., Attn: Patrick McCall, Corporate Secretary, 350 5th Avenue, Suite 5330, New York, New York 10118; telephone: (646) 600-6438.</w:t>
      </w:r>
    </w:p>
    <w:p>
      <w:pPr>
        <w:spacing w:after="0" w:line="112"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1912620</wp:posOffset>
            </wp:positionV>
            <wp:extent cx="2545715" cy="994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2545715" cy="9944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42,703,475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418465</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January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1614170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1682750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2"/>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5"/>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jpe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20" Type="http://schemas.openxmlformats.org/officeDocument/2006/relationships/hyperlink" Target="http://www.sec.gov/ix?doc=/Archives/edgar/data/1740279/000119312523292706/d634758d8k.htm" TargetMode="External"/><Relationship Id="rId37" Type="http://schemas.openxmlformats.org/officeDocument/2006/relationships/hyperlink" Target="http://www.sec.gov/ix?doc=/Archives/edgar/data/1740279/000095017023010997/inab-20221231.htm" TargetMode="External"/><Relationship Id="rId38" Type="http://schemas.openxmlformats.org/officeDocument/2006/relationships/hyperlink" Target="http://www.sec.gov/Archives/edgar/data/1740279/000119312523130371/d435988ddef14a.htm" TargetMode="External"/><Relationship Id="rId39" Type="http://schemas.openxmlformats.org/officeDocument/2006/relationships/hyperlink" Target="http://www.sec.gov/ix?doc=/Archives/edgar/data/0001740279/000095017023010997/inab-20221231.htm" TargetMode="External"/><Relationship Id="rId40" Type="http://schemas.openxmlformats.org/officeDocument/2006/relationships/hyperlink" Target="http://www.sec.gov/ix?doc=/Archives/edgar/data/1740279/000095017023021507/inab-20230331.htm" TargetMode="External"/><Relationship Id="rId41" Type="http://schemas.openxmlformats.org/officeDocument/2006/relationships/hyperlink" Target="http://www.sec.gov/ix?doc=/Archives/edgar/data/1740279/000095017023041482/inab-20230630.htm" TargetMode="External"/><Relationship Id="rId42" Type="http://schemas.openxmlformats.org/officeDocument/2006/relationships/hyperlink" Target="http://www.sec.gov/ix?doc=/Archives/edgar/data/1740279/000095017023062018/inab-20230930.htm" TargetMode="External"/><Relationship Id="rId43" Type="http://schemas.openxmlformats.org/officeDocument/2006/relationships/hyperlink" Target="http://www.sec.gov/ix?doc=/Archives/edgar/data/1740279/000119312523130432/d467270d8k.htm" TargetMode="External"/><Relationship Id="rId44" Type="http://schemas.openxmlformats.org/officeDocument/2006/relationships/hyperlink" Target="http://www.sec.gov/ix?doc=/Archives/edgar/data/1740279/000119312523146576/d477840d8k.htm" TargetMode="External"/><Relationship Id="rId45" Type="http://schemas.openxmlformats.org/officeDocument/2006/relationships/hyperlink" Target="http://www.sec.gov/ix?doc=/Archives/edgar/data/1740279/000119312523160340/d447037d8k.htm" TargetMode="External"/><Relationship Id="rId46" Type="http://schemas.openxmlformats.org/officeDocument/2006/relationships/hyperlink" Target="http://www.sec.gov/ix?doc=/Archives/edgar/data/1740279/000119312523169011/d503160d8k.htm" TargetMode="External"/><Relationship Id="rId47" Type="http://schemas.openxmlformats.org/officeDocument/2006/relationships/hyperlink" Target="http://www.sec.gov/ix?doc=/Archives/edgar/data/0001740279/000119312523254659/d535806d8k.htm" TargetMode="External"/><Relationship Id="rId48" Type="http://schemas.openxmlformats.org/officeDocument/2006/relationships/hyperlink" Target="http://www.sec.gov/ix?doc=/Archives/edgar/data/1740279/000119312523280283/d900996d8k.htm" TargetMode="External"/><Relationship Id="rId49" Type="http://schemas.openxmlformats.org/officeDocument/2006/relationships/hyperlink" Target="http://www.sec.gov/ix?doc=/Archives/edgar/data/1740279/000119312523290707/d634027d8k.htm" TargetMode="External"/><Relationship Id="rId50" Type="http://schemas.openxmlformats.org/officeDocument/2006/relationships/hyperlink" Target="http://www.sec.gov/ix?doc=/Archives/edgar/data/1740279/000119312523292121/d747940d8k.htm" TargetMode="External"/><Relationship Id="rId51" Type="http://schemas.openxmlformats.org/officeDocument/2006/relationships/hyperlink" Target="http://www.sec.gov/Archives/edgar/data/1740279/000110465920123356/tm2030088d15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2024-01-18T15:40:46Z</dcterms:created>
  <dcterms:modified xsi:type="dcterms:W3CDTF">2024-01-18T15:40:46Z</dcterms:modified>
</cp:coreProperties>
</file>