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IN8bio,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45674E 109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Bios Equity Partners,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1751 River Run, Suite 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Texas 76107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(817) 984-9197</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Rick Jordan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Polsinelli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2950 N. Harwood St., Suite 2100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(214) 397-0030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13,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574,432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574,432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574,432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right="20" w:firstLine="8"/>
        <w:spacing w:after="0" w:line="282"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574,432 outstanding shares of common stock of the Issuer, par value $0.0001 per share (“Shares”), directly held by Bios Fund II, LP (“Bios Fund II”) as of the date hereof.</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11,249,588 Shares issued in connection with a private placement that closed on December 13, 2023 (the “PIPE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 QP,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1,876,624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1,876,624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1,876,624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00" w:hanging="959"/>
        <w:spacing w:after="0" w:line="282" w:lineRule="auto"/>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1,876,624 Shares directly held by Bios Fund II QP, LP (“Bios Fund II QP”)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 w:name="page4"/>
    <w:bookmarkEnd w:id="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 NT,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251,211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251,211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251,211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0.6%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251,211 Shares directly held by Bios Fund II NT, LP (“Bios Fund II NT”)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jc w:val="both"/>
        <w:ind w:left="1640" w:right="6940" w:hanging="914"/>
        <w:spacing w:after="0" w:line="293" w:lineRule="auto"/>
        <w:tabs>
          <w:tab w:leader="none" w:pos="161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INCYSUS CO-INVEST I,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997,433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997,433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997,433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997,433 Shares directly held by BIOS Incysus Co-Invest I, LP (“BIOS Incysus”)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 w:name="page6"/>
    <w:bookmarkEnd w:id="5"/>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III,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570,724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570,724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570,724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570,724 Shares directly held by Bios Fund III, LP (“Bios Fund III”)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III QP,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3,727,597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3,727,597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3,727,597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8.6%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3,727,597 Shares directly held by Bios Fund III QP, LP (“Bios Fund III QP”)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FUND III NT,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601,980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601,980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601,980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601,980 Shares directly held by Bios Fund III NT, LP (“Bios Fund III NT”) as of the date hereof.</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20" w:hanging="894"/>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BIOS CLINICAL OPPORTUNITY FUND, LP</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4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1,722,723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1,722,723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1,722,723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ind w:right="20" w:firstLine="8"/>
        <w:spacing w:after="0" w:line="282"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1,722,723 Shares issuable upon the exercise of warrants directly held by Bios Clinical Opportunity Fund, LP (“Bios COF Fund”) as of the date hereof (the “Bios COF Warrants”). All of the Bios COF Warrants are exercisable as of the date hereof.</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44,963,441 Shares, which consists of (i) 31,991,130 Shares outstanding as of November 6, 2023, as reported in the Issuer’s Quarterly Report on Form 10-Q filed with the Securities and Exchange Commission on November 9, 2023, (ii) the PIPE Shares and (iii) 1,722,723 Shares issuable upon exercise of the Bios COF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BP DIRECTORS,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OO</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93,441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93,441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93,441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0.2%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58"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93,441 Shares issuable upon exercise of options granted in consideration for Travis Whitfill’s services as a director of the Issuer, which are exercisable or will be immediately exercisable within 60 days of the date hereof (the “Bios Directors Options”). Pursuant to an agreement with BP Directors, LP (“Bios Directors”), Mr. Whitfill has agreed that he will hold certain equity-based awards granted to him in connection with his services as a director of the Issuer (including the Bios Directors Options) merely as a nominee for Bios Directors. Mr. Whitfill is not currently an affiliate of any of the Reporting Persons.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43,334,159 Shares, which consists of (i) 31,991,130 Shares outstanding as of November 6, 2023, as reported in the Issuer’s Quarterly Report on Form 10-Q filed with the Securities and Exchange Commission on November 9, 2023, (ii) the PIPE Shares and (iii) 93,441 Shares issuable upon exercise of the Bios Directors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7157720" cy="4389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EQUITY PARTNERS,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93,441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93,441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93,441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0.2%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93,441 Shares issuable upon exercise of the Bios Directors Options. Bios Equity Partners, LP (“Bios Equity I”) is the general partner of Bios Directors. In its capacity as the general partner of Bios Directors, Bios Equity I may be deemed to have shared voting and/or dispositive power with respect to Shares directly or indirectly held by Bios Directors.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43,334,159 Shares, which consists of (i) 31,991,130 Shares outstanding as of November 6, 2023, as reported in the Issuer’s Quarterly Report on Form 10-Q filed with the Securities and Exchange Commission on November 9, 2023, (ii) the PIPE Shares and (iii) 93,441 Shares issuable upon exercise of the Bios Directors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EQUITY PARTNERS II,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3,699,700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3,699,700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3,699,700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8.6%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574,432 Shares directly held by Bios Fund II, (ii) 1,876,624 Shares directly held by Bios Fund II QP, (iii) 251,211 Shares directly held by Bios Fund II NT and (iv) 997,433 Shares directly held by BIOS Incysus, in each case, as of the date hereof. Bios Equity Partners II, LP (“Bios Equity II”) is the general partner of Bios Fund II, Bios Fund II QP, Bios Fund II NT and BIOS Incysus. In its capacity as the general partner of these entities, Bios Equity II may be deemed to have shared voting and/or dispositive power with respect to Shares directly or indirectly held by these entities.</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EQUITY PARTNERS III,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4,900,301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4,900,301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4,900,301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11.3%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61"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570,724 Shares directly held by Bios Fund III, (ii) 3,727,597 Shares directly held by Bios Fund III QP and (iii) 601,980 Shares directly held by Bios Fund III NT, in each case, as of the date hereof. Bios Equity Partners III, LP (“Bios Equity III”) is the general partner of Bios Fund III, Bios Fund III QP and Bios Fund III NT. In its capacity as the general partner of these entities, Bios Equity III may be deemed to have shared voting and/or dispositive power with respect to Shares directly or indirectly held by these entities.</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43,240,718 Shares, which consists of (i) 31,991,130 Shares outstanding as of November 6, 2023, as reported in the Issuer’s Quarterly Report on Form 10-Q filed with the Securities and Exchange Commission on November 9, 2023, and (ii) the PIPE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76" w:lineRule="auto"/>
        <w:tabs>
          <w:tab w:leader="none" w:pos="16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BIOS EQUITY COF, LP</w:t>
      </w:r>
    </w:p>
    <w:tbl>
      <w:tblPr>
        <w:tblLayout w:type="fixed"/>
        <w:tblInd w:w="20" w:type="dxa"/>
        <w:tblCellMar>
          <w:top w:w="0" w:type="dxa"/>
          <w:left w:w="0" w:type="dxa"/>
          <w:bottom w:w="0" w:type="dxa"/>
          <w:right w:w="0" w:type="dxa"/>
        </w:tblCellMar>
      </w:tblPr>
      <w:tr>
        <w:trPr>
          <w:trHeight w:val="184"/>
        </w:trPr>
        <w:tc>
          <w:tcPr>
            <w:tcW w:w="1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1,722,723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1,722,723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1,722,723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66" w:lineRule="auto"/>
        <w:tabs>
          <w:tab w:leader="none" w:pos="2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1,722,723 Shares issuable upon the exercise of the Bios COF Warrants directly held by Bios COF Fund. Bios Equity COF, LP (“Bios Equity COF”) is the general partner of Bios COF Fund. In its capacity as the general partner of Bios COF Fund, Bios Equity COF may be deemed to have shared voting and/or dispositive power with respect to Shares directly or indirectly held by Bios COF Fund.</w:t>
      </w:r>
    </w:p>
    <w:p>
      <w:pPr>
        <w:spacing w:after="0" w:line="175"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44,963,441 Shares, which consists of (i) 31,991,130 Shares outstanding as of November 6, 2023, as reported in the Issuer’s Quarterly Report on Form 10-Q filed with the Securities and Exchange Commission on November 9, 2023, (ii) the PIPE Shares and (iii) 1,722,723 Shares issuable upon exercise of the Bios COF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 w:name="page15"/>
    <w:bookmarkEnd w:id="14"/>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CAVU MANAGEMENT,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8,693,442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and (viii) 601,980 Shares directly held by Bios Fund III NT, in each case, as of the date hereof. Bios Equity Partners I is the general partner of Bios Directors. Bios Equity Partners II is the general partner of Bios Fund II, Bios Fund II QP and Bios Fund II NT (collectively the “Bios Equity II Entities”). Bios Equity Partners III is the general partner of Bios Fund III, Bios Fund III QP and Bios Fund III NT (collectively the “Bios Equity III Entities”). Cavu Management, LP (“Cavu Management”) is a general partner of Bios Equity I, Bios Equity II and Bios Equity III. In its capacity as a general partner of Bios Equity I, Bios Equity II and Bios Equity III, Cavu Management may be deemed to have shared voting and/or dispositive power with respect to Shares directly or indirectly held by Bios Directors, the Bios Equity II Entities and the Bios Equity III Entities.</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43,334,159 Shares, which consists of (i) 31,991,130 Shares outstanding as of November 6, 2023, as reported in the Issuer’s Quarterly Report on Form 10-Q filed with the Securities and Exchange Commission on November 9, 2023, (ii) the PIPE Shares and (iii) 93,441 Shares issuable upon exercise of the Bios Directors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760" w:hanging="914"/>
        <w:spacing w:after="0" w:line="293" w:lineRule="auto"/>
        <w:tabs>
          <w:tab w:leader="none" w:pos="161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CAPITAL MANAGEMENT, LP</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10,416,165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(viii) 601,980 Shares directly held by Bios Fund III NT and (ix) 1,722,723 Shares issuable upon exercise of the Bios COF Warrants, in each case, as of the date hereof. Bios Equity Partners I is the general partner of Bios Directors. Bios Equity Partners II is the general partner of the Bios II Entities. Bios Equity Partners III is the general partner of the Bios III Entities. Bios Equity COF is the general partner of Bios COF Fund. Bios Capital Management, LP (“Bios Management”) is a general partner of Bios Equity I, Bios Equity II, Bios Equity III, and is the general partner of Bios Equity COF. In its capacity as a general partner of Bios Equity I, Bios Equity II and Bios Equity III and the general partner of Bios Equity COF, Bios Management may be deemed to have shared voting and/or dispositive power with respect to Shares directly or indirectly held by Bios Directors, the Bios Equity II Entities, the Bios Equity III Entities and Bios COF Fund.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45,056,882 Shares, which consists of (i) 31,991,130 Shares outstanding as of November 6, 2023, as reported in the Issuer’s Quarterly Report on Form 10-Q filed with the Securities and Exchange Commission on November 9, 2023, (ii) the PIPE Shares, (iii) 93,441 Shares issuable upon exercise of the Bios Directors Options and (iv) 1,722,723 Shares issuable upon conversion of the Bios COF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 w:name="page17"/>
    <w:bookmarkEnd w:id="16"/>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CAVU ADVISORS, LLC</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8,693,442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and (viii) 601,980 Shares directly held by Bios Fund III NT, in each case, as of the date hereof. Bios Equity Partners I is the general partner of Bios Directors. Bios Equity Partners II is the general partner of the Bios II Entities. Bios Equity Partners III is the general partner the Bios III Entities. Cavu Management, LP is a general partner of Bios Equity I, Bios Equity II, and Bios Equity III. Cavu Advisors, LLC (“Cavu Advisors”) is the general partner of Cavu Management, and therefore may be deemed to have shared voting and/or dispositive power with respect to Shares directly or indirectly held by the Bios Directors, the Bios Equity II Entities and the Bios Equity III Entities.</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43,334,159 Shares, which consists of (i) 31,991,130 Shares outstanding as of November 6, 2023, as reported in the Issuer’s Quarterly Report on Form 10-Q filed with the Securities and Exchange Commission on November 9, 2023, (ii) the PIPE Shares and (iii) 93,441 Shares issuable upon exercise of the Bios Directors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7" w:name="page18"/>
    <w:bookmarkEnd w:id="1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BIOS ADVISORS GP, LLC</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10,416,165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(viii) 601,980 Shares directly held by Bios Fund III NT and (ix) 1,722,723 Shares issuable upon exercise of the Bios COF Warrants, in each case, as of the date hereof. Bios Equity Partners I is the general partner of Bios Directors. Bios Equity Partners II is the general partner of the Bios II Entities. Bios Equity Partners III is the general partner of the Bios III Entities. Bios Equity COF is the general partner of Bios COF Fund. Bios Management is a general partner of Bios Equity I, Bios Equity II and Bios Equity III, and is the general partner of Bios Equity COF. Bios Advisors GP, LLC (“Bios Advisors”) is the general partner of Bios Management, and therefore, may be deemed to have shared voting and/or dispositive power with respect to Shares directly or indirectly held by Bios Directors, the Bios Equity II Entities, the Bios Equity III Entities and Bios COF Fund.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45,056,882 Shares, which consists of (i) 31,991,130 Shares outstanding as of November 6, 2023, as reported in the Issuer’s Quarterly Report on Form 10-Q filed with the Securities and Exchange Commission on November 9, 2023, (ii) the PIPE Shares, (iii) 93,441 Shares issuable upon exercise of the Bios Directors Options and (iv) 1,722,723 Shares issuable upon conversion of the Bios COF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8" w:name="page19"/>
    <w:bookmarkEnd w:id="18"/>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940" w:hanging="914"/>
        <w:spacing w:after="0" w:line="293" w:lineRule="auto"/>
        <w:tabs>
          <w:tab w:leader="none" w:pos="161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LESLIE WAYNE KREIS, JR.</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 OO</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8,693,442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8,693,442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and (viii) 601,980 Shares directly held by Bios Fund III NT, in each case, as of the date hereof. Bios Equity Partners I is the general partner of Bios Directors. Bios Equity Partners II is the general partner of the Bios II Entities. Bios Equity Partners III is the general partner the Bios III Entities. Cavu Management, LP is a general partner of Bios Equity I, Bios Equity II, and Bios Equity III. Cavu Advisors, an entity controlled by Mr. Kreis, is the general partner of Cavu Management. As the manager of Cavu Advisors, Mr. Kreis may be deemed to have shared voting and/or dispositive power with respect to Shares directly or indirectly held by Bios Directors, the Bios Equity II Entities and the Bios Equity III Entities.</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43,334,159 Shares, which consists of (i) 31,991,130 Shares outstanding as of November 6, 2023, as reported in the Issuer’s Quarterly Report on Form 10-Q filed with the Securities and Exchange Commission on November 9, 2023, (ii) the PIPE Shares and (iii) 93,441 Shares issuable upon exercise of the Bios Directors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9" w:name="page20"/>
    <w:bookmarkEnd w:id="19"/>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157720" cy="4389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38912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45674E 109</w:t>
      </w:r>
    </w:p>
    <w:p>
      <w:pPr>
        <w:spacing w:after="0" w:line="108" w:lineRule="exact"/>
        <w:rPr>
          <w:sz w:val="20"/>
          <w:szCs w:val="20"/>
          <w:color w:val="auto"/>
        </w:rPr>
      </w:pPr>
    </w:p>
    <w:p>
      <w:pPr>
        <w:ind w:left="1640" w:right="6780" w:hanging="914"/>
        <w:spacing w:after="0" w:line="293" w:lineRule="auto"/>
        <w:tabs>
          <w:tab w:leader="none" w:pos="161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AARON GLENN LOUIS FLETCHER</w:t>
      </w:r>
    </w:p>
    <w:tbl>
      <w:tblPr>
        <w:tblLayout w:type="fixed"/>
        <w:tblInd w:w="20" w:type="dxa"/>
        <w:tblCellMar>
          <w:top w:w="0" w:type="dxa"/>
          <w:left w:w="0" w:type="dxa"/>
          <w:bottom w:w="0" w:type="dxa"/>
          <w:right w:w="0" w:type="dxa"/>
        </w:tblCellMar>
      </w:tblPr>
      <w:tr>
        <w:trPr>
          <w:trHeight w:val="183"/>
        </w:trPr>
        <w:tc>
          <w:tcPr>
            <w:tcW w:w="14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8640" w:type="dxa"/>
            <w:vAlign w:val="bottom"/>
            <w:tcBorders>
              <w:top w:val="single" w:sz="8" w:color="auto"/>
              <w:right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 OO</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47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3880" w:type="dxa"/>
            <w:vAlign w:val="bottom"/>
            <w:tcBorders>
              <w:right w:val="single" w:sz="8" w:color="auto"/>
            </w:tcBorders>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880" w:type="dxa"/>
            <w:vAlign w:val="bottom"/>
            <w:tcBorders>
              <w:bottom w:val="single" w:sz="8" w:color="auto"/>
              <w:right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80" w:type="dxa"/>
            <w:vAlign w:val="bottom"/>
            <w:tcBorders>
              <w:right w:val="single" w:sz="8" w:color="auto"/>
            </w:tcBorders>
            <w:vMerge w:val="continue"/>
          </w:tcPr>
          <w:p>
            <w:pPr>
              <w:spacing w:after="0"/>
              <w:rPr>
                <w:sz w:val="5"/>
                <w:szCs w:val="5"/>
                <w:color w:val="auto"/>
              </w:rPr>
            </w:pPr>
          </w:p>
        </w:tc>
        <w:tc>
          <w:tcPr>
            <w:tcW w:w="47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880" w:type="dxa"/>
            <w:vAlign w:val="bottom"/>
            <w:tcBorders>
              <w:right w:val="single" w:sz="8" w:color="auto"/>
            </w:tcBorders>
          </w:tcPr>
          <w:p>
            <w:pPr>
              <w:spacing w:after="0"/>
              <w:rPr>
                <w:sz w:val="7"/>
                <w:szCs w:val="7"/>
                <w:color w:val="auto"/>
              </w:rPr>
            </w:pPr>
          </w:p>
        </w:tc>
        <w:tc>
          <w:tcPr>
            <w:tcW w:w="47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80" w:type="dxa"/>
            <w:vAlign w:val="bottom"/>
            <w:tcBorders>
              <w:right w:val="single" w:sz="8" w:color="auto"/>
            </w:tcBorders>
            <w:vMerge w:val="continue"/>
          </w:tcPr>
          <w:p>
            <w:pPr>
              <w:spacing w:after="0"/>
              <w:rPr>
                <w:sz w:val="11"/>
                <w:szCs w:val="11"/>
                <w:color w:val="auto"/>
              </w:rPr>
            </w:pPr>
          </w:p>
        </w:tc>
        <w:tc>
          <w:tcPr>
            <w:tcW w:w="47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880" w:type="dxa"/>
            <w:vAlign w:val="bottom"/>
            <w:tcBorders>
              <w:right w:val="single" w:sz="8" w:color="auto"/>
            </w:tcBorders>
          </w:tcPr>
          <w:p>
            <w:pPr>
              <w:spacing w:after="0"/>
              <w:rPr>
                <w:sz w:val="7"/>
                <w:szCs w:val="7"/>
                <w:color w:val="auto"/>
              </w:rPr>
            </w:pPr>
          </w:p>
        </w:tc>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3880" w:type="dxa"/>
            <w:vAlign w:val="bottom"/>
            <w:tcBorders>
              <w:right w:val="single" w:sz="8" w:color="auto"/>
            </w:tcBorders>
          </w:tcPr>
          <w:p>
            <w:pPr>
              <w:spacing w:after="0"/>
              <w:rPr>
                <w:sz w:val="13"/>
                <w:szCs w:val="13"/>
                <w:color w:val="auto"/>
              </w:rPr>
            </w:pPr>
          </w:p>
        </w:tc>
        <w:tc>
          <w:tcPr>
            <w:tcW w:w="47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10,416,165 (1)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10,416,165 (1)</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UNITS</w:t>
            </w:r>
          </w:p>
        </w:tc>
        <w:tc>
          <w:tcPr>
            <w:tcW w:w="11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 (2)</w:t>
            </w:r>
          </w:p>
        </w:tc>
        <w:tc>
          <w:tcPr>
            <w:tcW w:w="4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40" w:right="7120" w:hanging="959"/>
        <w:spacing w:after="0" w:line="282" w:lineRule="auto"/>
        <w:tabs>
          <w:tab w:leader="none" w:pos="161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42" w:lineRule="exact"/>
        <w:rPr>
          <w:rFonts w:ascii="Times New Roman" w:cs="Times New Roman" w:eastAsia="Times New Roman" w:hAnsi="Times New Roman"/>
          <w:sz w:val="18"/>
          <w:szCs w:val="18"/>
          <w:color w:val="auto"/>
        </w:rPr>
      </w:pPr>
    </w:p>
    <w:p>
      <w:pPr>
        <w:jc w:val="both"/>
        <w:ind w:firstLine="8"/>
        <w:spacing w:after="0" w:line="254"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93,441 Shares issuable upon exercise of the Bios Directors Options, (ii) 574,432 Shares directly held by Bios Fund II, (iii) 1,876,624 Shares directly held by Bios Fund II QP, (iv) 251,211 Shares directly held by Bios Fund II NT, (v) 997,433 Shares directly held by BIOS Incysus, (vi) ) 570,724 Shares directly held by Bios Fund III, (vii) 3,727,597 Shares directly held by Bios Fund III QP, (viii) 601,980 Shares directly held by Bios Fund III NT and (ix) 1,722,723 Shares issuable upon exercise of the Bios COF Warrants, in each case, as of the date hereof. Bios Equity Partners I is the general partner of Bios Directors. Bios Equity Partners II is the general partner of the Bios II Entities. Bios Equity Partners III is the general partner of the Bios III Entities. Bios Equity COF is the general partner of Bios COF Fund. Bios Management is a general partner of Bios Equity I, Bios Equity II and Bios Equity III, and is the general partner of Bios Equity COF. Bios Advisors, an entity controlled by Dr. Fletcher, is the general partner of Bios Management. As the manager of Bios Advisors, Dr. Fletcher may be deemed to have shared voting and/or dispositive power with respect to Shares directly or indirectly held by Bios Directors, the Bios Equity II Entities, the Bios Equity III Entities and Bios COF Fund.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45,056,882 Shares, which consists of (i) 31,991,130 Shares outstanding as of November 6, 2023, as reported in the Issuer’s Quarterly Report on Form 10-Q filed with the Securities and Exchange Commission on November 9, 2023, (ii) the PIPE Shares, (iii) 93,441 Shares issuable upon exercise of the Bios Directors Options and (iv) 1,722,723 Shares issuable upon conversion of the Bios COF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(this “Amendment No. 1”) hereby amends the Schedule 13D originally filed by certain Reporting Persons (as defined below) on August 13, 2021 (the “Prior Statement”). The securities to which the Schedule 13D relates are the shares of common stock, par value $0.0001 per share (“Shares”), of IN8bio, Inc., a Delaware corporation (the “Issuer”). The purpose of this Amendment No. 1 is to report a greater than 1% increase in the percentage of shares beneficially owned by the Reporting Persons and the addition of Bios Clinical Opportunity Fund, LP (“Bios COF Fund”) and Bios Equity COF, LP (“Bios Equity COF”) as Reporting Persons hereunder. Except as otherwise provided herein, each Item of the Prior Statement remains unchanged. Capitalized terms used herein but not defined in this Amendment No. 1 shall have the meanings ascribed to such terms in the Prior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Schedule 13D is being filed jointly by:</w:t>
      </w:r>
    </w:p>
    <w:p>
      <w:pPr>
        <w:spacing w:after="0" w:line="225" w:lineRule="exact"/>
        <w:rPr>
          <w:sz w:val="20"/>
          <w:szCs w:val="20"/>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 LP, a Delaware limited partnership (“Bios Fund II”);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 QP, LP, a Delaware limited partnership (“Bios Fund II QP”);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 NT, LP, a Delaware limited partnership (“Bios Fund II 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Incysus Co-Invest I, LP, a Delaware limited partnership (“Bios Incysus”);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III, LP, a Delaware limited partnership (“Bios Fund III”);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III QP, LP, a Delaware limited partnership (“Bios Fund III QP”);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Fund III NT, LP, a Delaware limited partnership (“Bios Fund III 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Clinical Opportunity Fund, LP, a Delaware limited partnership (“Bios COF Fund”);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 Directors, LP, a Delaware limited partnership (“Bios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Equity Partners, LP, a Texas limited partnership (“Bios Equity 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Equity Partners II, LP, a Texas limited partnership (“Bios Equity II”);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Equity Partners III, LP, a Texas limited partnership (“Bios Equity III”);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Equity COF, LP, a Texas limited partnership (“Bios Equity COF”);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Cavu Management, LP, a Texas limited partnership (“Cavu Management”);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Capital Management, LP, a Texas limited partnership (“Bios Management”);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Cavu Advisors, LLC, a Texas limited liability company (“Cavu Advisors”);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 Advisors GP, LLC, a Texas limited liability company (“Bios Advisors”);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Leslie Wayne Kreis, Jr., a United States citizen (“Mr. Kreis”);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Glenn Louis Fletcher, Ph.D. a United States citizen (“Dr. Fletcher”).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are referred to herein collectively as the “Reporting Persons” and individually as a “Reporting Person.” Each of the Reporting Persons is party to that certain Joint Filing Agreement, as further described and defined in Item 6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The Reporting Persons may be deemed part of a group within the meaning of Section 13(d) of the Act. Bios Equity I is the general partner of Bios Directors. Bios Equity II is the general partner of Bios Fund II, Bios Fund II QP and Bios Fund II NT (collectively, “Bios Equity II Entities”). Bios Equity</w:t>
      </w:r>
    </w:p>
    <w:p>
      <w:pPr>
        <w:jc w:val="both"/>
        <w:ind w:firstLine="8"/>
        <w:spacing w:after="0" w:line="251" w:lineRule="auto"/>
        <w:tabs>
          <w:tab w:leader="none" w:pos="2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general partner of Bios Fund III, Bios Fund III QP and Bios Fund III NT (collectively, “Bios Equity III Entities”). Bios Equity COF is the general partner of Bios COF Fund. Cavu Management and Bios Management are the general partners of Bios Equity I, Bios Equity II and Bios Equity III and Bios Management is the general partner of Bios Equity COF. Cavu Advisors, an entity controlled by Mr. Kreis, is the general partner of Cavu Management. Bios Advisors, an entity controlled by Dr. Fletcher, is the general partner of Bios Management. Due to the foregoing relationships, Bios Equity I, Bios Equity II, Bios Equity III, Bios Equity COF, Cavu Management, Bios Management, Cavu Advisors, Bios Advisors, Mr. Kreis and Dr. Fletcher may be deemed to have shared voting and/or dispositive power with respect to Shares directly or indirectly held by Bios Directors, the Bios Equity II Entities, the Bios Equity III and Bios COF Fund (together, the “Bios Equity Entities”). The filing of this Amendment No. 1 shall not be construed as an admission that the Reporting Persons are part of a group within the meaning of Section 13(d) of the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principal business address of each Reporting Person is 1751 River Run, Suite 400, Fort Worth, Texas 76107.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 QP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 NT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Incysus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III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III QP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Fund III NT is to invest in securities;</w:t>
      </w:r>
    </w:p>
    <w:p>
      <w:pPr>
        <w:spacing w:after="0" w:line="225" w:lineRule="exact"/>
        <w:rPr>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COF Fund is to invest in securities;</w:t>
      </w:r>
    </w:p>
    <w:p>
      <w:pPr>
        <w:spacing w:after="0" w:line="225" w:lineRule="exact"/>
        <w:rPr>
          <w:sz w:val="20"/>
          <w:szCs w:val="20"/>
          <w:color w:val="auto"/>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Directors is to invest in securities;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Equity I is to serve as the sole general partner of Bios Directors and other related entities;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Equity II is to serve as the sole general partner of Bios Fund II, Bios Fund II QP, Bios Fund II NT and other related entities;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Equity III is to serve as the sole general partner of Bios Fund III, Bios Fund III QP, Bios Fund III NT and other related entities;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Equity COF is to serve as the sole general partner of Bios COF Fund and other related entities;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Cavu Management is to serve as a general partner of Bios Equity I, Bios Equity II, Bios Equity III and other related entities;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Management is to serve as a general partner of Bios Equity I, Bios Equity II, Bios Equity III, Bios Equity COF and other related entities;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Cavu Advisors is to serve as the sole general partner of Cavu Management and other related entities;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Bios Advisors is to serve as the sole general partner of Bios Management and other related entities;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Mr. Kreis is to serve as the sole manager of Cavu Advisors and as a co-manager of each of Bios Fund II, Bios Fund II QP, Bios Fund II NT, Bios Fund III, Bios Fund III QP, Bios Fund III NT, Bios Directors and other related entities;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Dr. Fletcher is to serve as the sole manager of Bios Advisors and Bios COF Fund and as a co-manager of each of Bios Fund II, Bios Fund II QP, Bios Fund II NT, Bios Fund III, Bios Fund III QP, Bios Fund III NT, Bios Directors and other related entities. Dr. Fletcher also currently serves as a director of the Issuer.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in Item 2(a) of this Amendment No. 3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6 is incorporated herein by reference. The closing of the Private Placement took place on December 13, 2023, and each of the Bios COF Warrants was immediately exercisable as of such date. Bios COF Fund purchased the Bios COF Warrants using working capital from capital contributions and funds from lines of credit entered into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the cover pages of this Schedule 13D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Item 6 below, none of the Reporting Persons, nor, to the best of the Reporting Persons’ knowledge, any of their respective executive officers or directors, as applicable, has acquired or disposed of, any securities of the Issuer during the 60 days prior to the date hereof.</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Securities Purchase Agreement , dated as of December 11, 2023, between the Issuer, Bios COF Fund and the other purchasers signatory thereto (the “Securities Purchase Agreement”), Bios COF Fund purchased from the Issuer in a private placement (the “Private Placement”) 574,241 units at a price of $1.22 per unit, each unit consisting of (i) one pre-funded warrant to purchase one share of Common Stock (the “Pre-Funded Warrants”), (ii) one Series A warrant to purchase one share of Common Stock (the “Series A Ordinary Warrants”) and (iii) one Series B warrant to purchase one share of Common Stock (the “Series B Ordinary Warrants” and together, the “Bios COF Warrants”).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summary of the Securities Purchase Agreement contained herein is qualified in its entirety by reference to the full text of such agreement, a copy of which is filed as an exhibit 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Pre-Funded Warrant to be issued in the Private Placement will have an exercise price of $0.0001 per share, will be exercisable immediately and will be exercisable until the Pre-Funded Warrant is exercised in full. In lieu of making the cash payment otherwise contemplated to be made to the Issuer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Ordinary Warrants will be exercisable immediately and will expire 18 months from the date of issuance. The Issuer has the option to cause the Series A Ordinary Warrants to be exercised at a strike price of $1.25 per share upon the Issuer’s public announcement of INB-100 clinical data for the ten currently enrolled patients, should they remain alive and evaluable, covering a period of at least 11 months, along with certain stock price and trading volume requirements.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 Ordinary Warrants will be exercisable immediately and will expire five years from the date of issuance. The Series B Ordinary Warrants allow the Company to redeem such warrants at a price of $0.01 per Series B Ordinary Warrant upon the Issuer’s public announcement of its INB-100 data for all enrolled patients covering a period of at least 22 months, along with certain stock price and trading volume requirements. Holders of Series B Ordinary Warrants may choose to exercise such warrants at a purchase price of $1.50 per share prior to such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of the warrants contained herein is qualified in its entirety by reference to the full text of the Forms of Warrants, a copy of each of which is filed as an exhibit 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December 11, 2023, Bios COF Fund entered into a registration rights agreement (the “Registration Rights Agreement”) with the Issuer and the other investors party thereto, pursuant to which the Issuer agreed to register for resale under the Securities Act of 1933, as amended, the Shares underlying the Bios COF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of the Registration Rights Agreement contained herein is qualified in its entirety by reference to the full text of such agreement, a copy of which is filed as an exhibit hereto.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13d-1(k) promulgated under the Act, the Reporting Persons entered into a Joint Filing Agreement (the “Joint Filing Agreement”) with respect to the joint filing of this Amendment No. 1 and any further amendment or amendments to the Schedule 13D. The foregoing description of the Joint Filing Agreement does not purport to be complete and is qualified in its entirety by the contents of the Joint Filing Agreement, a copy of which is attached hereto as Exhibit A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99.2: Power of Attorney</w:t>
      </w:r>
    </w:p>
    <w:p>
      <w:pPr>
        <w:spacing w:after="0" w:line="225"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Exhibit 99.3: Securities Purchase Agreement (incorporated by reference to Exhibit 10.1 to the Issuer’s Current Report on Form 8-K filed with the Securities</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and Exchange Commission on December 11, 2023)</w:t>
        </w:r>
      </w:hyperlink>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Exhibit 99.4: Form of Pre-Funded Warrant (incorporated by reference to Exhibit 4.1 to the Issuer’s Current Report on Form 8-K filed with the Securities</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and Exchange Commission on December 11, 2023)</w:t>
        </w:r>
      </w:hyperlink>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Exhibit 99.5: Form of Series A Ordinary Warrant (incorporated by reference to Exhibit 4.2 to the Issuer’s Current Report on Form 8-K filed with the</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Securities and Exchange Commission on December 11, 2023)</w:t>
        </w:r>
      </w:hyperlink>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EE"/>
        </w:rPr>
      </w:pPr>
      <w:hyperlink r:id="rId58">
        <w:r>
          <w:rPr>
            <w:rFonts w:ascii="Times New Roman" w:cs="Times New Roman" w:eastAsia="Times New Roman" w:hAnsi="Times New Roman"/>
            <w:sz w:val="18"/>
            <w:szCs w:val="18"/>
            <w:u w:val="single" w:color="auto"/>
            <w:color w:val="0000EE"/>
          </w:rPr>
          <w:t>Exhibit 99.6: Form of Series B Ordinary Warrant (incorporated by reference to Exhibit 4.3 to the Issuer’s Current Report on Form 8-K filed with the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Securities and Exchange Commission on December 11, 2023)</w:t>
        </w:r>
      </w:hyperlink>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Exhibit 997: Form of Registration Rights Agreement (incorporated by reference to Exhibit 10.2 to the Issuer’s Current Report on Form 8-K filed with the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Securities and Exchange Commission on December 11, 2023)</w:t>
        </w:r>
      </w:hyperlink>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2023</w:t>
      </w: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BIOS FUND II, LP</w:t>
      </w:r>
    </w:p>
    <w:p>
      <w:pPr>
        <w:spacing w:after="0" w:line="2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 w:name="page27"/>
    <w:bookmarkEnd w:id="26"/>
    <w:p>
      <w:pPr>
        <w:ind w:left="3320"/>
        <w:spacing w:after="0"/>
        <w:rPr>
          <w:sz w:val="20"/>
          <w:szCs w:val="20"/>
          <w:color w:val="auto"/>
        </w:rPr>
      </w:pPr>
      <w:r>
        <w:rPr>
          <w:rFonts w:ascii="Times New Roman" w:cs="Times New Roman" w:eastAsia="Times New Roman" w:hAnsi="Times New Roman"/>
          <w:sz w:val="18"/>
          <w:szCs w:val="18"/>
          <w:b w:val="1"/>
          <w:bCs w:val="1"/>
          <w:color w:val="auto"/>
        </w:rPr>
        <w:t>BIOS INCYSUS CO-INVEST 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 w:name="page28"/>
    <w:bookmarkEnd w:id="27"/>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ind w:left="3320"/>
        <w:spacing w:after="0"/>
        <w:rPr>
          <w:sz w:val="20"/>
          <w:szCs w:val="20"/>
          <w:color w:val="auto"/>
        </w:rPr>
      </w:pPr>
      <w:r>
        <w:rPr>
          <w:rFonts w:ascii="Times New Roman" w:cs="Times New Roman" w:eastAsia="Times New Roman" w:hAnsi="Times New Roman"/>
          <w:sz w:val="17"/>
          <w:szCs w:val="17"/>
          <w:b w:val="1"/>
          <w:bCs w:val="1"/>
          <w:color w:val="auto"/>
        </w:rPr>
        <w:t>BIOS CLINICAL OPPORTUNITY FUND, LP</w:t>
      </w:r>
    </w:p>
    <w:p>
      <w:pPr>
        <w:spacing w:after="0" w:line="24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COF,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BP DIRECTORS,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 w:name="page30"/>
    <w:bookmarkEnd w:id="29"/>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 w:name="page31"/>
    <w:bookmarkEnd w:id="30"/>
    <w:p>
      <w:pPr>
        <w:ind w:left="3320"/>
        <w:spacing w:after="0"/>
        <w:rPr>
          <w:sz w:val="20"/>
          <w:szCs w:val="20"/>
          <w:color w:val="auto"/>
        </w:rPr>
      </w:pPr>
      <w:r>
        <w:rPr>
          <w:rFonts w:ascii="Times New Roman" w:cs="Times New Roman" w:eastAsia="Times New Roman" w:hAnsi="Times New Roman"/>
          <w:sz w:val="18"/>
          <w:szCs w:val="18"/>
          <w:b w:val="1"/>
          <w:bCs w:val="1"/>
          <w:color w:val="auto"/>
        </w:rPr>
        <w:t>BIOS EQUITY COF,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18415</wp:posOffset>
            </wp:positionV>
            <wp:extent cx="38919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CAPITAL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18415</wp:posOffset>
            </wp:positionV>
            <wp:extent cx="39173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ADVISORS,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ADVISORS GP,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LESLIE WAYNE KREIS, JR., </w:t>
      </w:r>
      <w:r>
        <w:rPr>
          <w:rFonts w:ascii="Times New Roman" w:cs="Times New Roman" w:eastAsia="Times New Roman" w:hAnsi="Times New Roman"/>
          <w:sz w:val="18"/>
          <w:szCs w:val="18"/>
          <w:color w:val="auto"/>
        </w:rPr>
        <w:t>in his individual capacity</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AARON GLENN LOUIS FLETCHER, </w:t>
      </w:r>
      <w:r>
        <w:rPr>
          <w:rFonts w:ascii="Times New Roman" w:cs="Times New Roman" w:eastAsia="Times New Roman" w:hAnsi="Times New Roman"/>
          <w:sz w:val="18"/>
          <w:szCs w:val="18"/>
          <w:color w:val="auto"/>
        </w:rPr>
        <w:t>in his individual capacity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shares of common stock, par value $0.0001, of IN8bio, Inc. a Delaware corporation (the “Issuer”), unless and until a Reporting Person shall give written notice to the other Reporting Persons that it wishes to make separate Schedule 13D filings.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timely filing of such Statement on Schedule 13D and any further amendments thereto, and for the completeness and accuracy of the information concerning such party contained therein, provided that no party is responsible for the completeness and accuracy of the information concerning the other party, unless such party knows or has reason to believe that such information is inaccurate. The undersigned further agree that this Agreement shall be included as an Exhibit to such joint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Joint Filing Agreement to be duly executed effective as of December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2023</w:t>
      </w: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BIOS FUND II, LP</w:t>
      </w:r>
    </w:p>
    <w:p>
      <w:pPr>
        <w:spacing w:after="0" w:line="2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3" w:name="page34"/>
    <w:bookmarkEnd w:id="33"/>
    <w:p>
      <w:pPr>
        <w:ind w:left="3320"/>
        <w:spacing w:after="0"/>
        <w:rPr>
          <w:sz w:val="20"/>
          <w:szCs w:val="20"/>
          <w:color w:val="auto"/>
        </w:rPr>
      </w:pPr>
      <w:r>
        <w:rPr>
          <w:rFonts w:ascii="Times New Roman" w:cs="Times New Roman" w:eastAsia="Times New Roman" w:hAnsi="Times New Roman"/>
          <w:sz w:val="18"/>
          <w:szCs w:val="18"/>
          <w:b w:val="1"/>
          <w:bCs w:val="1"/>
          <w:color w:val="auto"/>
        </w:rPr>
        <w:t>BIOS INCYSUS CO-INVEST 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 w:name="page35"/>
    <w:bookmarkEnd w:id="34"/>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ind w:left="3320"/>
        <w:spacing w:after="0"/>
        <w:rPr>
          <w:sz w:val="20"/>
          <w:szCs w:val="20"/>
          <w:color w:val="auto"/>
        </w:rPr>
      </w:pPr>
      <w:r>
        <w:rPr>
          <w:rFonts w:ascii="Times New Roman" w:cs="Times New Roman" w:eastAsia="Times New Roman" w:hAnsi="Times New Roman"/>
          <w:sz w:val="17"/>
          <w:szCs w:val="17"/>
          <w:b w:val="1"/>
          <w:bCs w:val="1"/>
          <w:color w:val="auto"/>
        </w:rPr>
        <w:t>BIOS CLINICAL OPPORTUNITY FUND, LP</w:t>
      </w:r>
    </w:p>
    <w:p>
      <w:pPr>
        <w:spacing w:after="0" w:line="24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COF,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BP Directors,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6" w:name="page37"/>
    <w:bookmarkEnd w:id="36"/>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7" w:name="page38"/>
    <w:bookmarkEnd w:id="37"/>
    <w:p>
      <w:pPr>
        <w:ind w:left="3320"/>
        <w:spacing w:after="0"/>
        <w:rPr>
          <w:sz w:val="20"/>
          <w:szCs w:val="20"/>
          <w:color w:val="auto"/>
        </w:rPr>
      </w:pPr>
      <w:r>
        <w:rPr>
          <w:rFonts w:ascii="Times New Roman" w:cs="Times New Roman" w:eastAsia="Times New Roman" w:hAnsi="Times New Roman"/>
          <w:sz w:val="18"/>
          <w:szCs w:val="18"/>
          <w:b w:val="1"/>
          <w:bCs w:val="1"/>
          <w:color w:val="auto"/>
        </w:rPr>
        <w:t>BIOS EQUITY COF,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18415</wp:posOffset>
            </wp:positionV>
            <wp:extent cx="38919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CAPITAL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18415</wp:posOffset>
            </wp:positionV>
            <wp:extent cx="39173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ADVISORS,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ADVISORS GP,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LESLIE WAYNE KREIS, JR., </w:t>
      </w:r>
      <w:r>
        <w:rPr>
          <w:rFonts w:ascii="Times New Roman" w:cs="Times New Roman" w:eastAsia="Times New Roman" w:hAnsi="Times New Roman"/>
          <w:sz w:val="18"/>
          <w:szCs w:val="18"/>
          <w:color w:val="auto"/>
        </w:rPr>
        <w:t>in his individual capacity</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AARON GLENN LOUIS FLETCHER, </w:t>
      </w:r>
      <w:r>
        <w:rPr>
          <w:rFonts w:ascii="Times New Roman" w:cs="Times New Roman" w:eastAsia="Times New Roman" w:hAnsi="Times New Roman"/>
          <w:sz w:val="18"/>
          <w:szCs w:val="18"/>
          <w:color w:val="auto"/>
        </w:rPr>
        <w:t>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3D3D3D"/>
        </w:rPr>
        <w:t>The undersigned hereby constitute and appoint Daniel Schwarz, the lawful attorney-in-fact and agent with full power and authority to execute and file on the undersigned’s behalf, any and all instruments including Forms 3, 4 and 5, and Schedules 13D and 13G (collectively, the “Filings”), and any amendments, supplements or successor forms thereto pursuant to the Securities Exchange Act of 1934, as amended (the “Exchange Act”), and any rules or regulations or requirements of the Securities and Exchange Commission in connection with the undersigned’s reporting obligations with respect to securities of IN8bio, Inc., a Delaware corporation, pursuant to Section 13(d) of the Exchange Act and Section 16(b) of the Exchange Act.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3D3D3D"/>
        </w:rPr>
        <w:t>The authority of such attorney-in-fact shall continue until the undersigned is no longer required to file any of the Filings, unless earlier revoked in writing. The undersigned hereby ratifies, confirms and approves in all respects all Filings (including amendments thereto) and actions taken by any of the attorney-in-fact relating to such Filings.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3D3D3D"/>
        </w:rPr>
        <w:t>The undersigned acknowledges that the attorneys-in-fact are not assuming any of the undersigned’s responsibilities to comply with Section 13 or Section 16 of the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D3D3D"/>
        </w:rPr>
        <w:t>IN WITNESS WHEREOF, each of the undersigned has executed this Power of Attorney as of the date indicated.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D3D3D"/>
        </w:rPr>
        <w:t>Dated: December 15, 2023</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BIOS FUND II,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0" w:name="page41"/>
    <w:bookmarkEnd w:id="40"/>
    <w:p>
      <w:pPr>
        <w:ind w:left="3320"/>
        <w:spacing w:after="0"/>
        <w:rPr>
          <w:sz w:val="20"/>
          <w:szCs w:val="20"/>
          <w:color w:val="auto"/>
        </w:rPr>
      </w:pPr>
      <w:r>
        <w:rPr>
          <w:rFonts w:ascii="Times New Roman" w:cs="Times New Roman" w:eastAsia="Times New Roman" w:hAnsi="Times New Roman"/>
          <w:sz w:val="18"/>
          <w:szCs w:val="18"/>
          <w:b w:val="1"/>
          <w:bCs w:val="1"/>
          <w:color w:val="auto"/>
        </w:rPr>
        <w:t>BIOS INCYSUS CO-INVEST 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1" w:name="page42"/>
    <w:bookmarkEnd w:id="41"/>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QP,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FUND III NT,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III,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2" w:name="page43"/>
    <w:bookmarkEnd w:id="42"/>
    <w:p>
      <w:pPr>
        <w:ind w:left="3320"/>
        <w:spacing w:after="0"/>
        <w:rPr>
          <w:sz w:val="20"/>
          <w:szCs w:val="20"/>
          <w:color w:val="auto"/>
        </w:rPr>
      </w:pPr>
      <w:r>
        <w:rPr>
          <w:rFonts w:ascii="Times New Roman" w:cs="Times New Roman" w:eastAsia="Times New Roman" w:hAnsi="Times New Roman"/>
          <w:sz w:val="17"/>
          <w:szCs w:val="17"/>
          <w:b w:val="1"/>
          <w:bCs w:val="1"/>
          <w:color w:val="auto"/>
        </w:rPr>
        <w:t>BIOS CLINICAL OPPORTUNITY FUND, LP</w:t>
      </w:r>
    </w:p>
    <w:p>
      <w:pPr>
        <w:spacing w:after="0" w:line="24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COF,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BP Directors,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Equity Partners,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18415</wp:posOffset>
            </wp:positionV>
            <wp:extent cx="3488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3" w:name="page44"/>
    <w:bookmarkEnd w:id="43"/>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BIOS EQUITY PARTNERS III,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Cavu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3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-130810</wp:posOffset>
            </wp:positionV>
            <wp:extent cx="3703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 w:name="page45"/>
    <w:bookmarkEnd w:id="44"/>
    <w:p>
      <w:pPr>
        <w:ind w:left="3320"/>
        <w:spacing w:after="0"/>
        <w:rPr>
          <w:sz w:val="20"/>
          <w:szCs w:val="20"/>
          <w:color w:val="auto"/>
        </w:rPr>
      </w:pPr>
      <w:r>
        <w:rPr>
          <w:rFonts w:ascii="Times New Roman" w:cs="Times New Roman" w:eastAsia="Times New Roman" w:hAnsi="Times New Roman"/>
          <w:sz w:val="18"/>
          <w:szCs w:val="18"/>
          <w:b w:val="1"/>
          <w:bCs w:val="1"/>
          <w:color w:val="auto"/>
        </w:rPr>
        <w:t>BIOS EQUITY COF, LP</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 Bios Capital Management, LP,</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18415</wp:posOffset>
            </wp:positionV>
            <wp:extent cx="3703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Cavu Advisors,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18415</wp:posOffset>
            </wp:positionV>
            <wp:extent cx="38919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CAPITAL MANAGEMENT, LP</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Bios Advisors GP, LLC</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18415</wp:posOffset>
            </wp:positionV>
            <wp:extent cx="3917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CAVU ADVISORS,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Leslie Wayne Kreis, Jr.,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BIOS ADVISORS GP, LLC</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18415</wp:posOffset>
            </wp:positionV>
            <wp:extent cx="40633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Aaron Glenn Louis Fletcher,</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Manager</w:t>
      </w: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Leslie Wayne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LESLIE WAYNE KREIS, JR., </w:t>
      </w:r>
      <w:r>
        <w:rPr>
          <w:rFonts w:ascii="Times New Roman" w:cs="Times New Roman" w:eastAsia="Times New Roman" w:hAnsi="Times New Roman"/>
          <w:sz w:val="18"/>
          <w:szCs w:val="18"/>
          <w:color w:val="auto"/>
        </w:rPr>
        <w:t>in his individual capacity</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 Aaron Glenn Louis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18415</wp:posOffset>
            </wp:positionV>
            <wp:extent cx="42773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 xml:space="preserve">AARON GLENN LOUIS FLETCHER, </w:t>
      </w:r>
      <w:r>
        <w:rPr>
          <w:rFonts w:ascii="Times New Roman" w:cs="Times New Roman" w:eastAsia="Times New Roman" w:hAnsi="Times New Roman"/>
          <w:sz w:val="18"/>
          <w:szCs w:val="18"/>
          <w:color w:val="auto"/>
        </w:rPr>
        <w:t>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bullet"/>
      <w:start w:val="1"/>
    </w:lvl>
  </w:abstractNum>
  <w:abstractNum w:abstractNumId="2">
    <w:nsid w:val="4516DDE9"/>
    <w:multiLevelType w:val="hybridMultilevel"/>
    <w:lvl w:ilvl="0">
      <w:lvlJc w:val="left"/>
      <w:lvlText w:val="%1"/>
      <w:numFmt w:val="decimal"/>
      <w:start w:val="1"/>
    </w:lvl>
    <w:lvl w:ilvl="1">
      <w:lvlJc w:val="left"/>
      <w:lvlText w:val="%2"/>
      <w:numFmt w:val="decimal"/>
      <w:start w:val="14"/>
    </w:lvl>
  </w:abstractNum>
  <w:abstractNum w:abstractNumId="3">
    <w:nsid w:val="3006C83E"/>
    <w:multiLevelType w:val="hybridMultilevel"/>
    <w:lvl w:ilvl="0">
      <w:lvlJc w:val="left"/>
      <w:lvlText w:val="(%1)"/>
      <w:numFmt w:val="decimal"/>
      <w:start w:val="1"/>
    </w:lvl>
    <w:lvl w:ilvl="1">
      <w:lvlJc w:val="left"/>
      <w:lvlText w:val="%2"/>
      <w:numFmt w:val="decimal"/>
      <w:start w:val="1"/>
    </w:lvl>
  </w:abstractNum>
  <w:abstractNum w:abstractNumId="4">
    <w:nsid w:val="614FD4A1"/>
    <w:multiLevelType w:val="hybridMultilevel"/>
    <w:lvl w:ilvl="0">
      <w:lvlJc w:val="left"/>
      <w:lvlText w:val="1"/>
      <w:numFmt w:val="bullet"/>
      <w:start w:val="1"/>
    </w:lvl>
  </w:abstractNum>
  <w:abstractNum w:abstractNumId="5">
    <w:nsid w:val="419AC241"/>
    <w:multiLevelType w:val="hybridMultilevel"/>
    <w:lvl w:ilvl="0">
      <w:lvlJc w:val="left"/>
      <w:lvlText w:val="%1"/>
      <w:numFmt w:val="decimal"/>
      <w:start w:val="1"/>
    </w:lvl>
    <w:lvl w:ilvl="1">
      <w:lvlJc w:val="left"/>
      <w:lvlText w:val="%2"/>
      <w:numFmt w:val="decimal"/>
      <w:start w:val="14"/>
    </w:lvl>
  </w:abstractNum>
  <w:abstractNum w:abstractNumId="6">
    <w:nsid w:val="5577F8E1"/>
    <w:multiLevelType w:val="hybridMultilevel"/>
    <w:lvl w:ilvl="0">
      <w:lvlJc w:val="left"/>
      <w:lvlText w:val="(%1)"/>
      <w:numFmt w:val="decimal"/>
      <w:start w:val="1"/>
    </w:lvl>
    <w:lvl w:ilvl="1">
      <w:lvlJc w:val="left"/>
      <w:lvlText w:val="%2"/>
      <w:numFmt w:val="decimal"/>
      <w:start w:val="1"/>
    </w:lvl>
  </w:abstractNum>
  <w:abstractNum w:abstractNumId="7">
    <w:nsid w:val="440BADFC"/>
    <w:multiLevelType w:val="hybridMultilevel"/>
    <w:lvl w:ilvl="0">
      <w:lvlJc w:val="left"/>
      <w:lvlText w:val="1"/>
      <w:numFmt w:val="bullet"/>
      <w:start w:val="1"/>
    </w:lvl>
  </w:abstractNum>
  <w:abstractNum w:abstractNumId="8">
    <w:nsid w:val="5072367"/>
    <w:multiLevelType w:val="hybridMultilevel"/>
    <w:lvl w:ilvl="0">
      <w:lvlJc w:val="left"/>
      <w:lvlText w:val="%1"/>
      <w:numFmt w:val="decimal"/>
      <w:start w:val="1"/>
    </w:lvl>
    <w:lvl w:ilvl="1">
      <w:lvlJc w:val="left"/>
      <w:lvlText w:val="%2"/>
      <w:numFmt w:val="decimal"/>
      <w:start w:val="14"/>
    </w:lvl>
  </w:abstractNum>
  <w:abstractNum w:abstractNumId="9">
    <w:nsid w:val="3804823E"/>
    <w:multiLevelType w:val="hybridMultilevel"/>
    <w:lvl w:ilvl="0">
      <w:lvlJc w:val="left"/>
      <w:lvlText w:val="(%1)"/>
      <w:numFmt w:val="decimal"/>
      <w:start w:val="1"/>
    </w:lvl>
    <w:lvl w:ilvl="1">
      <w:lvlJc w:val="left"/>
      <w:lvlText w:val="%2"/>
      <w:numFmt w:val="decimal"/>
      <w:start w:val="1"/>
    </w:lvl>
  </w:abstractNum>
  <w:abstractNum w:abstractNumId="10">
    <w:nsid w:val="77465F01"/>
    <w:multiLevelType w:val="hybridMultilevel"/>
    <w:lvl w:ilvl="0">
      <w:lvlJc w:val="left"/>
      <w:lvlText w:val="1"/>
      <w:numFmt w:val="bullet"/>
      <w:start w:val="1"/>
    </w:lvl>
  </w:abstractNum>
  <w:abstractNum w:abstractNumId="11">
    <w:nsid w:val="7724C67E"/>
    <w:multiLevelType w:val="hybridMultilevel"/>
    <w:lvl w:ilvl="0">
      <w:lvlJc w:val="left"/>
      <w:lvlText w:val="%1"/>
      <w:numFmt w:val="decimal"/>
      <w:start w:val="1"/>
    </w:lvl>
    <w:lvl w:ilvl="1">
      <w:lvlJc w:val="left"/>
      <w:lvlText w:val="%2"/>
      <w:numFmt w:val="decimal"/>
      <w:start w:val="14"/>
    </w:lvl>
  </w:abstractNum>
  <w:abstractNum w:abstractNumId="12">
    <w:nsid w:val="5C482A97"/>
    <w:multiLevelType w:val="hybridMultilevel"/>
    <w:lvl w:ilvl="0">
      <w:lvlJc w:val="left"/>
      <w:lvlText w:val="(%1)"/>
      <w:numFmt w:val="decimal"/>
      <w:start w:val="1"/>
    </w:lvl>
    <w:lvl w:ilvl="1">
      <w:lvlJc w:val="left"/>
      <w:lvlText w:val="%2"/>
      <w:numFmt w:val="decimal"/>
      <w:start w:val="1"/>
    </w:lvl>
  </w:abstractNum>
  <w:abstractNum w:abstractNumId="13">
    <w:nsid w:val="2463B9EA"/>
    <w:multiLevelType w:val="hybridMultilevel"/>
    <w:lvl w:ilvl="0">
      <w:lvlJc w:val="left"/>
      <w:lvlText w:val="1"/>
      <w:numFmt w:val="bullet"/>
      <w:start w:val="1"/>
    </w:lvl>
  </w:abstractNum>
  <w:abstractNum w:abstractNumId="14">
    <w:nsid w:val="5E884ADC"/>
    <w:multiLevelType w:val="hybridMultilevel"/>
    <w:lvl w:ilvl="0">
      <w:lvlJc w:val="left"/>
      <w:lvlText w:val="%1"/>
      <w:numFmt w:val="decimal"/>
      <w:start w:val="1"/>
    </w:lvl>
    <w:lvl w:ilvl="1">
      <w:lvlJc w:val="left"/>
      <w:lvlText w:val="%2"/>
      <w:numFmt w:val="decimal"/>
      <w:start w:val="14"/>
    </w:lvl>
  </w:abstractNum>
  <w:abstractNum w:abstractNumId="15">
    <w:nsid w:val="51EAD36B"/>
    <w:multiLevelType w:val="hybridMultilevel"/>
    <w:lvl w:ilvl="0">
      <w:lvlJc w:val="left"/>
      <w:lvlText w:val="(%1)"/>
      <w:numFmt w:val="decimal"/>
      <w:start w:val="1"/>
    </w:lvl>
    <w:lvl w:ilvl="1">
      <w:lvlJc w:val="left"/>
      <w:lvlText w:val="%2"/>
      <w:numFmt w:val="decimal"/>
      <w:start w:val="1"/>
    </w:lvl>
  </w:abstractNum>
  <w:abstractNum w:abstractNumId="16">
    <w:nsid w:val="2D517796"/>
    <w:multiLevelType w:val="hybridMultilevel"/>
    <w:lvl w:ilvl="0">
      <w:lvlJc w:val="left"/>
      <w:lvlText w:val="1"/>
      <w:numFmt w:val="bullet"/>
      <w:start w:val="1"/>
    </w:lvl>
  </w:abstractNum>
  <w:abstractNum w:abstractNumId="17">
    <w:nsid w:val="580BD78F"/>
    <w:multiLevelType w:val="hybridMultilevel"/>
    <w:lvl w:ilvl="0">
      <w:lvlJc w:val="left"/>
      <w:lvlText w:val="%1"/>
      <w:numFmt w:val="decimal"/>
      <w:start w:val="1"/>
    </w:lvl>
    <w:lvl w:ilvl="1">
      <w:lvlJc w:val="left"/>
      <w:lvlText w:val="%2"/>
      <w:numFmt w:val="decimal"/>
      <w:start w:val="14"/>
    </w:lvl>
  </w:abstractNum>
  <w:abstractNum w:abstractNumId="18">
    <w:nsid w:val="153EA438"/>
    <w:multiLevelType w:val="hybridMultilevel"/>
    <w:lvl w:ilvl="0">
      <w:lvlJc w:val="left"/>
      <w:lvlText w:val="(%1)"/>
      <w:numFmt w:val="decimal"/>
      <w:start w:val="1"/>
    </w:lvl>
    <w:lvl w:ilvl="1">
      <w:lvlJc w:val="left"/>
      <w:lvlText w:val="%2"/>
      <w:numFmt w:val="decimal"/>
      <w:start w:val="1"/>
    </w:lvl>
  </w:abstractNum>
  <w:abstractNum w:abstractNumId="19">
    <w:nsid w:val="3855585C"/>
    <w:multiLevelType w:val="hybridMultilevel"/>
    <w:lvl w:ilvl="0">
      <w:lvlJc w:val="left"/>
      <w:lvlText w:val="1"/>
      <w:numFmt w:val="bullet"/>
      <w:start w:val="1"/>
    </w:lvl>
  </w:abstractNum>
  <w:abstractNum w:abstractNumId="20">
    <w:nsid w:val="70A64E2A"/>
    <w:multiLevelType w:val="hybridMultilevel"/>
    <w:lvl w:ilvl="0">
      <w:lvlJc w:val="left"/>
      <w:lvlText w:val="%1"/>
      <w:numFmt w:val="decimal"/>
      <w:start w:val="1"/>
    </w:lvl>
    <w:lvl w:ilvl="1">
      <w:lvlJc w:val="left"/>
      <w:lvlText w:val="%2"/>
      <w:numFmt w:val="decimal"/>
      <w:start w:val="14"/>
    </w:lvl>
  </w:abstractNum>
  <w:abstractNum w:abstractNumId="21">
    <w:nsid w:val="6A2342EC"/>
    <w:multiLevelType w:val="hybridMultilevel"/>
    <w:lvl w:ilvl="0">
      <w:lvlJc w:val="left"/>
      <w:lvlText w:val="(%1)"/>
      <w:numFmt w:val="decimal"/>
      <w:start w:val="1"/>
    </w:lvl>
    <w:lvl w:ilvl="1">
      <w:lvlJc w:val="left"/>
      <w:lvlText w:val="%2"/>
      <w:numFmt w:val="decimal"/>
      <w:start w:val="1"/>
    </w:lvl>
  </w:abstractNum>
  <w:abstractNum w:abstractNumId="22">
    <w:nsid w:val="2A487CB0"/>
    <w:multiLevelType w:val="hybridMultilevel"/>
    <w:lvl w:ilvl="0">
      <w:lvlJc w:val="left"/>
      <w:lvlText w:val="1"/>
      <w:numFmt w:val="bullet"/>
      <w:start w:val="1"/>
    </w:lvl>
  </w:abstractNum>
  <w:abstractNum w:abstractNumId="23">
    <w:nsid w:val="1D4ED43B"/>
    <w:multiLevelType w:val="hybridMultilevel"/>
    <w:lvl w:ilvl="0">
      <w:lvlJc w:val="left"/>
      <w:lvlText w:val="%1"/>
      <w:numFmt w:val="decimal"/>
      <w:start w:val="1"/>
    </w:lvl>
    <w:lvl w:ilvl="1">
      <w:lvlJc w:val="left"/>
      <w:lvlText w:val="%2"/>
      <w:numFmt w:val="decimal"/>
      <w:start w:val="14"/>
    </w:lvl>
  </w:abstractNum>
  <w:abstractNum w:abstractNumId="24">
    <w:nsid w:val="725A06FB"/>
    <w:multiLevelType w:val="hybridMultilevel"/>
    <w:lvl w:ilvl="0">
      <w:lvlJc w:val="left"/>
      <w:lvlText w:val="(%1)"/>
      <w:numFmt w:val="decimal"/>
      <w:start w:val="1"/>
    </w:lvl>
    <w:lvl w:ilvl="1">
      <w:lvlJc w:val="left"/>
      <w:lvlText w:val="%2"/>
      <w:numFmt w:val="decimal"/>
      <w:start w:val="1"/>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1"/>
      <w:numFmt w:val="decimal"/>
      <w:start w:val="1"/>
    </w:lvl>
    <w:lvl w:ilvl="1">
      <w:lvlJc w:val="left"/>
      <w:lvlText w:val="%2"/>
      <w:numFmt w:val="decimal"/>
      <w:start w:val="14"/>
    </w:lvl>
  </w:abstractNum>
  <w:abstractNum w:abstractNumId="27">
    <w:nsid w:val="7A6D8D3C"/>
    <w:multiLevelType w:val="hybridMultilevel"/>
    <w:lvl w:ilvl="0">
      <w:lvlJc w:val="left"/>
      <w:lvlText w:val="(%1)"/>
      <w:numFmt w:val="decimal"/>
      <w:start w:val="1"/>
    </w:lvl>
    <w:lvl w:ilvl="1">
      <w:lvlJc w:val="left"/>
      <w:lvlText w:val="%2"/>
      <w:numFmt w:val="decimal"/>
      <w:start w:val="1"/>
    </w:lvl>
  </w:abstractNum>
  <w:abstractNum w:abstractNumId="28">
    <w:nsid w:val="4B588F54"/>
    <w:multiLevelType w:val="hybridMultilevel"/>
    <w:lvl w:ilvl="0">
      <w:lvlJc w:val="left"/>
      <w:lvlText w:val="1"/>
      <w:numFmt w:val="bullet"/>
      <w:start w:val="1"/>
    </w:lvl>
  </w:abstractNum>
  <w:abstractNum w:abstractNumId="29">
    <w:nsid w:val="542289EC"/>
    <w:multiLevelType w:val="hybridMultilevel"/>
    <w:lvl w:ilvl="0">
      <w:lvlJc w:val="left"/>
      <w:lvlText w:val="%1"/>
      <w:numFmt w:val="decimal"/>
      <w:start w:val="1"/>
    </w:lvl>
    <w:lvl w:ilvl="1">
      <w:lvlJc w:val="left"/>
      <w:lvlText w:val="%2"/>
      <w:numFmt w:val="decimal"/>
      <w:start w:val="14"/>
    </w:lvl>
  </w:abstractNum>
  <w:abstractNum w:abstractNumId="30">
    <w:nsid w:val="6DE91B18"/>
    <w:multiLevelType w:val="hybridMultilevel"/>
    <w:lvl w:ilvl="0">
      <w:lvlJc w:val="left"/>
      <w:lvlText w:val="(%1)"/>
      <w:numFmt w:val="decimal"/>
      <w:start w:val="1"/>
    </w:lvl>
    <w:lvl w:ilvl="1">
      <w:lvlJc w:val="left"/>
      <w:lvlText w:val="%2"/>
      <w:numFmt w:val="decimal"/>
      <w:start w:val="1"/>
    </w:lvl>
  </w:abstractNum>
  <w:abstractNum w:abstractNumId="31">
    <w:nsid w:val="38437FDB"/>
    <w:multiLevelType w:val="hybridMultilevel"/>
    <w:lvl w:ilvl="0">
      <w:lvlJc w:val="left"/>
      <w:lvlText w:val="1"/>
      <w:numFmt w:val="bullet"/>
      <w:start w:val="1"/>
    </w:lvl>
  </w:abstractNum>
  <w:abstractNum w:abstractNumId="32">
    <w:nsid w:val="7644A45C"/>
    <w:multiLevelType w:val="hybridMultilevel"/>
    <w:lvl w:ilvl="0">
      <w:lvlJc w:val="left"/>
      <w:lvlText w:val="%1"/>
      <w:numFmt w:val="decimal"/>
      <w:start w:val="1"/>
    </w:lvl>
    <w:lvl w:ilvl="1">
      <w:lvlJc w:val="left"/>
      <w:lvlText w:val="%2"/>
      <w:numFmt w:val="decimal"/>
      <w:start w:val="14"/>
    </w:lvl>
  </w:abstractNum>
  <w:abstractNum w:abstractNumId="33">
    <w:nsid w:val="32FFF902"/>
    <w:multiLevelType w:val="hybridMultilevel"/>
    <w:lvl w:ilvl="0">
      <w:lvlJc w:val="left"/>
      <w:lvlText w:val="(%1)"/>
      <w:numFmt w:val="decimal"/>
      <w:start w:val="1"/>
    </w:lvl>
    <w:lvl w:ilvl="1">
      <w:lvlJc w:val="left"/>
      <w:lvlText w:val="%2"/>
      <w:numFmt w:val="decimal"/>
      <w:start w:val="1"/>
    </w:lvl>
  </w:abstractNum>
  <w:abstractNum w:abstractNumId="34">
    <w:nsid w:val="684A481A"/>
    <w:multiLevelType w:val="hybridMultilevel"/>
    <w:lvl w:ilvl="0">
      <w:lvlJc w:val="left"/>
      <w:lvlText w:val="1"/>
      <w:numFmt w:val="bullet"/>
      <w:start w:val="1"/>
    </w:lvl>
  </w:abstractNum>
  <w:abstractNum w:abstractNumId="35">
    <w:nsid w:val="579478FE"/>
    <w:multiLevelType w:val="hybridMultilevel"/>
    <w:lvl w:ilvl="0">
      <w:lvlJc w:val="left"/>
      <w:lvlText w:val="%1"/>
      <w:numFmt w:val="decimal"/>
      <w:start w:val="1"/>
    </w:lvl>
    <w:lvl w:ilvl="1">
      <w:lvlJc w:val="left"/>
      <w:lvlText w:val="%2"/>
      <w:numFmt w:val="decimal"/>
      <w:start w:val="14"/>
    </w:lvl>
  </w:abstractNum>
  <w:abstractNum w:abstractNumId="36">
    <w:nsid w:val="749ABB43"/>
    <w:multiLevelType w:val="hybridMultilevel"/>
    <w:lvl w:ilvl="0">
      <w:lvlJc w:val="left"/>
      <w:lvlText w:val="(%1)"/>
      <w:numFmt w:val="decimal"/>
      <w:start w:val="1"/>
    </w:lvl>
    <w:lvl w:ilvl="1">
      <w:lvlJc w:val="left"/>
      <w:lvlText w:val="%2"/>
      <w:numFmt w:val="decimal"/>
      <w:start w:val="1"/>
    </w:lvl>
  </w:abstractNum>
  <w:abstractNum w:abstractNumId="37">
    <w:nsid w:val="3DC240FB"/>
    <w:multiLevelType w:val="hybridMultilevel"/>
    <w:lvl w:ilvl="0">
      <w:lvlJc w:val="left"/>
      <w:lvlText w:val="1"/>
      <w:numFmt w:val="bullet"/>
      <w:start w:val="1"/>
    </w:lvl>
  </w:abstractNum>
  <w:abstractNum w:abstractNumId="38">
    <w:nsid w:val="1BA026FA"/>
    <w:multiLevelType w:val="hybridMultilevel"/>
    <w:lvl w:ilvl="0">
      <w:lvlJc w:val="left"/>
      <w:lvlText w:val="%1"/>
      <w:numFmt w:val="decimal"/>
      <w:start w:val="1"/>
    </w:lvl>
    <w:lvl w:ilvl="1">
      <w:lvlJc w:val="left"/>
      <w:lvlText w:val="%2"/>
      <w:numFmt w:val="decimal"/>
      <w:start w:val="14"/>
    </w:lvl>
  </w:abstractNum>
  <w:abstractNum w:abstractNumId="39">
    <w:nsid w:val="79A1DEAA"/>
    <w:multiLevelType w:val="hybridMultilevel"/>
    <w:lvl w:ilvl="0">
      <w:lvlJc w:val="left"/>
      <w:lvlText w:val="(%1)"/>
      <w:numFmt w:val="decimal"/>
      <w:start w:val="1"/>
    </w:lvl>
    <w:lvl w:ilvl="1">
      <w:lvlJc w:val="left"/>
      <w:lvlText w:val="%2"/>
      <w:numFmt w:val="decimal"/>
      <w:start w:val="1"/>
    </w:lvl>
  </w:abstractNum>
  <w:abstractNum w:abstractNumId="40">
    <w:nsid w:val="75C6C33A"/>
    <w:multiLevelType w:val="hybridMultilevel"/>
    <w:lvl w:ilvl="0">
      <w:lvlJc w:val="left"/>
      <w:lvlText w:val="1"/>
      <w:numFmt w:val="bullet"/>
      <w:start w:val="1"/>
    </w:lvl>
  </w:abstractNum>
  <w:abstractNum w:abstractNumId="41">
    <w:nsid w:val="12E685FB"/>
    <w:multiLevelType w:val="hybridMultilevel"/>
    <w:lvl w:ilvl="0">
      <w:lvlJc w:val="left"/>
      <w:lvlText w:val="%1"/>
      <w:numFmt w:val="decimal"/>
      <w:start w:val="1"/>
    </w:lvl>
    <w:lvl w:ilvl="1">
      <w:lvlJc w:val="left"/>
      <w:lvlText w:val="%2"/>
      <w:numFmt w:val="decimal"/>
      <w:start w:val="14"/>
    </w:lvl>
  </w:abstractNum>
  <w:abstractNum w:abstractNumId="42">
    <w:nsid w:val="70C6A529"/>
    <w:multiLevelType w:val="hybridMultilevel"/>
    <w:lvl w:ilvl="0">
      <w:lvlJc w:val="left"/>
      <w:lvlText w:val="(%1)"/>
      <w:numFmt w:val="decimal"/>
      <w:start w:val="1"/>
    </w:lvl>
    <w:lvl w:ilvl="1">
      <w:lvlJc w:val="left"/>
      <w:lvlText w:val="%2"/>
      <w:numFmt w:val="decimal"/>
      <w:start w:val="1"/>
    </w:lvl>
  </w:abstractNum>
  <w:abstractNum w:abstractNumId="43">
    <w:nsid w:val="520EEDD1"/>
    <w:multiLevelType w:val="hybridMultilevel"/>
    <w:lvl w:ilvl="0">
      <w:lvlJc w:val="left"/>
      <w:lvlText w:val="1"/>
      <w:numFmt w:val="bullet"/>
      <w:start w:val="1"/>
    </w:lvl>
  </w:abstractNum>
  <w:abstractNum w:abstractNumId="44">
    <w:nsid w:val="374A3FE6"/>
    <w:multiLevelType w:val="hybridMultilevel"/>
    <w:lvl w:ilvl="0">
      <w:lvlJc w:val="left"/>
      <w:lvlText w:val="%1"/>
      <w:numFmt w:val="decimal"/>
      <w:start w:val="1"/>
    </w:lvl>
    <w:lvl w:ilvl="1">
      <w:lvlJc w:val="left"/>
      <w:lvlText w:val="%2"/>
      <w:numFmt w:val="decimal"/>
      <w:start w:val="14"/>
    </w:lvl>
  </w:abstractNum>
  <w:abstractNum w:abstractNumId="45">
    <w:nsid w:val="4F4EF005"/>
    <w:multiLevelType w:val="hybridMultilevel"/>
    <w:lvl w:ilvl="0">
      <w:lvlJc w:val="left"/>
      <w:lvlText w:val="(%1)"/>
      <w:numFmt w:val="decimal"/>
      <w:start w:val="1"/>
    </w:lvl>
    <w:lvl w:ilvl="1">
      <w:lvlJc w:val="left"/>
      <w:lvlText w:val="%2"/>
      <w:numFmt w:val="decimal"/>
      <w:start w:val="1"/>
    </w:lvl>
  </w:abstractNum>
  <w:abstractNum w:abstractNumId="46">
    <w:nsid w:val="23F9C13C"/>
    <w:multiLevelType w:val="hybridMultilevel"/>
    <w:lvl w:ilvl="0">
      <w:lvlJc w:val="left"/>
      <w:lvlText w:val="1"/>
      <w:numFmt w:val="bullet"/>
      <w:start w:val="1"/>
    </w:lvl>
  </w:abstractNum>
  <w:abstractNum w:abstractNumId="47">
    <w:nsid w:val="649BB77C"/>
    <w:multiLevelType w:val="hybridMultilevel"/>
    <w:lvl w:ilvl="0">
      <w:lvlJc w:val="left"/>
      <w:lvlText w:val="%1"/>
      <w:numFmt w:val="decimal"/>
      <w:start w:val="1"/>
    </w:lvl>
    <w:lvl w:ilvl="1">
      <w:lvlJc w:val="left"/>
      <w:lvlText w:val="%2"/>
      <w:numFmt w:val="decimal"/>
      <w:start w:val="14"/>
    </w:lvl>
  </w:abstractNum>
  <w:abstractNum w:abstractNumId="48">
    <w:nsid w:val="275AC794"/>
    <w:multiLevelType w:val="hybridMultilevel"/>
    <w:lvl w:ilvl="0">
      <w:lvlJc w:val="left"/>
      <w:lvlText w:val="(%1)"/>
      <w:numFmt w:val="decimal"/>
      <w:start w:val="1"/>
    </w:lvl>
    <w:lvl w:ilvl="1">
      <w:lvlJc w:val="left"/>
      <w:lvlText w:val="%2"/>
      <w:numFmt w:val="decimal"/>
      <w:start w:val="1"/>
    </w:lvl>
  </w:abstractNum>
  <w:abstractNum w:abstractNumId="49">
    <w:nsid w:val="39386575"/>
    <w:multiLevelType w:val="hybridMultilevel"/>
    <w:lvl w:ilvl="0">
      <w:lvlJc w:val="left"/>
      <w:lvlText w:val="1"/>
      <w:numFmt w:val="bullet"/>
      <w:start w:val="1"/>
    </w:lvl>
  </w:abstractNum>
  <w:abstractNum w:abstractNumId="50">
    <w:nsid w:val="1CF10FD8"/>
    <w:multiLevelType w:val="hybridMultilevel"/>
    <w:lvl w:ilvl="0">
      <w:lvlJc w:val="left"/>
      <w:lvlText w:val="%1"/>
      <w:numFmt w:val="decimal"/>
      <w:start w:val="1"/>
    </w:lvl>
    <w:lvl w:ilvl="1">
      <w:lvlJc w:val="left"/>
      <w:lvlText w:val="%2"/>
      <w:numFmt w:val="decimal"/>
      <w:start w:val="14"/>
    </w:lvl>
  </w:abstractNum>
  <w:abstractNum w:abstractNumId="51">
    <w:nsid w:val="180115BE"/>
    <w:multiLevelType w:val="hybridMultilevel"/>
    <w:lvl w:ilvl="0">
      <w:lvlJc w:val="left"/>
      <w:lvlText w:val="(%1)"/>
      <w:numFmt w:val="decimal"/>
      <w:start w:val="1"/>
    </w:lvl>
    <w:lvl w:ilvl="1">
      <w:lvlJc w:val="left"/>
      <w:lvlText w:val="%2"/>
      <w:numFmt w:val="decimal"/>
      <w:start w:val="1"/>
    </w:lvl>
  </w:abstractNum>
  <w:abstractNum w:abstractNumId="52">
    <w:nsid w:val="235BA861"/>
    <w:multiLevelType w:val="hybridMultilevel"/>
    <w:lvl w:ilvl="0">
      <w:lvlJc w:val="left"/>
      <w:lvlText w:val="1"/>
      <w:numFmt w:val="bullet"/>
      <w:start w:val="1"/>
    </w:lvl>
  </w:abstractNum>
  <w:abstractNum w:abstractNumId="53">
    <w:nsid w:val="47398C89"/>
    <w:multiLevelType w:val="hybridMultilevel"/>
    <w:lvl w:ilvl="0">
      <w:lvlJc w:val="left"/>
      <w:lvlText w:val="%1"/>
      <w:numFmt w:val="decimal"/>
      <w:start w:val="1"/>
    </w:lvl>
    <w:lvl w:ilvl="1">
      <w:lvlJc w:val="left"/>
      <w:lvlText w:val="%2"/>
      <w:numFmt w:val="decimal"/>
      <w:start w:val="14"/>
    </w:lvl>
  </w:abstractNum>
  <w:abstractNum w:abstractNumId="54">
    <w:nsid w:val="354FE9F9"/>
    <w:multiLevelType w:val="hybridMultilevel"/>
    <w:lvl w:ilvl="0">
      <w:lvlJc w:val="left"/>
      <w:lvlText w:val="(%1)"/>
      <w:numFmt w:val="decimal"/>
      <w:start w:val="1"/>
    </w:lvl>
    <w:lvl w:ilvl="1">
      <w:lvlJc w:val="left"/>
      <w:lvlText w:val="%2"/>
      <w:numFmt w:val="decimal"/>
      <w:start w:val="1"/>
    </w:lvl>
  </w:abstractNum>
  <w:abstractNum w:abstractNumId="55">
    <w:nsid w:val="15B5AF5C"/>
    <w:multiLevelType w:val="hybridMultilevel"/>
    <w:lvl w:ilvl="0">
      <w:lvlJc w:val="left"/>
      <w:lvlText w:val="1"/>
      <w:numFmt w:val="bullet"/>
      <w:start w:val="1"/>
    </w:lvl>
  </w:abstractNum>
  <w:abstractNum w:abstractNumId="56">
    <w:nsid w:val="741226BB"/>
    <w:multiLevelType w:val="hybridMultilevel"/>
    <w:lvl w:ilvl="0">
      <w:lvlJc w:val="left"/>
      <w:lvlText w:val="%1"/>
      <w:numFmt w:val="decimal"/>
      <w:start w:val="1"/>
    </w:lvl>
    <w:lvl w:ilvl="1">
      <w:lvlJc w:val="left"/>
      <w:lvlText w:val="%2"/>
      <w:numFmt w:val="decimal"/>
      <w:start w:val="14"/>
    </w:lvl>
  </w:abstractNum>
  <w:abstractNum w:abstractNumId="57">
    <w:nsid w:val="D34B6A8"/>
    <w:multiLevelType w:val="hybridMultilevel"/>
    <w:lvl w:ilvl="0">
      <w:lvlJc w:val="left"/>
      <w:lvlText w:val="(%1)"/>
      <w:numFmt w:val="decimal"/>
      <w:start w:val="1"/>
    </w:lvl>
    <w:lvl w:ilvl="1">
      <w:lvlJc w:val="left"/>
      <w:lvlText w:val="%2"/>
      <w:numFmt w:val="decimal"/>
      <w:start w:val="1"/>
    </w:lvl>
  </w:abstractNum>
  <w:abstractNum w:abstractNumId="58">
    <w:nsid w:val="10233C99"/>
    <w:multiLevelType w:val="hybridMultilevel"/>
    <w:lvl w:ilvl="0">
      <w:lvlJc w:val="left"/>
      <w:lvlText w:val="(%1)"/>
      <w:numFmt w:val="lowerRoman"/>
      <w:start w:val="1"/>
    </w:lvl>
  </w:abstractNum>
  <w:abstractNum w:abstractNumId="59">
    <w:nsid w:val="3F6AB60F"/>
    <w:multiLevelType w:val="hybridMultilevel"/>
    <w:lvl w:ilvl="0">
      <w:lvlJc w:val="left"/>
      <w:lvlText w:val="%1"/>
      <w:numFmt w:val="upperLetter"/>
      <w:start w:val="61"/>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lowerRoman"/>
      <w:start w:val="7"/>
    </w:lvl>
  </w:abstractNum>
  <w:abstractNum w:abstractNumId="62">
    <w:nsid w:val="77AE35EB"/>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55" Type="http://schemas.openxmlformats.org/officeDocument/2006/relationships/hyperlink" Target="https://www.sec.gov/Archives/edgar/data/1740279/000119312523292706/d634758dex101.htm" TargetMode="External"/><Relationship Id="rId56" Type="http://schemas.openxmlformats.org/officeDocument/2006/relationships/hyperlink" Target="https://www.sec.gov/Archives/edgar/data/1740279/000119312523292706/d634758dex41.htm" TargetMode="External"/><Relationship Id="rId57" Type="http://schemas.openxmlformats.org/officeDocument/2006/relationships/hyperlink" Target="https://www.sec.gov/Archives/edgar/data/1740279/000119312523292706/d634758dex42.htm" TargetMode="External"/><Relationship Id="rId58" Type="http://schemas.openxmlformats.org/officeDocument/2006/relationships/hyperlink" Target="https://www.sec.gov/Archives/edgar/data/1740279/000119312523292706/d634758dex43.htm" TargetMode="External"/><Relationship Id="rId59" Type="http://schemas.openxmlformats.org/officeDocument/2006/relationships/hyperlink" Target="https://www.sec.gov/Archives/edgar/data/1740279/000119312523292706/d63475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2023-12-15T05:35:54Z</dcterms:created>
  <dcterms:modified xsi:type="dcterms:W3CDTF">2023-12-15T05:35:54Z</dcterms:modified>
</cp:coreProperties>
</file>