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072025_040208.xml.htm"/>
      <w:bookmarkStart w:id="1" w:name="ksform402072025_0402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Lamb Lawrence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IN8BIO,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5TH AVE. SUITE 5330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IN8BIO,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INAB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CSO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306,750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306,750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Twenty-five percent (25%) of the shares subject to the option shall vest on February 5, 2026 and the remaining shares subject to the option shall vest in thirty-six (36) equal monthly installments thereafter, subject to the Reporting Person continuing to provide service through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Minio,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059" TargetMode="External"/><Relationship Id="rId5" Type="http://schemas.openxmlformats.org/officeDocument/2006/relationships/hyperlink" Target="http://www.sec.gov/cgi-bin/browse-edgar?action=getcompany&amp;CIK=00017402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3346</Characters>
  <CharactersWithSpaces>3903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