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January 20, 2026</w:t>
      </w:r>
    </w:p>
    <w:p>
      <w:pPr>
        <w:spacing w:after="0" w:line="4"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837565</wp:posOffset>
            </wp:positionH>
            <wp:positionV relativeFrom="paragraph">
              <wp:posOffset>50800</wp:posOffset>
            </wp:positionV>
            <wp:extent cx="5492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84455</wp:posOffset>
            </wp:positionV>
            <wp:extent cx="5492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pacing w:after="0" w:line="14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ind w:left="48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172720</wp:posOffset>
            </wp:positionV>
            <wp:extent cx="11576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FORM S-3</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jc w:val="center"/>
        <w:ind w:right="-1140"/>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180340</wp:posOffset>
            </wp:positionV>
            <wp:extent cx="1157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8"/>
          <w:szCs w:val="28"/>
          <w:b w:val="1"/>
          <w:bCs w:val="1"/>
          <w:color w:val="auto"/>
        </w:rPr>
        <w:t>IN8BIO, INC.</w:t>
      </w:r>
    </w:p>
    <w:p>
      <w:pPr>
        <w:spacing w:after="0" w:line="3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172085</wp:posOffset>
            </wp:positionV>
            <wp:extent cx="11576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tbl>
      <w:tblPr>
        <w:tblLayout w:type="fixed"/>
        <w:tblInd w:w="2860" w:type="dxa"/>
        <w:tblCellMar>
          <w:top w:w="0" w:type="dxa"/>
          <w:left w:w="0" w:type="dxa"/>
          <w:bottom w:w="0" w:type="dxa"/>
          <w:right w:w="0" w:type="dxa"/>
        </w:tblCellMar>
      </w:tblPr>
      <w:tr>
        <w:trPr>
          <w:trHeight w:val="126"/>
        </w:trPr>
        <w:tc>
          <w:tcPr>
            <w:tcW w:w="2900" w:type="dxa"/>
            <w:vAlign w:val="bottom"/>
          </w:tcPr>
          <w:p>
            <w:pPr>
              <w:jc w:val="center"/>
              <w:ind w:right="1548"/>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600" w:type="dxa"/>
            <w:vAlign w:val="bottom"/>
          </w:tcPr>
          <w:p>
            <w:pPr>
              <w:jc w:val="center"/>
              <w:ind w:left="1568"/>
              <w:spacing w:after="0"/>
              <w:rPr>
                <w:sz w:val="20"/>
                <w:szCs w:val="20"/>
                <w:color w:val="auto"/>
              </w:rPr>
            </w:pPr>
            <w:r>
              <w:rPr>
                <w:rFonts w:ascii="Times New Roman" w:cs="Times New Roman" w:eastAsia="Times New Roman" w:hAnsi="Times New Roman"/>
                <w:sz w:val="11"/>
                <w:szCs w:val="11"/>
                <w:b w:val="1"/>
                <w:bCs w:val="1"/>
                <w:color w:val="auto"/>
              </w:rPr>
              <w:t>82-5462585</w:t>
            </w:r>
          </w:p>
        </w:tc>
      </w:tr>
      <w:tr>
        <w:trPr>
          <w:trHeight w:val="106"/>
        </w:trPr>
        <w:tc>
          <w:tcPr>
            <w:tcW w:w="2900" w:type="dxa"/>
            <w:vAlign w:val="bottom"/>
          </w:tcPr>
          <w:p>
            <w:pPr>
              <w:jc w:val="center"/>
              <w:ind w:right="1568"/>
              <w:spacing w:after="0" w:line="106" w:lineRule="exact"/>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2600" w:type="dxa"/>
            <w:vAlign w:val="bottom"/>
          </w:tcPr>
          <w:p>
            <w:pPr>
              <w:jc w:val="center"/>
              <w:ind w:left="1568"/>
              <w:spacing w:after="0" w:line="106"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30"/>
        </w:trPr>
        <w:tc>
          <w:tcPr>
            <w:tcW w:w="2900" w:type="dxa"/>
            <w:vAlign w:val="bottom"/>
          </w:tcPr>
          <w:p>
            <w:pPr>
              <w:jc w:val="center"/>
              <w:ind w:right="1568"/>
              <w:spacing w:after="0"/>
              <w:rPr>
                <w:sz w:val="20"/>
                <w:szCs w:val="20"/>
                <w:color w:val="auto"/>
              </w:rPr>
            </w:pPr>
            <w:r>
              <w:rPr>
                <w:rFonts w:ascii="Times New Roman" w:cs="Times New Roman" w:eastAsia="Times New Roman" w:hAnsi="Times New Roman"/>
                <w:sz w:val="10"/>
                <w:szCs w:val="10"/>
                <w:b w:val="1"/>
                <w:bCs w:val="1"/>
                <w:color w:val="auto"/>
                <w:w w:val="98"/>
              </w:rPr>
              <w:t>incorporation or organization)</w:t>
            </w:r>
          </w:p>
        </w:tc>
        <w:tc>
          <w:tcPr>
            <w:tcW w:w="2600" w:type="dxa"/>
            <w:vAlign w:val="bottom"/>
          </w:tcPr>
          <w:p>
            <w:pPr>
              <w:jc w:val="center"/>
              <w:ind w:left="1568"/>
              <w:spacing w:after="0"/>
              <w:rPr>
                <w:sz w:val="20"/>
                <w:szCs w:val="20"/>
                <w:color w:val="auto"/>
              </w:rPr>
            </w:pPr>
            <w:r>
              <w:rPr>
                <w:rFonts w:ascii="Times New Roman" w:cs="Times New Roman" w:eastAsia="Times New Roman" w:hAnsi="Times New Roman"/>
                <w:sz w:val="10"/>
                <w:szCs w:val="10"/>
                <w:b w:val="1"/>
                <w:bCs w:val="1"/>
                <w:color w:val="auto"/>
                <w:w w:val="98"/>
              </w:rPr>
              <w:t>Identification Number)</w:t>
            </w:r>
          </w:p>
        </w:tc>
      </w:tr>
    </w:tbl>
    <w:p>
      <w:pPr>
        <w:spacing w:after="0" w:line="1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350 5th Avenue, Suite 5330</w:t>
      </w:r>
    </w:p>
    <w:p>
      <w:pPr>
        <w:jc w:val="center"/>
        <w:ind w:right="-1140"/>
        <w:spacing w:after="0" w:line="229" w:lineRule="auto"/>
        <w:rPr>
          <w:sz w:val="20"/>
          <w:szCs w:val="20"/>
          <w:color w:val="auto"/>
        </w:rPr>
      </w:pPr>
      <w:r>
        <w:rPr>
          <w:rFonts w:ascii="Times New Roman" w:cs="Times New Roman" w:eastAsia="Times New Roman" w:hAnsi="Times New Roman"/>
          <w:sz w:val="11"/>
          <w:szCs w:val="11"/>
          <w:b w:val="1"/>
          <w:bCs w:val="1"/>
          <w:color w:val="auto"/>
        </w:rPr>
        <w:t>New York, New York 10118</w:t>
      </w:r>
    </w:p>
    <w:p>
      <w:pPr>
        <w:jc w:val="center"/>
        <w:ind w:right="-1140"/>
        <w:spacing w:after="0" w:line="224" w:lineRule="auto"/>
        <w:rPr>
          <w:sz w:val="20"/>
          <w:szCs w:val="20"/>
          <w:color w:val="auto"/>
        </w:rPr>
      </w:pPr>
      <w:r>
        <w:rPr>
          <w:rFonts w:ascii="Times New Roman" w:cs="Times New Roman" w:eastAsia="Times New Roman" w:hAnsi="Times New Roman"/>
          <w:sz w:val="11"/>
          <w:szCs w:val="11"/>
          <w:b w:val="1"/>
          <w:bCs w:val="1"/>
          <w:color w:val="auto"/>
        </w:rPr>
        <w:t>(646) 600-6438</w:t>
      </w:r>
    </w:p>
    <w:p>
      <w:pPr>
        <w:spacing w:after="0" w:line="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171450</wp:posOffset>
            </wp:positionV>
            <wp:extent cx="11576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William Ho</w:t>
      </w:r>
    </w:p>
    <w:p>
      <w:pPr>
        <w:jc w:val="center"/>
        <w:ind w:right="-1140"/>
        <w:spacing w:after="0" w:line="229" w:lineRule="auto"/>
        <w:rPr>
          <w:sz w:val="20"/>
          <w:szCs w:val="20"/>
          <w:color w:val="auto"/>
        </w:rPr>
      </w:pPr>
      <w:r>
        <w:rPr>
          <w:rFonts w:ascii="Times New Roman" w:cs="Times New Roman" w:eastAsia="Times New Roman" w:hAnsi="Times New Roman"/>
          <w:sz w:val="11"/>
          <w:szCs w:val="11"/>
          <w:b w:val="1"/>
          <w:bCs w:val="1"/>
          <w:color w:val="auto"/>
        </w:rPr>
        <w:t>President and Chief Executive Officer</w:t>
      </w:r>
    </w:p>
    <w:p>
      <w:pPr>
        <w:jc w:val="center"/>
        <w:ind w:right="-1140"/>
        <w:spacing w:after="0" w:line="221" w:lineRule="auto"/>
        <w:rPr>
          <w:sz w:val="20"/>
          <w:szCs w:val="20"/>
          <w:color w:val="auto"/>
        </w:rPr>
      </w:pPr>
      <w:r>
        <w:rPr>
          <w:rFonts w:ascii="Times New Roman" w:cs="Times New Roman" w:eastAsia="Times New Roman" w:hAnsi="Times New Roman"/>
          <w:sz w:val="11"/>
          <w:szCs w:val="11"/>
          <w:b w:val="1"/>
          <w:bCs w:val="1"/>
          <w:color w:val="auto"/>
        </w:rPr>
        <w:t>IN8bio, Inc.</w:t>
      </w:r>
    </w:p>
    <w:p>
      <w:pPr>
        <w:jc w:val="center"/>
        <w:ind w:right="-1140"/>
        <w:spacing w:after="0" w:line="221" w:lineRule="auto"/>
        <w:rPr>
          <w:sz w:val="20"/>
          <w:szCs w:val="20"/>
          <w:color w:val="auto"/>
        </w:rPr>
      </w:pPr>
      <w:r>
        <w:rPr>
          <w:rFonts w:ascii="Times New Roman" w:cs="Times New Roman" w:eastAsia="Times New Roman" w:hAnsi="Times New Roman"/>
          <w:sz w:val="11"/>
          <w:szCs w:val="11"/>
          <w:b w:val="1"/>
          <w:bCs w:val="1"/>
          <w:color w:val="auto"/>
        </w:rPr>
        <w:t>350 5th Avenue, Suite 5330</w:t>
      </w:r>
    </w:p>
    <w:p>
      <w:pPr>
        <w:jc w:val="center"/>
        <w:ind w:right="-1140"/>
        <w:spacing w:after="0" w:line="221" w:lineRule="auto"/>
        <w:rPr>
          <w:sz w:val="20"/>
          <w:szCs w:val="20"/>
          <w:color w:val="auto"/>
        </w:rPr>
      </w:pPr>
      <w:r>
        <w:rPr>
          <w:rFonts w:ascii="Times New Roman" w:cs="Times New Roman" w:eastAsia="Times New Roman" w:hAnsi="Times New Roman"/>
          <w:sz w:val="11"/>
          <w:szCs w:val="11"/>
          <w:b w:val="1"/>
          <w:bCs w:val="1"/>
          <w:color w:val="auto"/>
        </w:rPr>
        <w:t>New York, New York 10118</w:t>
      </w:r>
    </w:p>
    <w:p>
      <w:pPr>
        <w:jc w:val="center"/>
        <w:ind w:right="-1140"/>
        <w:spacing w:after="0" w:line="225" w:lineRule="auto"/>
        <w:rPr>
          <w:sz w:val="20"/>
          <w:szCs w:val="20"/>
          <w:color w:val="auto"/>
        </w:rPr>
      </w:pPr>
      <w:r>
        <w:rPr>
          <w:rFonts w:ascii="Times New Roman" w:cs="Times New Roman" w:eastAsia="Times New Roman" w:hAnsi="Times New Roman"/>
          <w:sz w:val="11"/>
          <w:szCs w:val="11"/>
          <w:b w:val="1"/>
          <w:bCs w:val="1"/>
          <w:color w:val="auto"/>
        </w:rPr>
        <w:t>(646) 600-6438</w:t>
      </w:r>
    </w:p>
    <w:p>
      <w:pPr>
        <w:ind w:left="354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171450</wp:posOffset>
            </wp:positionV>
            <wp:extent cx="11576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250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3580" w:type="dxa"/>
            <w:vAlign w:val="bottom"/>
          </w:tcPr>
          <w:p>
            <w:pPr>
              <w:ind w:left="46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r>
      <w:tr>
        <w:trPr>
          <w:trHeight w:val="275"/>
        </w:trPr>
        <w:tc>
          <w:tcPr>
            <w:tcW w:w="2460" w:type="dxa"/>
            <w:vAlign w:val="bottom"/>
          </w:tcPr>
          <w:p>
            <w:pPr>
              <w:jc w:val="center"/>
              <w:ind w:right="384"/>
              <w:spacing w:after="0"/>
              <w:rPr>
                <w:sz w:val="20"/>
                <w:szCs w:val="20"/>
                <w:color w:val="auto"/>
              </w:rPr>
            </w:pPr>
            <w:r>
              <w:rPr>
                <w:rFonts w:ascii="Times New Roman" w:cs="Times New Roman" w:eastAsia="Times New Roman" w:hAnsi="Times New Roman"/>
                <w:sz w:val="11"/>
                <w:szCs w:val="11"/>
                <w:b w:val="1"/>
                <w:bCs w:val="1"/>
                <w:color w:val="auto"/>
              </w:rPr>
              <w:t>Jaime L. Chase</w:t>
            </w:r>
          </w:p>
        </w:tc>
        <w:tc>
          <w:tcPr>
            <w:tcW w:w="3580" w:type="dxa"/>
            <w:vAlign w:val="bottom"/>
          </w:tcPr>
          <w:p>
            <w:pPr>
              <w:jc w:val="center"/>
              <w:ind w:left="2184"/>
              <w:spacing w:after="0"/>
              <w:rPr>
                <w:sz w:val="20"/>
                <w:szCs w:val="20"/>
                <w:color w:val="auto"/>
              </w:rPr>
            </w:pPr>
            <w:r>
              <w:rPr>
                <w:rFonts w:ascii="Times New Roman" w:cs="Times New Roman" w:eastAsia="Times New Roman" w:hAnsi="Times New Roman"/>
                <w:sz w:val="11"/>
                <w:szCs w:val="11"/>
                <w:b w:val="1"/>
                <w:bCs w:val="1"/>
                <w:color w:val="auto"/>
              </w:rPr>
              <w:t>Patrick McCall</w:t>
            </w:r>
          </w:p>
        </w:tc>
      </w:tr>
      <w:tr>
        <w:trPr>
          <w:trHeight w:val="117"/>
        </w:trPr>
        <w:tc>
          <w:tcPr>
            <w:tcW w:w="2460" w:type="dxa"/>
            <w:vAlign w:val="bottom"/>
          </w:tcPr>
          <w:p>
            <w:pPr>
              <w:jc w:val="center"/>
              <w:ind w:right="404"/>
              <w:spacing w:after="0" w:line="117" w:lineRule="exact"/>
              <w:rPr>
                <w:sz w:val="20"/>
                <w:szCs w:val="20"/>
                <w:color w:val="auto"/>
              </w:rPr>
            </w:pPr>
            <w:r>
              <w:rPr>
                <w:rFonts w:ascii="Times New Roman" w:cs="Times New Roman" w:eastAsia="Times New Roman" w:hAnsi="Times New Roman"/>
                <w:sz w:val="11"/>
                <w:szCs w:val="11"/>
                <w:b w:val="1"/>
                <w:bCs w:val="1"/>
                <w:color w:val="auto"/>
                <w:w w:val="98"/>
              </w:rPr>
              <w:t>Trey Reilly</w:t>
            </w:r>
          </w:p>
        </w:tc>
        <w:tc>
          <w:tcPr>
            <w:tcW w:w="3580" w:type="dxa"/>
            <w:vAlign w:val="bottom"/>
          </w:tcPr>
          <w:p>
            <w:pPr>
              <w:jc w:val="center"/>
              <w:ind w:left="2184"/>
              <w:spacing w:after="0" w:line="117" w:lineRule="exact"/>
              <w:rPr>
                <w:sz w:val="20"/>
                <w:szCs w:val="20"/>
                <w:color w:val="auto"/>
              </w:rPr>
            </w:pPr>
            <w:r>
              <w:rPr>
                <w:rFonts w:ascii="Times New Roman" w:cs="Times New Roman" w:eastAsia="Times New Roman" w:hAnsi="Times New Roman"/>
                <w:sz w:val="11"/>
                <w:szCs w:val="11"/>
                <w:b w:val="1"/>
                <w:bCs w:val="1"/>
                <w:color w:val="auto"/>
              </w:rPr>
              <w:t>Chief Financial Officer</w:t>
            </w:r>
          </w:p>
        </w:tc>
      </w:tr>
      <w:tr>
        <w:trPr>
          <w:trHeight w:val="117"/>
        </w:trPr>
        <w:tc>
          <w:tcPr>
            <w:tcW w:w="2460" w:type="dxa"/>
            <w:vAlign w:val="bottom"/>
          </w:tcPr>
          <w:p>
            <w:pPr>
              <w:jc w:val="center"/>
              <w:ind w:right="384"/>
              <w:spacing w:after="0" w:line="117" w:lineRule="exact"/>
              <w:rPr>
                <w:sz w:val="20"/>
                <w:szCs w:val="20"/>
                <w:color w:val="auto"/>
              </w:rPr>
            </w:pPr>
            <w:r>
              <w:rPr>
                <w:rFonts w:ascii="Times New Roman" w:cs="Times New Roman" w:eastAsia="Times New Roman" w:hAnsi="Times New Roman"/>
                <w:sz w:val="11"/>
                <w:szCs w:val="11"/>
                <w:b w:val="1"/>
                <w:bCs w:val="1"/>
                <w:color w:val="auto"/>
              </w:rPr>
              <w:t>Cooley LLP</w:t>
            </w:r>
          </w:p>
        </w:tc>
        <w:tc>
          <w:tcPr>
            <w:tcW w:w="3580" w:type="dxa"/>
            <w:vAlign w:val="bottom"/>
          </w:tcPr>
          <w:p>
            <w:pPr>
              <w:jc w:val="center"/>
              <w:ind w:left="2184"/>
              <w:spacing w:after="0" w:line="117" w:lineRule="exact"/>
              <w:rPr>
                <w:sz w:val="20"/>
                <w:szCs w:val="20"/>
                <w:color w:val="auto"/>
              </w:rPr>
            </w:pPr>
            <w:r>
              <w:rPr>
                <w:rFonts w:ascii="Times New Roman" w:cs="Times New Roman" w:eastAsia="Times New Roman" w:hAnsi="Times New Roman"/>
                <w:sz w:val="11"/>
                <w:szCs w:val="11"/>
                <w:b w:val="1"/>
                <w:bCs w:val="1"/>
                <w:color w:val="auto"/>
              </w:rPr>
              <w:t>IN8bio, Inc.</w:t>
            </w:r>
          </w:p>
        </w:tc>
      </w:tr>
      <w:tr>
        <w:trPr>
          <w:trHeight w:val="117"/>
        </w:trPr>
        <w:tc>
          <w:tcPr>
            <w:tcW w:w="2460" w:type="dxa"/>
            <w:vAlign w:val="bottom"/>
          </w:tcPr>
          <w:p>
            <w:pPr>
              <w:jc w:val="center"/>
              <w:ind w:right="404"/>
              <w:spacing w:after="0" w:line="117" w:lineRule="exact"/>
              <w:rPr>
                <w:sz w:val="20"/>
                <w:szCs w:val="20"/>
                <w:color w:val="auto"/>
              </w:rPr>
            </w:pPr>
            <w:r>
              <w:rPr>
                <w:rFonts w:ascii="Times New Roman" w:cs="Times New Roman" w:eastAsia="Times New Roman" w:hAnsi="Times New Roman"/>
                <w:sz w:val="11"/>
                <w:szCs w:val="11"/>
                <w:b w:val="1"/>
                <w:bCs w:val="1"/>
                <w:color w:val="auto"/>
              </w:rPr>
              <w:t>1299 Pennsylvania Avenue NW, Suite 700</w:t>
            </w:r>
          </w:p>
        </w:tc>
        <w:tc>
          <w:tcPr>
            <w:tcW w:w="3580" w:type="dxa"/>
            <w:vAlign w:val="bottom"/>
          </w:tcPr>
          <w:p>
            <w:pPr>
              <w:jc w:val="center"/>
              <w:ind w:left="2184"/>
              <w:spacing w:after="0" w:line="117" w:lineRule="exact"/>
              <w:rPr>
                <w:sz w:val="20"/>
                <w:szCs w:val="20"/>
                <w:color w:val="auto"/>
              </w:rPr>
            </w:pPr>
            <w:r>
              <w:rPr>
                <w:rFonts w:ascii="Times New Roman" w:cs="Times New Roman" w:eastAsia="Times New Roman" w:hAnsi="Times New Roman"/>
                <w:sz w:val="11"/>
                <w:szCs w:val="11"/>
                <w:b w:val="1"/>
                <w:bCs w:val="1"/>
                <w:color w:val="auto"/>
              </w:rPr>
              <w:t>350 5th Avenue, Suite 5330</w:t>
            </w:r>
          </w:p>
        </w:tc>
      </w:tr>
      <w:tr>
        <w:trPr>
          <w:trHeight w:val="117"/>
        </w:trPr>
        <w:tc>
          <w:tcPr>
            <w:tcW w:w="2460" w:type="dxa"/>
            <w:vAlign w:val="bottom"/>
          </w:tcPr>
          <w:p>
            <w:pPr>
              <w:jc w:val="center"/>
              <w:ind w:right="404"/>
              <w:spacing w:after="0" w:line="117" w:lineRule="exact"/>
              <w:rPr>
                <w:sz w:val="20"/>
                <w:szCs w:val="20"/>
                <w:color w:val="auto"/>
              </w:rPr>
            </w:pPr>
            <w:r>
              <w:rPr>
                <w:rFonts w:ascii="Times New Roman" w:cs="Times New Roman" w:eastAsia="Times New Roman" w:hAnsi="Times New Roman"/>
                <w:sz w:val="11"/>
                <w:szCs w:val="11"/>
                <w:b w:val="1"/>
                <w:bCs w:val="1"/>
                <w:color w:val="auto"/>
              </w:rPr>
              <w:t>Washington, D.C. 20004</w:t>
            </w:r>
          </w:p>
        </w:tc>
        <w:tc>
          <w:tcPr>
            <w:tcW w:w="3580" w:type="dxa"/>
            <w:vAlign w:val="bottom"/>
          </w:tcPr>
          <w:p>
            <w:pPr>
              <w:jc w:val="center"/>
              <w:ind w:left="2184"/>
              <w:spacing w:after="0" w:line="117" w:lineRule="exact"/>
              <w:rPr>
                <w:sz w:val="20"/>
                <w:szCs w:val="20"/>
                <w:color w:val="auto"/>
              </w:rPr>
            </w:pPr>
            <w:r>
              <w:rPr>
                <w:rFonts w:ascii="Times New Roman" w:cs="Times New Roman" w:eastAsia="Times New Roman" w:hAnsi="Times New Roman"/>
                <w:sz w:val="11"/>
                <w:szCs w:val="11"/>
                <w:b w:val="1"/>
                <w:bCs w:val="1"/>
                <w:color w:val="auto"/>
              </w:rPr>
              <w:t>New York, New York 10118</w:t>
            </w:r>
          </w:p>
        </w:tc>
      </w:tr>
      <w:tr>
        <w:trPr>
          <w:trHeight w:val="149"/>
        </w:trPr>
        <w:tc>
          <w:tcPr>
            <w:tcW w:w="2460" w:type="dxa"/>
            <w:vAlign w:val="bottom"/>
          </w:tcPr>
          <w:p>
            <w:pPr>
              <w:spacing w:after="0"/>
              <w:rPr>
                <w:sz w:val="12"/>
                <w:szCs w:val="12"/>
                <w:color w:val="auto"/>
              </w:rPr>
            </w:pPr>
          </w:p>
        </w:tc>
        <w:tc>
          <w:tcPr>
            <w:tcW w:w="3580" w:type="dxa"/>
            <w:vAlign w:val="bottom"/>
          </w:tcPr>
          <w:p>
            <w:pPr>
              <w:jc w:val="center"/>
              <w:ind w:left="2184"/>
              <w:spacing w:after="0"/>
              <w:rPr>
                <w:sz w:val="20"/>
                <w:szCs w:val="20"/>
                <w:color w:val="auto"/>
              </w:rPr>
            </w:pPr>
            <w:r>
              <w:rPr>
                <w:rFonts w:ascii="Times New Roman" w:cs="Times New Roman" w:eastAsia="Times New Roman" w:hAnsi="Times New Roman"/>
                <w:sz w:val="11"/>
                <w:szCs w:val="11"/>
                <w:b w:val="1"/>
                <w:bCs w:val="1"/>
                <w:color w:val="auto"/>
              </w:rPr>
              <w:t>(646) 600-6438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180340</wp:posOffset>
            </wp:positionV>
            <wp:extent cx="11576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From time to time after the effective date of this Registration Statement.</w:t>
      </w:r>
    </w:p>
    <w:p>
      <w:pPr>
        <w:spacing w:after="0" w:line="146" w:lineRule="exact"/>
        <w:rPr>
          <w:sz w:val="24"/>
          <w:szCs w:val="24"/>
          <w:color w:val="auto"/>
        </w:rPr>
      </w:pPr>
    </w:p>
    <w:p>
      <w:pPr>
        <w:ind w:left="166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96" w:lineRule="exact"/>
        <w:rPr>
          <w:sz w:val="24"/>
          <w:szCs w:val="24"/>
          <w:color w:val="auto"/>
        </w:rPr>
      </w:pPr>
    </w:p>
    <w:p>
      <w:pPr>
        <w:ind w:left="1320" w:right="299" w:firstLine="346"/>
        <w:spacing w:after="0" w:line="146"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133" w:lineRule="exact"/>
        <w:rPr>
          <w:sz w:val="24"/>
          <w:szCs w:val="24"/>
          <w:color w:val="auto"/>
        </w:rPr>
      </w:pPr>
    </w:p>
    <w:p>
      <w:pPr>
        <w:ind w:left="1320" w:right="639" w:firstLine="346"/>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33" w:lineRule="exact"/>
        <w:rPr>
          <w:sz w:val="24"/>
          <w:szCs w:val="24"/>
          <w:color w:val="auto"/>
        </w:rPr>
      </w:pPr>
    </w:p>
    <w:p>
      <w:pPr>
        <w:ind w:left="1320" w:right="279" w:firstLine="346"/>
        <w:spacing w:after="0" w:line="13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1320" w:right="199" w:firstLine="346"/>
        <w:spacing w:after="0" w:line="140"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33" w:lineRule="exact"/>
        <w:rPr>
          <w:sz w:val="24"/>
          <w:szCs w:val="24"/>
          <w:color w:val="auto"/>
        </w:rPr>
      </w:pPr>
    </w:p>
    <w:p>
      <w:pPr>
        <w:ind w:left="1320" w:right="319" w:firstLine="346"/>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3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w:t>
      </w:r>
    </w:p>
    <w:p>
      <w:pPr>
        <w:spacing w:after="0" w:line="2"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1"/>
          <w:szCs w:val="11"/>
          <w:color w:val="auto"/>
        </w:rPr>
        <w:t>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1320" w:type="dxa"/>
        <w:tblCellMar>
          <w:top w:w="0" w:type="dxa"/>
          <w:left w:w="0" w:type="dxa"/>
          <w:bottom w:w="0" w:type="dxa"/>
          <w:right w:w="0" w:type="dxa"/>
        </w:tblCellMar>
      </w:tblPr>
      <w:tr>
        <w:trPr>
          <w:trHeight w:val="180"/>
        </w:trPr>
        <w:tc>
          <w:tcPr>
            <w:tcW w:w="12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9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Accelerated filer</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2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9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8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Emerging growth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32" w:lineRule="exact"/>
        <w:rPr>
          <w:sz w:val="24"/>
          <w:szCs w:val="24"/>
          <w:color w:val="auto"/>
        </w:rPr>
      </w:pPr>
    </w:p>
    <w:p>
      <w:pPr>
        <w:ind w:left="1320" w:right="639" w:firstLine="346"/>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162560</wp:posOffset>
            </wp:positionV>
            <wp:extent cx="1157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397" w:lineRule="exact"/>
        <w:rPr>
          <w:sz w:val="24"/>
          <w:szCs w:val="24"/>
          <w:color w:val="auto"/>
        </w:rPr>
      </w:pPr>
    </w:p>
    <w:p>
      <w:pPr>
        <w:ind w:left="1320" w:right="399" w:firstLine="346"/>
        <w:spacing w:after="0" w:line="242"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48" w:lineRule="exact"/>
        <w:rPr>
          <w:sz w:val="20"/>
          <w:szCs w:val="20"/>
          <w:color w:val="auto"/>
        </w:rPr>
      </w:pPr>
    </w:p>
    <w:tbl>
      <w:tblPr>
        <w:tblLayout w:type="fixed"/>
        <w:tblInd w:w="1320" w:type="dxa"/>
        <w:tblCellMar>
          <w:top w:w="0" w:type="dxa"/>
          <w:left w:w="0" w:type="dxa"/>
          <w:bottom w:w="0" w:type="dxa"/>
          <w:right w:w="0" w:type="dxa"/>
        </w:tblCellMar>
      </w:tblPr>
      <w:tr>
        <w:trPr>
          <w:trHeight w:val="7599"/>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prospectus is not complete and may be changed. The selling stockholders may not sell these securities until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filed with the Securities and Exchange Commission is effective. This prospectus is not an offer to sell these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soliciting an offer to buy these securities in any state where the offer or sale is not permitted.</w:t>
            </w:r>
          </w:p>
        </w:tc>
      </w:tr>
      <w:tr>
        <w:trPr>
          <w:trHeight w:val="152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The information in this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registration statement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securities and it is not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FF4338"/>
        </w:rPr>
        <w:t>SUBJECT TO COMPLETION, DATED JANUARY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-595630</wp:posOffset>
            </wp:positionV>
            <wp:extent cx="720090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137160</wp:posOffset>
            </wp:positionV>
            <wp:extent cx="1978660" cy="760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8660" cy="76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5"/>
          <w:szCs w:val="25"/>
          <w:b w:val="1"/>
          <w:bCs w:val="1"/>
          <w:color w:val="auto"/>
        </w:rPr>
        <w:t>14,384,052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198120</wp:posOffset>
            </wp:positionV>
            <wp:extent cx="92900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9005" cy="69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099" w:firstLine="278"/>
        <w:spacing w:after="0" w:line="258" w:lineRule="auto"/>
        <w:rPr>
          <w:sz w:val="20"/>
          <w:szCs w:val="20"/>
          <w:color w:val="auto"/>
        </w:rPr>
      </w:pPr>
      <w:r>
        <w:rPr>
          <w:rFonts w:ascii="Times New Roman" w:cs="Times New Roman" w:eastAsia="Times New Roman" w:hAnsi="Times New Roman"/>
          <w:sz w:val="14"/>
          <w:szCs w:val="14"/>
          <w:color w:val="auto"/>
        </w:rPr>
        <w:t>This prospectus covers the offer and resale from time to time by the selling stockholders identified in this prospectus or their donees, pledgees, assignees, transferees, distributees or other successors-in-interest (the “selling stockholders”) of up to an aggregate of 14,384,052 shares of our common stock, par value $0.0001 per share, issued by us in a private placement on December 22, 2025, consisting of (i) 4,931,375 shares of our common stock (the “PIPE Shares”) and</w:t>
      </w:r>
    </w:p>
    <w:p>
      <w:pPr>
        <w:ind w:right="1199" w:firstLine="7"/>
        <w:spacing w:after="0" w:line="259" w:lineRule="auto"/>
        <w:tabs>
          <w:tab w:leader="none" w:pos="20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9,452,677 shares of our common stock (the “Pre-Funded Warrant Shares”) issuable upon the exercise of outstanding pre-funded warrants to purchase shares of our common stock (the “Pre-Funded Warrants”) held by certain selling stockholders.</w:t>
      </w:r>
    </w:p>
    <w:p>
      <w:pPr>
        <w:spacing w:after="0" w:line="143" w:lineRule="exact"/>
        <w:rPr>
          <w:sz w:val="20"/>
          <w:szCs w:val="20"/>
          <w:color w:val="auto"/>
        </w:rPr>
      </w:pPr>
    </w:p>
    <w:p>
      <w:pPr>
        <w:ind w:right="1119" w:firstLine="278"/>
        <w:spacing w:after="0" w:line="286" w:lineRule="auto"/>
        <w:rPr>
          <w:sz w:val="20"/>
          <w:szCs w:val="20"/>
          <w:color w:val="auto"/>
        </w:rPr>
      </w:pPr>
      <w:r>
        <w:rPr>
          <w:rFonts w:ascii="Times New Roman" w:cs="Times New Roman" w:eastAsia="Times New Roman" w:hAnsi="Times New Roman"/>
          <w:sz w:val="14"/>
          <w:szCs w:val="14"/>
          <w:color w:val="auto"/>
        </w:rPr>
        <w:t>We are not selling any shares of common stock under this prospectus and will not receive any proceeds from the sale by the selling stockholders of such shares.</w:t>
      </w:r>
    </w:p>
    <w:p>
      <w:pPr>
        <w:spacing w:after="0" w:line="125" w:lineRule="exact"/>
        <w:rPr>
          <w:sz w:val="20"/>
          <w:szCs w:val="20"/>
          <w:color w:val="auto"/>
        </w:rPr>
      </w:pPr>
    </w:p>
    <w:p>
      <w:pPr>
        <w:ind w:right="1239" w:firstLine="278"/>
        <w:spacing w:after="0" w:line="264" w:lineRule="auto"/>
        <w:rPr>
          <w:sz w:val="20"/>
          <w:szCs w:val="20"/>
          <w:color w:val="auto"/>
        </w:rPr>
      </w:pPr>
      <w:r>
        <w:rPr>
          <w:rFonts w:ascii="Times New Roman" w:cs="Times New Roman" w:eastAsia="Times New Roman" w:hAnsi="Times New Roman"/>
          <w:sz w:val="14"/>
          <w:szCs w:val="14"/>
          <w:color w:val="auto"/>
        </w:rPr>
        <w:t>Sales of the shares by the selling stockholders may occur at fixed prices, at market prices prevailing at the time of sale, at prices related to prevailing market prices or at negotiated prices. The selling stockholders may sell shares to or through underwriters, broker-dealers or agents, who may receive compensation in the form of discounts, concessions or commissions from the selling stockholders, the purchasers of the shares, or both.</w:t>
      </w:r>
    </w:p>
    <w:p>
      <w:pPr>
        <w:spacing w:after="0" w:line="140" w:lineRule="exact"/>
        <w:rPr>
          <w:sz w:val="20"/>
          <w:szCs w:val="20"/>
          <w:color w:val="auto"/>
        </w:rPr>
      </w:pPr>
    </w:p>
    <w:p>
      <w:pPr>
        <w:ind w:right="1279" w:firstLine="278"/>
        <w:spacing w:after="0" w:line="269" w:lineRule="auto"/>
        <w:rPr>
          <w:sz w:val="20"/>
          <w:szCs w:val="20"/>
          <w:color w:val="auto"/>
        </w:rPr>
      </w:pPr>
      <w:r>
        <w:rPr>
          <w:rFonts w:ascii="Times New Roman" w:cs="Times New Roman" w:eastAsia="Times New Roman" w:hAnsi="Times New Roman"/>
          <w:sz w:val="14"/>
          <w:szCs w:val="14"/>
          <w:color w:val="auto"/>
        </w:rPr>
        <w:t>We are paying the cost of registering the shares of common stock covered by this prospectus as well as various related expenses. The selling stockholders are responsible for all broker or similar commissions related to the offer and sale of their shares.</w:t>
      </w:r>
    </w:p>
    <w:p>
      <w:pPr>
        <w:spacing w:after="0" w:line="137" w:lineRule="exact"/>
        <w:rPr>
          <w:sz w:val="20"/>
          <w:szCs w:val="20"/>
          <w:color w:val="auto"/>
        </w:rPr>
      </w:pPr>
    </w:p>
    <w:p>
      <w:pPr>
        <w:ind w:right="1179" w:firstLine="278"/>
        <w:spacing w:after="0" w:line="286"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trading symbol “INAB.” On January 16, 2026, the last reported sale price of our common stock was $2.59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156210</wp:posOffset>
            </wp:positionV>
            <wp:extent cx="92900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9005" cy="6985"/>
                    </a:xfrm>
                    <a:prstGeom prst="rect">
                      <a:avLst/>
                    </a:prstGeom>
                    <a:noFill/>
                  </pic:spPr>
                </pic:pic>
              </a:graphicData>
            </a:graphic>
          </wp:anchor>
        </w:drawing>
      </w:r>
    </w:p>
    <w:p>
      <w:pPr>
        <w:spacing w:after="0" w:line="381" w:lineRule="exact"/>
        <w:rPr>
          <w:sz w:val="20"/>
          <w:szCs w:val="20"/>
          <w:color w:val="auto"/>
        </w:rPr>
      </w:pPr>
    </w:p>
    <w:p>
      <w:pPr>
        <w:ind w:right="1239" w:firstLine="278"/>
        <w:spacing w:after="0" w:line="242"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6 of this prospectus and any similar section contained in any amendment or supplement to this prospectus or in any filing with the Securities and Exchange Commission that is incorporated by reference into this prospectus.</w:t>
      </w:r>
    </w:p>
    <w:p>
      <w:pPr>
        <w:spacing w:after="0" w:line="146" w:lineRule="exact"/>
        <w:rPr>
          <w:sz w:val="20"/>
          <w:szCs w:val="20"/>
          <w:color w:val="auto"/>
        </w:rPr>
      </w:pPr>
    </w:p>
    <w:p>
      <w:pPr>
        <w:ind w:right="1199" w:firstLine="278"/>
        <w:spacing w:after="0" w:line="27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168910</wp:posOffset>
            </wp:positionV>
            <wp:extent cx="92900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900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1760" w:space="400"/>
            <w:col w:w="7999"/>
          </w:cols>
          <w:pgMar w:left="300" w:top="38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10"/>
        </w:trPr>
        <w:tc>
          <w:tcPr>
            <w:tcW w:w="17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4520" w:type="dxa"/>
            <w:vAlign w:val="bottom"/>
            <w:gridSpan w:val="4"/>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150"/>
        </w:trPr>
        <w:tc>
          <w:tcPr>
            <w:tcW w:w="164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w w:val="99"/>
              </w:rPr>
              <w:t>PROSPECTUS SUMMARY</w:t>
            </w:r>
          </w:p>
        </w:tc>
        <w:tc>
          <w:tcPr>
            <w:tcW w:w="4640" w:type="dxa"/>
            <w:vAlign w:val="bottom"/>
            <w:gridSpan w:val="6"/>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w:t>
            </w:r>
          </w:p>
        </w:tc>
      </w:tr>
      <w:tr>
        <w:trPr>
          <w:trHeight w:val="150"/>
        </w:trPr>
        <w:tc>
          <w:tcPr>
            <w:tcW w:w="6280" w:type="dxa"/>
            <w:vAlign w:val="bottom"/>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w:t>
            </w:r>
          </w:p>
        </w:tc>
      </w:tr>
      <w:tr>
        <w:trPr>
          <w:trHeight w:val="150"/>
        </w:trPr>
        <w:tc>
          <w:tcPr>
            <w:tcW w:w="980" w:type="dxa"/>
            <w:vAlign w:val="bottom"/>
            <w:tcBorders>
              <w:top w:val="single" w:sz="8" w:color="0000EE"/>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3200" w:type="dxa"/>
            <w:vAlign w:val="bottom"/>
            <w:tcBorders>
              <w:top w:val="single" w:sz="8" w:color="0000EE"/>
            </w:tcBorders>
            <w:gridSpan w:val="9"/>
          </w:tcPr>
          <w:p>
            <w:pPr>
              <w:spacing w:after="0"/>
              <w:rPr>
                <w:sz w:val="13"/>
                <w:szCs w:val="13"/>
                <w:color w:val="auto"/>
              </w:rPr>
            </w:pPr>
          </w:p>
        </w:tc>
        <w:tc>
          <w:tcPr>
            <w:tcW w:w="2100" w:type="dxa"/>
            <w:vAlign w:val="bottom"/>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r>
      <w:tr>
        <w:trPr>
          <w:trHeight w:val="150"/>
        </w:trPr>
        <w:tc>
          <w:tcPr>
            <w:tcW w:w="1240" w:type="dxa"/>
            <w:vAlign w:val="bottom"/>
            <w:tcBorders>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9"/>
              </w:rPr>
              <w:t>USE OF PROCEEDS</w:t>
            </w:r>
          </w:p>
        </w:tc>
        <w:tc>
          <w:tcPr>
            <w:tcW w:w="5040" w:type="dxa"/>
            <w:vAlign w:val="bottom"/>
            <w:gridSpan w:val="8"/>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w:t>
            </w:r>
          </w:p>
        </w:tc>
      </w:tr>
      <w:tr>
        <w:trPr>
          <w:trHeight w:val="150"/>
        </w:trPr>
        <w:tc>
          <w:tcPr>
            <w:tcW w:w="1740" w:type="dxa"/>
            <w:vAlign w:val="bottom"/>
            <w:tcBorders>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w w:val="99"/>
              </w:rPr>
              <w:t>SELLING STOCKHOLDERS</w:t>
            </w:r>
          </w:p>
        </w:tc>
        <w:tc>
          <w:tcPr>
            <w:tcW w:w="4540" w:type="dxa"/>
            <w:vAlign w:val="bottom"/>
            <w:gridSpan w:val="5"/>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w:t>
            </w:r>
          </w:p>
        </w:tc>
      </w:tr>
      <w:tr>
        <w:trPr>
          <w:trHeight w:val="150"/>
        </w:trPr>
        <w:tc>
          <w:tcPr>
            <w:tcW w:w="6280" w:type="dxa"/>
            <w:vAlign w:val="bottom"/>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w:t>
            </w:r>
          </w:p>
        </w:tc>
      </w:tr>
      <w:tr>
        <w:trPr>
          <w:trHeight w:val="150"/>
        </w:trPr>
        <w:tc>
          <w:tcPr>
            <w:tcW w:w="1600" w:type="dxa"/>
            <w:vAlign w:val="bottom"/>
            <w:tcBorders>
              <w:top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4680" w:type="dxa"/>
            <w:vAlign w:val="bottom"/>
            <w:gridSpan w:val="7"/>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w:t>
            </w:r>
          </w:p>
        </w:tc>
      </w:tr>
      <w:tr>
        <w:trPr>
          <w:trHeight w:val="150"/>
        </w:trPr>
        <w:tc>
          <w:tcPr>
            <w:tcW w:w="1140" w:type="dxa"/>
            <w:vAlign w:val="bottom"/>
            <w:tcBorders>
              <w:top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5140" w:type="dxa"/>
            <w:vAlign w:val="bottom"/>
            <w:gridSpan w:val="9"/>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w:t>
            </w:r>
          </w:p>
        </w:tc>
      </w:tr>
      <w:tr>
        <w:trPr>
          <w:trHeight w:val="20"/>
        </w:trPr>
        <w:tc>
          <w:tcPr>
            <w:tcW w:w="600" w:type="dxa"/>
            <w:vAlign w:val="bottom"/>
            <w:shd w:val="clear" w:color="auto" w:fill="0000EE"/>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50"/>
        </w:trPr>
        <w:tc>
          <w:tcPr>
            <w:tcW w:w="6280" w:type="dxa"/>
            <w:vAlign w:val="bottom"/>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ADDITIONAL INFORMATION</w:t>
            </w: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w:t>
            </w:r>
          </w:p>
        </w:tc>
      </w:tr>
      <w:tr>
        <w:trPr>
          <w:trHeight w:val="20"/>
        </w:trPr>
        <w:tc>
          <w:tcPr>
            <w:tcW w:w="3460" w:type="dxa"/>
            <w:vAlign w:val="bottom"/>
            <w:gridSpan w:val="9"/>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50"/>
        </w:trPr>
        <w:tc>
          <w:tcPr>
            <w:tcW w:w="6280" w:type="dxa"/>
            <w:vAlign w:val="bottom"/>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188595</wp:posOffset>
            </wp:positionV>
            <wp:extent cx="115760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0" w:lineRule="exact"/>
        <w:rPr>
          <w:sz w:val="20"/>
          <w:szCs w:val="20"/>
          <w:color w:val="auto"/>
        </w:rPr>
      </w:pPr>
    </w:p>
    <w:p>
      <w:pPr>
        <w:ind w:left="1320" w:right="379" w:firstLine="346"/>
        <w:spacing w:after="0" w:line="286"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Securities and Exchange Commission (“SEC”). Under this registration statement, the selling stockholders may sell from time to time in one or more offerings the common stock described in this prospectus.</w:t>
      </w:r>
    </w:p>
    <w:p>
      <w:pPr>
        <w:spacing w:after="0" w:line="125" w:lineRule="exact"/>
        <w:rPr>
          <w:sz w:val="20"/>
          <w:szCs w:val="20"/>
          <w:color w:val="auto"/>
        </w:rPr>
      </w:pPr>
    </w:p>
    <w:p>
      <w:pPr>
        <w:ind w:left="1320" w:right="279" w:firstLine="346"/>
        <w:spacing w:after="0" w:line="259"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you with any information other than that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4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40"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Unless the context indicates otherwise, as used in this prospectus, the terms “IN8bio,” “Company,” “we,” “us,” “our” and similar references refer to IN8bio, Inc.</w:t>
      </w:r>
    </w:p>
    <w:p>
      <w:pPr>
        <w:spacing w:after="0" w:line="3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711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98465" cy="4711065"/>
                    </a:xfrm>
                    <a:prstGeom prst="rect">
                      <a:avLst/>
                    </a:prstGeom>
                    <a:noFill/>
                  </pic:spPr>
                </pic:pic>
              </a:graphicData>
            </a:graphic>
          </wp:anchor>
        </w:drawing>
      </w:r>
    </w:p>
    <w:p>
      <w:pPr>
        <w:spacing w:after="0" w:line="3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8" w:lineRule="exact"/>
        <w:rPr>
          <w:sz w:val="20"/>
          <w:szCs w:val="20"/>
          <w:color w:val="auto"/>
        </w:rPr>
      </w:pPr>
    </w:p>
    <w:p>
      <w:pPr>
        <w:ind w:left="1460" w:right="559" w:firstLine="334"/>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5" w:lineRule="exact"/>
        <w:rPr>
          <w:sz w:val="20"/>
          <w:szCs w:val="20"/>
          <w:color w:val="auto"/>
        </w:rPr>
      </w:pPr>
    </w:p>
    <w:p>
      <w:pPr>
        <w:ind w:left="1460" w:right="359" w:firstLine="334"/>
        <w:spacing w:after="0" w:line="257"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the discovery, development and commercialization of gamma-delta T cell product candidates and T cell engagers, or TCEs, for cancer and autoimmune diseases. We are the most clinically advanced gamma-delta T cell-focused company and are utilizing our suite of DeltEx platform technologies as we aspire to eliminate cancer cells to achieve our mission of what we refer to as Cancer Zero — the safe elimination of all cancer cells in every patient battling the disease. We develop ex vivo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or iPSC, genetically modified cell therapy approaches, and TCEs that are designed to effectively identify and eradicate malignant or pathogenic target cells.</w:t>
      </w:r>
    </w:p>
    <w:p>
      <w:pPr>
        <w:spacing w:after="0" w:line="147" w:lineRule="exact"/>
        <w:rPr>
          <w:sz w:val="20"/>
          <w:szCs w:val="20"/>
          <w:color w:val="auto"/>
        </w:rPr>
      </w:pPr>
    </w:p>
    <w:p>
      <w:pPr>
        <w:ind w:left="1460" w:right="339" w:firstLine="334"/>
        <w:spacing w:after="0" w:line="255" w:lineRule="auto"/>
        <w:rPr>
          <w:sz w:val="20"/>
          <w:szCs w:val="20"/>
          <w:color w:val="auto"/>
        </w:rPr>
      </w:pPr>
      <w:r>
        <w:rPr>
          <w:rFonts w:ascii="Times New Roman" w:cs="Times New Roman" w:eastAsia="Times New Roman" w:hAnsi="Times New Roman"/>
          <w:sz w:val="14"/>
          <w:szCs w:val="14"/>
          <w:color w:val="auto"/>
        </w:rPr>
        <w:t>To date, we have conducted two main investigator-sponsored Phase 1 clinical trials to test our gamma-delta T cell technologies in cancer patients. INB-100 tests our DeltEx Allogeneic gamma-delta T cells in older patients with high-risk leukemias undergoing haploidentical stem cell transplantation and INB-200/400 tests our DeltEx Drug Resistant Immunotherapy in newly diagnosed glioblastoma patients. Most recently we introduced INB-600, our proprietary and internally developed T cell engager platform. This platform represents a potentially revolutionary advancement in immunotherapy, harnessing the power of gamma-delta T cells through a distinctive mechanism that optimizes effector function and targeted cytotoxicity through an engager that mimics the function of an in vivo chimeric antigen receptor T cell, or CAR-T. We also have a portfolio of preclinical programs in development. These include INB-300, which is applicable to both solid and liquid tumors using a</w:t>
      </w:r>
    </w:p>
    <w:p>
      <w:pPr>
        <w:spacing w:after="0" w:line="4" w:lineRule="exact"/>
        <w:rPr>
          <w:sz w:val="20"/>
          <w:szCs w:val="20"/>
          <w:color w:val="auto"/>
        </w:rPr>
      </w:pPr>
    </w:p>
    <w:p>
      <w:pPr>
        <w:ind w:left="1460" w:right="739"/>
        <w:spacing w:after="0" w:line="259" w:lineRule="auto"/>
        <w:rPr>
          <w:sz w:val="20"/>
          <w:szCs w:val="20"/>
          <w:color w:val="auto"/>
        </w:rPr>
      </w:pPr>
      <w:r>
        <w:rPr>
          <w:rFonts w:ascii="Times New Roman" w:cs="Times New Roman" w:eastAsia="Times New Roman" w:hAnsi="Times New Roman"/>
          <w:sz w:val="14"/>
          <w:szCs w:val="14"/>
          <w:color w:val="auto"/>
        </w:rPr>
        <w:t>targeted non-signaling gamma-delta T cell based CAR-T, and INB-500, which encompasses our ability to produce gamma-delta T cells from iPSCs. iPSCs represent a significant step toward next generation approaches of cellular manufacturing for true allogeneic and potentially “off-the-shelf” innate cell therapies.</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5" w:lineRule="exact"/>
        <w:rPr>
          <w:sz w:val="20"/>
          <w:szCs w:val="20"/>
          <w:color w:val="auto"/>
        </w:rPr>
      </w:pPr>
    </w:p>
    <w:p>
      <w:pPr>
        <w:ind w:left="1460" w:right="439" w:firstLine="334"/>
        <w:spacing w:after="0" w:line="257" w:lineRule="auto"/>
        <w:rPr>
          <w:sz w:val="20"/>
          <w:szCs w:val="20"/>
          <w:color w:val="auto"/>
        </w:rPr>
      </w:pPr>
      <w:r>
        <w:rPr>
          <w:rFonts w:ascii="Times New Roman" w:cs="Times New Roman" w:eastAsia="Times New Roman" w:hAnsi="Times New Roman"/>
          <w:sz w:val="14"/>
          <w:szCs w:val="14"/>
          <w:color w:val="auto"/>
        </w:rPr>
        <w:t>Incysus, Ltd. was incorporated in Bermuda on February 8, 2016. On May 7, 2018, Incysus, Ltd. reincorporated in the United States in a domestication transaction in which Incysus, Ltd. converted into a newly formed Delaware corporation, Incysus 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5th Avenue, Suite 5330, New York, New York 10118, and our telephone number is (646) 600-6438. Our corporate website address is www.in8bio.com. Information contained on, or accessible through, our website is not a part of this prospectus. We have included our website in this prospectus solely as an inactive textual reference.</w:t>
      </w:r>
    </w:p>
    <w:p>
      <w:pPr>
        <w:spacing w:after="0" w:line="2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603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98465" cy="4603115"/>
                    </a:xfrm>
                    <a:prstGeom prst="rect">
                      <a:avLst/>
                    </a:prstGeom>
                    <a:noFill/>
                  </pic:spPr>
                </pic:pic>
              </a:graphicData>
            </a:graphic>
          </wp:anchor>
        </w:drawing>
      </w:r>
    </w:p>
    <w:p>
      <w:pPr>
        <w:spacing w:after="0" w:line="372" w:lineRule="exact"/>
        <w:rPr>
          <w:sz w:val="20"/>
          <w:szCs w:val="20"/>
          <w:color w:val="auto"/>
        </w:rPr>
      </w:pPr>
    </w:p>
    <w:p>
      <w:pPr>
        <w:ind w:left="1460" w:right="339" w:firstLine="334"/>
        <w:spacing w:after="0" w:line="229" w:lineRule="auto"/>
        <w:rPr>
          <w:sz w:val="20"/>
          <w:szCs w:val="20"/>
          <w:color w:val="auto"/>
        </w:rPr>
      </w:pPr>
      <w:r>
        <w:rPr>
          <w:rFonts w:ascii="Times New Roman" w:cs="Times New Roman" w:eastAsia="Times New Roman" w:hAnsi="Times New Roman"/>
          <w:sz w:val="14"/>
          <w:szCs w:val="14"/>
          <w:color w:val="auto"/>
        </w:rPr>
        <w:t xml:space="preserve">“IN8BIO,” “INEIGHTBIO,” the IN8BIO logo, DeltEx and other trademarks, trade names or service marks of IN8bio, Inc. appearing in this prospectus are the property of IN8bio, Inc. All other trademarks, trade names and service marks appearing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symbols, but such references should not be construed as any indicator that their respective owners will not assert their rights thereto.</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Private Placement</w:t>
      </w:r>
    </w:p>
    <w:p>
      <w:pPr>
        <w:spacing w:after="0" w:line="95" w:lineRule="exact"/>
        <w:rPr>
          <w:sz w:val="20"/>
          <w:szCs w:val="20"/>
          <w:color w:val="auto"/>
        </w:rPr>
      </w:pPr>
    </w:p>
    <w:p>
      <w:pPr>
        <w:ind w:left="1460" w:right="379" w:firstLine="334"/>
        <w:spacing w:after="0" w:line="259" w:lineRule="auto"/>
        <w:rPr>
          <w:sz w:val="20"/>
          <w:szCs w:val="20"/>
          <w:color w:val="auto"/>
        </w:rPr>
      </w:pPr>
      <w:r>
        <w:rPr>
          <w:rFonts w:ascii="Times New Roman" w:cs="Times New Roman" w:eastAsia="Times New Roman" w:hAnsi="Times New Roman"/>
          <w:sz w:val="14"/>
          <w:szCs w:val="14"/>
          <w:color w:val="auto"/>
        </w:rPr>
        <w:t>On December 18, 2025, we entered into a Securities Purchase Agreement (the “Purchase Agreement”) pursuant to which we agreed to issue and sell shares of our common stock and, in lieu of common stock, pre-funded warrants to purchase shares of our common Stock, in up to two closings in a private placement (the “Private Placement”). The initial closing (the “Initial Closing”) of the Private Placement occurred on December 22, 2025. At the Initial Closing, we issued and sold to the selling stockholders, (i) with respect to certain selling stockholders, 4,931,375 PIPE Shares, and (ii) with respect to certain selling stockholders, Pre-Funded Warrants to purchase an aggregate of 9,452,677 Pre-Funded Warrant Shares. The purchase price per PIPE Share was $1.38, and the purchase price per Pre-Funded Warrant was $1.3799.</w:t>
      </w:r>
    </w:p>
    <w:p>
      <w:pPr>
        <w:spacing w:after="0" w:line="145" w:lineRule="exact"/>
        <w:rPr>
          <w:sz w:val="20"/>
          <w:szCs w:val="20"/>
          <w:color w:val="auto"/>
        </w:rPr>
      </w:pPr>
    </w:p>
    <w:p>
      <w:pPr>
        <w:ind w:left="1460" w:right="499" w:firstLine="334"/>
        <w:spacing w:after="0" w:line="286" w:lineRule="auto"/>
        <w:rPr>
          <w:sz w:val="20"/>
          <w:szCs w:val="20"/>
          <w:color w:val="auto"/>
        </w:rPr>
      </w:pPr>
      <w:r>
        <w:rPr>
          <w:rFonts w:ascii="Times New Roman" w:cs="Times New Roman" w:eastAsia="Times New Roman" w:hAnsi="Times New Roman"/>
          <w:sz w:val="14"/>
          <w:szCs w:val="14"/>
          <w:color w:val="auto"/>
        </w:rPr>
        <w:t>Certain of our directors and officers or their affiliates purchased an aggregate of 920,291 shares of our common stock at the Initial Closing, none of which are included in this registration statement.</w:t>
      </w:r>
    </w:p>
    <w:p>
      <w:pPr>
        <w:spacing w:after="0" w:line="125" w:lineRule="exact"/>
        <w:rPr>
          <w:sz w:val="20"/>
          <w:szCs w:val="20"/>
          <w:color w:val="auto"/>
        </w:rPr>
      </w:pPr>
    </w:p>
    <w:p>
      <w:pPr>
        <w:ind w:left="1460" w:right="379" w:firstLine="334"/>
        <w:spacing w:after="0" w:line="269" w:lineRule="auto"/>
        <w:rPr>
          <w:sz w:val="20"/>
          <w:szCs w:val="20"/>
          <w:color w:val="auto"/>
        </w:rPr>
      </w:pPr>
      <w:r>
        <w:rPr>
          <w:rFonts w:ascii="Times New Roman" w:cs="Times New Roman" w:eastAsia="Times New Roman" w:hAnsi="Times New Roman"/>
          <w:sz w:val="14"/>
          <w:szCs w:val="14"/>
          <w:color w:val="auto"/>
        </w:rPr>
        <w:t>Our total net proceeds from the sale of securities in the Initial Closing of the Private Placement, after deducting commissions to the placement agent and offering expenses, was approximately $18.6 million, which does not include any proceeds that may be received upon exercise of any Pre-Funded Warrants issued in the Initial Closing of the Private Placement.</w:t>
      </w:r>
    </w:p>
    <w:p>
      <w:pPr>
        <w:spacing w:after="0" w:line="137" w:lineRule="exact"/>
        <w:rPr>
          <w:sz w:val="20"/>
          <w:szCs w:val="20"/>
          <w:color w:val="auto"/>
        </w:rPr>
      </w:pPr>
    </w:p>
    <w:p>
      <w:pPr>
        <w:ind w:left="1460" w:right="419" w:firstLine="334"/>
        <w:spacing w:after="0" w:line="264" w:lineRule="auto"/>
        <w:rPr>
          <w:sz w:val="20"/>
          <w:szCs w:val="20"/>
          <w:color w:val="auto"/>
        </w:rPr>
      </w:pPr>
      <w:r>
        <w:rPr>
          <w:rFonts w:ascii="Times New Roman" w:cs="Times New Roman" w:eastAsia="Times New Roman" w:hAnsi="Times New Roman"/>
          <w:sz w:val="14"/>
          <w:szCs w:val="14"/>
          <w:color w:val="auto"/>
        </w:rPr>
        <w:t>Pursuant to the Purchase Agreement, subject to the occurrence of certain preclinical data milestones in the INB-619 program and share price related conditions, or the waiver of such conditions by the investors holding a majority of the securities purchased in the Private Placement, we agreed to sell in a second closing up to an additional 14,579,706 shares of our common stock or pre-funded warrants to purchase shares of our common stock in lieu of common stock, at the same price per share or pre-funded warrant, respectively, as at the Initial Closing.</w:t>
      </w:r>
    </w:p>
    <w:p>
      <w:pPr>
        <w:spacing w:after="0" w:line="2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Pre-Funded Warrants</w:t>
      </w:r>
    </w:p>
    <w:p>
      <w:pPr>
        <w:spacing w:after="0" w:line="95" w:lineRule="exact"/>
        <w:rPr>
          <w:sz w:val="20"/>
          <w:szCs w:val="20"/>
          <w:color w:val="auto"/>
        </w:rPr>
      </w:pPr>
    </w:p>
    <w:p>
      <w:pPr>
        <w:ind w:left="1460" w:right="619" w:firstLine="334"/>
        <w:spacing w:after="0" w:line="264" w:lineRule="auto"/>
        <w:rPr>
          <w:sz w:val="20"/>
          <w:szCs w:val="20"/>
          <w:color w:val="auto"/>
        </w:rPr>
      </w:pPr>
      <w:r>
        <w:rPr>
          <w:rFonts w:ascii="Times New Roman" w:cs="Times New Roman" w:eastAsia="Times New Roman" w:hAnsi="Times New Roman"/>
          <w:sz w:val="14"/>
          <w:szCs w:val="14"/>
          <w:color w:val="auto"/>
        </w:rPr>
        <w:t>Each Pre-Funded Warrant has an exercise price of $0.0001 per share, is exercisable immediately and is exercisable until the Pre-Funded Warrant is exercised in full. In lieu of making the cash payment upon exercise of a Pre-Funded Warrant, the holder may elect instead to receive upon such exercise (either in whole or in part) the net number of shares of common stock determined according to a formula set forth in the Pre-Funded Warrants.</w:t>
      </w:r>
    </w:p>
    <w:p>
      <w:pPr>
        <w:spacing w:after="0" w:line="140" w:lineRule="exact"/>
        <w:rPr>
          <w:sz w:val="20"/>
          <w:szCs w:val="20"/>
          <w:color w:val="auto"/>
        </w:rPr>
      </w:pPr>
    </w:p>
    <w:p>
      <w:pPr>
        <w:ind w:left="1460" w:right="359" w:firstLine="334"/>
        <w:spacing w:after="0" w:line="257" w:lineRule="auto"/>
        <w:rPr>
          <w:sz w:val="20"/>
          <w:szCs w:val="20"/>
          <w:color w:val="auto"/>
        </w:rPr>
      </w:pPr>
      <w:r>
        <w:rPr>
          <w:rFonts w:ascii="Times New Roman" w:cs="Times New Roman" w:eastAsia="Times New Roman" w:hAnsi="Times New Roman"/>
          <w:sz w:val="14"/>
          <w:szCs w:val="14"/>
          <w:color w:val="auto"/>
        </w:rPr>
        <w:t>Under the terms of the Pre-Funded Warrants, we may not give effect to the exercise of any such Pre-Funded Warrant, and a holder will not be entitled to exercise any portion of any such Pre-Funded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Securities Exchange Act of 1934, as amended (the “Exchange Act”)) would exceed a percentage set at the discretion of each holder of between 0% and 19.99% of the number of shares of our common stock outstanding immediately after giving effect to such exercise, which percentage may be increased or decreased to any other percentage up to 19.99% at the holder’s election upon 61 days’ notice to us.</w:t>
      </w:r>
    </w:p>
    <w:p>
      <w:pPr>
        <w:spacing w:after="0" w:line="2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1210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98465" cy="1210945"/>
                    </a:xfrm>
                    <a:prstGeom prst="rect">
                      <a:avLst/>
                    </a:prstGeom>
                    <a:noFill/>
                  </pic:spPr>
                </pic:pic>
              </a:graphicData>
            </a:graphic>
          </wp:anchor>
        </w:drawing>
      </w:r>
    </w:p>
    <w:p>
      <w:pPr>
        <w:spacing w:after="0" w:line="37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95" w:lineRule="exact"/>
        <w:rPr>
          <w:sz w:val="20"/>
          <w:szCs w:val="20"/>
          <w:color w:val="auto"/>
        </w:rPr>
      </w:pPr>
    </w:p>
    <w:p>
      <w:pPr>
        <w:ind w:left="1460" w:right="599" w:firstLine="334"/>
        <w:spacing w:after="0" w:line="261" w:lineRule="auto"/>
        <w:rPr>
          <w:sz w:val="20"/>
          <w:szCs w:val="20"/>
          <w:color w:val="auto"/>
        </w:rPr>
      </w:pPr>
      <w:r>
        <w:rPr>
          <w:rFonts w:ascii="Times New Roman" w:cs="Times New Roman" w:eastAsia="Times New Roman" w:hAnsi="Times New Roman"/>
          <w:sz w:val="14"/>
          <w:szCs w:val="14"/>
          <w:color w:val="auto"/>
        </w:rPr>
        <w:t>In connection with the Private Placement, we entered into a registration rights agreement (the “Registration Rights Agreement”) with the selling stockholders, pursuant to which we agreed to register for resale the PIPE Shares and the Pre-Funded Warrant Shares (together, the “Registrable Securities”). Under the Registration Rights Agreement, we agreed to file a registration statement covering the resale by the selling stockholders of their Registrable Securities no later than 30 days following the Initial Closing, and to use reasonable best efforts to cause such registration statement to become effective at the earliest possible date after filing and in any case not more than 90 days following the filing.</w:t>
      </w:r>
    </w:p>
    <w:p>
      <w:pPr>
        <w:spacing w:after="0" w:line="142" w:lineRule="exact"/>
        <w:rPr>
          <w:sz w:val="20"/>
          <w:szCs w:val="20"/>
          <w:color w:val="auto"/>
        </w:rPr>
      </w:pPr>
    </w:p>
    <w:p>
      <w:pPr>
        <w:ind w:left="1460" w:right="559" w:firstLine="334"/>
        <w:spacing w:after="0" w:line="286" w:lineRule="auto"/>
        <w:rPr>
          <w:sz w:val="20"/>
          <w:szCs w:val="20"/>
          <w:color w:val="auto"/>
        </w:rPr>
      </w:pPr>
      <w:r>
        <w:rPr>
          <w:rFonts w:ascii="Times New Roman" w:cs="Times New Roman" w:eastAsia="Times New Roman" w:hAnsi="Times New Roman"/>
          <w:sz w:val="14"/>
          <w:szCs w:val="14"/>
          <w:color w:val="auto"/>
        </w:rPr>
        <w:t>The registration statement of which this prospectus forms a part is being filed in part to satisfy the requirements of the Registration Rights Agreement.</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520" w:hanging="61"/>
        <w:spacing w:after="0" w:line="286" w:lineRule="auto"/>
        <w:rPr>
          <w:sz w:val="20"/>
          <w:szCs w:val="20"/>
          <w:color w:val="auto"/>
        </w:rPr>
      </w:pPr>
      <w:r>
        <w:rPr>
          <w:rFonts w:ascii="Times New Roman" w:cs="Times New Roman" w:eastAsia="Times New Roman" w:hAnsi="Times New Roman"/>
          <w:sz w:val="14"/>
          <w:szCs w:val="14"/>
          <w:color w:val="auto"/>
        </w:rPr>
        <w:t>Shares of common stock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Terms of the offering</w:t>
      </w:r>
    </w:p>
    <w:p>
      <w:pPr>
        <w:spacing w:after="0" w:line="36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Use of proceeds</w:t>
      </w:r>
    </w:p>
    <w:p>
      <w:pPr>
        <w:spacing w:after="0" w:line="36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Nasdaq Capital Market ticker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-608965</wp:posOffset>
            </wp:positionV>
            <wp:extent cx="720090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-181610</wp:posOffset>
            </wp:positionV>
            <wp:extent cx="5498465" cy="2435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98465" cy="2435860"/>
                    </a:xfrm>
                    <a:prstGeom prst="rect">
                      <a:avLst/>
                    </a:prstGeom>
                    <a:noFill/>
                  </pic:spPr>
                </pic:pic>
              </a:graphicData>
            </a:graphic>
          </wp:anchor>
        </w:drawing>
      </w:r>
    </w:p>
    <w:p>
      <w:pPr>
        <w:spacing w:after="0" w:line="181" w:lineRule="exact"/>
        <w:rPr>
          <w:sz w:val="20"/>
          <w:szCs w:val="20"/>
          <w:color w:val="auto"/>
        </w:rPr>
      </w:pPr>
    </w:p>
    <w:p>
      <w:pPr>
        <w:ind w:right="419"/>
        <w:spacing w:after="0" w:line="286" w:lineRule="auto"/>
        <w:rPr>
          <w:sz w:val="20"/>
          <w:szCs w:val="20"/>
          <w:color w:val="auto"/>
        </w:rPr>
      </w:pPr>
      <w:r>
        <w:rPr>
          <w:rFonts w:ascii="Times New Roman" w:cs="Times New Roman" w:eastAsia="Times New Roman" w:hAnsi="Times New Roman"/>
          <w:sz w:val="14"/>
          <w:szCs w:val="14"/>
          <w:color w:val="auto"/>
        </w:rPr>
        <w:t>We are registering the resale by the selling stockholders an aggregate of 14,384,052 shares of common stock, consisting of:</w:t>
      </w:r>
    </w:p>
    <w:p>
      <w:pPr>
        <w:spacing w:after="0" w:line="62" w:lineRule="exact"/>
        <w:rPr>
          <w:sz w:val="20"/>
          <w:szCs w:val="20"/>
          <w:color w:val="auto"/>
        </w:rPr>
      </w:pPr>
    </w:p>
    <w:p>
      <w:pPr>
        <w:ind w:left="400" w:hanging="239"/>
        <w:spacing w:after="0"/>
        <w:tabs>
          <w:tab w:leader="none" w:pos="4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4,931,375 PIPE Shares; and</w:t>
      </w:r>
    </w:p>
    <w:p>
      <w:pPr>
        <w:spacing w:after="0" w:line="104" w:lineRule="exact"/>
        <w:rPr>
          <w:rFonts w:ascii="Times New Roman" w:cs="Times New Roman" w:eastAsia="Times New Roman" w:hAnsi="Times New Roman"/>
          <w:sz w:val="14"/>
          <w:szCs w:val="14"/>
          <w:color w:val="auto"/>
        </w:rPr>
      </w:pPr>
    </w:p>
    <w:p>
      <w:pPr>
        <w:ind w:left="400" w:hanging="239"/>
        <w:spacing w:after="0"/>
        <w:tabs>
          <w:tab w:leader="none" w:pos="4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9,452,677 Pre-Funded Warrant Shares.</w:t>
      </w:r>
    </w:p>
    <w:p>
      <w:pPr>
        <w:spacing w:after="0" w:line="199" w:lineRule="exact"/>
        <w:rPr>
          <w:sz w:val="20"/>
          <w:szCs w:val="20"/>
          <w:color w:val="auto"/>
        </w:rPr>
      </w:pPr>
    </w:p>
    <w:p>
      <w:pPr>
        <w:ind w:right="759"/>
        <w:spacing w:after="0" w:line="286" w:lineRule="auto"/>
        <w:rPr>
          <w:sz w:val="20"/>
          <w:szCs w:val="20"/>
          <w:color w:val="auto"/>
        </w:rPr>
      </w:pPr>
      <w:r>
        <w:rPr>
          <w:rFonts w:ascii="Times New Roman" w:cs="Times New Roman" w:eastAsia="Times New Roman" w:hAnsi="Times New Roman"/>
          <w:sz w:val="14"/>
          <w:szCs w:val="14"/>
          <w:color w:val="auto"/>
        </w:rPr>
        <w:t>Each selling stockholder will determine when and how it will sell the common stock offered in this prospectus, as described in “Plan of Distribution.”</w:t>
      </w:r>
    </w:p>
    <w:p>
      <w:pPr>
        <w:spacing w:after="0" w:line="146" w:lineRule="exact"/>
        <w:rPr>
          <w:sz w:val="20"/>
          <w:szCs w:val="20"/>
          <w:color w:val="auto"/>
        </w:rPr>
      </w:pPr>
    </w:p>
    <w:p>
      <w:pPr>
        <w:ind w:right="459"/>
        <w:spacing w:after="0" w:line="286"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common stock covered by this prospectus by the selling stockholders.</w:t>
      </w:r>
    </w:p>
    <w:p>
      <w:pPr>
        <w:spacing w:after="0" w:line="146" w:lineRule="exact"/>
        <w:rPr>
          <w:sz w:val="20"/>
          <w:szCs w:val="20"/>
          <w:color w:val="auto"/>
        </w:rPr>
      </w:pPr>
    </w:p>
    <w:p>
      <w:pPr>
        <w:ind w:right="479"/>
        <w:spacing w:after="0" w:line="264" w:lineRule="auto"/>
        <w:rPr>
          <w:sz w:val="20"/>
          <w:szCs w:val="20"/>
          <w:color w:val="auto"/>
        </w:rPr>
      </w:pPr>
      <w:r>
        <w:rPr>
          <w:rFonts w:ascii="Times New Roman" w:cs="Times New Roman" w:eastAsia="Times New Roman" w:hAnsi="Times New Roman"/>
          <w:sz w:val="14"/>
          <w:szCs w:val="14"/>
          <w:color w:val="auto"/>
        </w:rPr>
        <w:t>An investment in our common stock involves a high degree of risk. See the information contained in or incorporated by reference in the section titled “Risk Factors” and under similar headings in the other documents that are incorporated by reference herein, as well as the other information included in or incorporated by reference in this prospectus.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“INAB”</w:t>
      </w:r>
    </w:p>
    <w:p>
      <w:pPr>
        <w:spacing w:after="0" w:line="200" w:lineRule="exact"/>
        <w:rPr>
          <w:sz w:val="20"/>
          <w:szCs w:val="20"/>
          <w:color w:val="auto"/>
        </w:rPr>
      </w:pPr>
    </w:p>
    <w:p>
      <w:pPr>
        <w:sectPr>
          <w:pgSz w:w="11900" w:h="16838" w:orient="portrait"/>
          <w:cols w:equalWidth="0" w:num="2">
            <w:col w:w="4100" w:space="540"/>
            <w:col w:w="5519"/>
          </w:cols>
          <w:pgMar w:left="300" w:top="388" w:right="1440" w:bottom="1440" w:gutter="0" w:footer="0" w:header="0"/>
        </w:sectPr>
      </w:pP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8"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0"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This prospectus and the documents we have filed with the SEC that are incorporated by reference contain “forward-looking statements” within the meaning of Section 27A of the Securities Act of 1933, as amended (the “Securities Act”), and Section 21E of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w:t>
      </w:r>
    </w:p>
    <w:p>
      <w:pPr>
        <w:spacing w:after="0" w:line="142"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words such as “anticipate,” “believe,” “continue,” “could,” “design,” “estimate,” “expect,” “intend,” “may,” “plan,” “potentially,” “predict,” “should,” “will” or the negative of these terms or other similar expressions. These statements reflect our current views with respect to future events and are based on assumptions and are subject to risks and uncertainties. Given these uncertainties, you should not place undue reliance on these forward-looking statements.</w:t>
      </w:r>
    </w:p>
    <w:p>
      <w:pPr>
        <w:spacing w:after="0" w:line="140" w:lineRule="exact"/>
        <w:rPr>
          <w:sz w:val="20"/>
          <w:szCs w:val="20"/>
          <w:color w:val="auto"/>
        </w:rPr>
      </w:pPr>
    </w:p>
    <w:p>
      <w:pPr>
        <w:ind w:left="1320" w:right="299" w:firstLine="346"/>
        <w:spacing w:after="0" w:line="256" w:lineRule="auto"/>
        <w:rPr>
          <w:sz w:val="20"/>
          <w:szCs w:val="20"/>
          <w:color w:val="auto"/>
        </w:rPr>
      </w:pPr>
      <w:r>
        <w:rPr>
          <w:rFonts w:ascii="Times New Roman" w:cs="Times New Roman" w:eastAsia="Times New Roman" w:hAnsi="Times New Roman"/>
          <w:sz w:val="14"/>
          <w:szCs w:val="14"/>
          <w:color w:val="auto"/>
        </w:rPr>
        <w:t>In evaluating such forward-looking statements, you should consider various factors, including specifically the risks outlined under the heading “Risk Factors” contained in this prospectus, any accompanying prospectus supplement and any related free writing prospectus, and in our most recent Annual Report on Form 10-K and any Quarterly Report on Form 10-Q or Current Report on Form 8-K we subsequently file with the SEC. The discussion of risks and uncertainties set forth in those filings is not necessarily a complete or exhaustive list of all risks facing us at any particular point in time. As a result of these factors, we cannot assure you that the forward-looking statements contained in or incorporated by reference into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Forward-looking statements represent our estimates and assumptions only as of the date such forward-looking statements are made.</w:t>
      </w:r>
    </w:p>
    <w:p>
      <w:pPr>
        <w:spacing w:after="0" w:line="148" w:lineRule="exact"/>
        <w:rPr>
          <w:sz w:val="20"/>
          <w:szCs w:val="20"/>
          <w:color w:val="auto"/>
        </w:rPr>
      </w:pPr>
    </w:p>
    <w:p>
      <w:pPr>
        <w:ind w:left="1320" w:right="479" w:firstLine="346"/>
        <w:spacing w:after="0" w:line="261"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2" w:lineRule="exact"/>
        <w:rPr>
          <w:sz w:val="20"/>
          <w:szCs w:val="20"/>
          <w:color w:val="auto"/>
        </w:rPr>
      </w:pPr>
    </w:p>
    <w:p>
      <w:pPr>
        <w:ind w:left="1320" w:right="319" w:firstLine="346"/>
        <w:spacing w:after="0" w:line="264" w:lineRule="auto"/>
        <w:rPr>
          <w:sz w:val="20"/>
          <w:szCs w:val="20"/>
          <w:color w:val="auto"/>
        </w:rPr>
      </w:pPr>
      <w:r>
        <w:rPr>
          <w:rFonts w:ascii="Times New Roman" w:cs="Times New Roman" w:eastAsia="Times New Roman" w:hAnsi="Times New Roman"/>
          <w:sz w:val="14"/>
          <w:szCs w:val="14"/>
          <w:color w:val="auto"/>
        </w:rPr>
        <w:t>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0"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Before making an investment decision, you should carefully consider the risks described in the sections entitled “Risk Factors” in our most recent Annual Report on Form 10-K and subsequent Quarterly Reports on Form 10-Q, as filed with the SEC, which are incorporated herein by reference in their entirety, as well any amendment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above entitled “Special Note Regarding Forward-Looking Statements.”</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0" w:lineRule="exact"/>
        <w:rPr>
          <w:sz w:val="20"/>
          <w:szCs w:val="20"/>
          <w:color w:val="auto"/>
        </w:rPr>
      </w:pPr>
    </w:p>
    <w:p>
      <w:pPr>
        <w:ind w:left="1320" w:right="539" w:firstLine="346"/>
        <w:spacing w:after="0" w:line="286" w:lineRule="auto"/>
        <w:rPr>
          <w:sz w:val="20"/>
          <w:szCs w:val="20"/>
          <w:color w:val="auto"/>
        </w:rPr>
      </w:pPr>
      <w:r>
        <w:rPr>
          <w:rFonts w:ascii="Times New Roman" w:cs="Times New Roman" w:eastAsia="Times New Roman" w:hAnsi="Times New Roman"/>
          <w:sz w:val="14"/>
          <w:szCs w:val="14"/>
          <w:color w:val="auto"/>
        </w:rPr>
        <w:t>We will not receive any of the proceeds from the sale of shares of common stock pursuant to this prospectus by the selling stockholders. The selling stockholders will receive all of the proceeds from the sale of the shares of common stock offered hereunder.</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0" w:lineRule="exact"/>
        <w:rPr>
          <w:sz w:val="20"/>
          <w:szCs w:val="20"/>
          <w:color w:val="auto"/>
        </w:rPr>
      </w:pPr>
    </w:p>
    <w:p>
      <w:pPr>
        <w:ind w:left="1320" w:right="279" w:firstLine="346"/>
        <w:spacing w:after="0" w:line="261" w:lineRule="auto"/>
        <w:rPr>
          <w:sz w:val="20"/>
          <w:szCs w:val="20"/>
          <w:color w:val="auto"/>
        </w:rPr>
      </w:pPr>
      <w:r>
        <w:rPr>
          <w:rFonts w:ascii="Times New Roman" w:cs="Times New Roman" w:eastAsia="Times New Roman" w:hAnsi="Times New Roman"/>
          <w:sz w:val="14"/>
          <w:szCs w:val="14"/>
          <w:color w:val="auto"/>
        </w:rPr>
        <w:t>The shares of common stock being offered by the selling stockholders include shares of common stock issued by us in the Initial Closing of the Private Placement, consisting of the PIPE Shares and the Pre-Funded Warrant Shares. For additional information regarding the issuance of these securities in the Private Placement, see the section above entitled “Prospectus Summary—Private Placement.” We are registering the resale of shares of common stock issued to the selling stockholders and issuable upon exercise of the Pre-Funded Warrants in order to permit such selling stockholders to offer the shares for resale from time to time.</w:t>
      </w:r>
    </w:p>
    <w:p>
      <w:pPr>
        <w:spacing w:after="0" w:line="142"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As used in this prospectus, the term “selling stockholders” includes the selling stockholders listed in the table below, together with any additional selling stockholders listed in a subsequent amendment to this prospectus, and their donees, pledgees, assignees, transferees, distributees or other successors-in-interest that receive shares in any non-sale transfer after the date of this prospectus.</w:t>
      </w:r>
    </w:p>
    <w:p>
      <w:pPr>
        <w:spacing w:after="0" w:line="137"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The table below lists the selling stockholders and other information regarding the beneficial ownership of the shares of common stock by each of the selling stockholders as of January 12, 2026. This information has been obtained from the selling stockholders or in Schedules 13G or 13D and other public documents filed with the SEC. 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The second column lists the number of shares of common stock beneficially owned by each selling stockholder, based on its ownership of shares of common stock (including the PIPE Shares and the Pre-Funded Warrant Shares issuable upon exercise of the Pre-Funded Warrants), as of January 12, 2026, assuming exercise of the Pre-Funded Warrants held by the selling stockholders on that date for cash, without regard to any limitations on exercises. The percentage of shares owned after the offering in the fifth column is based on 9,766,132 shares of common stock outstanding as of January 12, 2026, plus, for each selling stockholder, the shares of common stock issuable upon exercise of the Pre-Funded Warrants held by such selling stockholder. The third column assumes the sale of all of the shares offered by the selling stockholders pursuant to this prospectus.</w:t>
      </w:r>
    </w:p>
    <w:p>
      <w:pPr>
        <w:spacing w:after="0" w:line="146" w:lineRule="exact"/>
        <w:rPr>
          <w:sz w:val="20"/>
          <w:szCs w:val="20"/>
          <w:color w:val="auto"/>
        </w:rPr>
      </w:pPr>
    </w:p>
    <w:p>
      <w:pPr>
        <w:ind w:left="1320" w:right="259" w:firstLine="346"/>
        <w:spacing w:after="0" w:line="261" w:lineRule="auto"/>
        <w:rPr>
          <w:sz w:val="20"/>
          <w:szCs w:val="20"/>
          <w:color w:val="auto"/>
        </w:rPr>
      </w:pPr>
      <w:r>
        <w:rPr>
          <w:rFonts w:ascii="Times New Roman" w:cs="Times New Roman" w:eastAsia="Times New Roman" w:hAnsi="Times New Roman"/>
          <w:sz w:val="14"/>
          <w:szCs w:val="14"/>
          <w:color w:val="auto"/>
        </w:rPr>
        <w:t>In accordance with the terms of the Registration Rights Agreement, this prospectus covers the resale of the sum of (i) the PIPE Shares and (ii) the maximum number of Pre-Funded Warrant Shares issuable upon exercise of the Pre-Funded Warrants, in each case held by the selling stockholders. This maximum amount is determined as if the outstanding Pre-Funded Warrants were exercised in full for cash as of the trading day immediately preceding the date this registration statement was initially filed with the SEC, without regard to any limitations on the exercise of the Pre-Funded Warrants. The selling stockholders may sell all, some or none of their shares in this offering. See the section “Plan of Distribution.”</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59" w:firstLine="346"/>
        <w:spacing w:after="0" w:line="286" w:lineRule="auto"/>
        <w:rPr>
          <w:sz w:val="20"/>
          <w:szCs w:val="20"/>
          <w:color w:val="auto"/>
        </w:rPr>
      </w:pPr>
      <w:r>
        <w:rPr>
          <w:rFonts w:ascii="Times New Roman" w:cs="Times New Roman" w:eastAsia="Times New Roman" w:hAnsi="Times New Roman"/>
          <w:sz w:val="14"/>
          <w:szCs w:val="14"/>
          <w:color w:val="auto"/>
        </w:rPr>
        <w:t>Except as otherwise disclosed herein, the selling stockholders do not have, and within the past three years have not had, any position, office or other material relationship with us, other than Emily Fairbairn, who is a member of our board of directors.</w:t>
      </w:r>
    </w:p>
    <w:p>
      <w:pPr>
        <w:spacing w:after="0" w:line="142" w:lineRule="exact"/>
        <w:rPr>
          <w:sz w:val="20"/>
          <w:szCs w:val="20"/>
          <w:color w:val="auto"/>
        </w:rPr>
      </w:pPr>
    </w:p>
    <w:tbl>
      <w:tblPr>
        <w:tblLayout w:type="fixed"/>
        <w:tblInd w:w="1660" w:type="dxa"/>
        <w:tblCellMar>
          <w:top w:w="0" w:type="dxa"/>
          <w:left w:w="0" w:type="dxa"/>
          <w:bottom w:w="0" w:type="dxa"/>
          <w:right w:w="0" w:type="dxa"/>
        </w:tblCellMar>
      </w:tblPr>
      <w:tr>
        <w:trPr>
          <w:trHeight w:val="136"/>
        </w:trPr>
        <w:tc>
          <w:tcPr>
            <w:tcW w:w="9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4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00" w:type="dxa"/>
            <w:vAlign w:val="bottom"/>
            <w:gridSpan w:val="4"/>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After Offering</w:t>
            </w: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2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80" w:type="dxa"/>
            <w:vAlign w:val="bottom"/>
            <w:tcBorders>
              <w:top w:val="single" w:sz="8" w:color="auto"/>
            </w:tcBorders>
            <w:gridSpan w:val="2"/>
          </w:tcPr>
          <w:p>
            <w:pPr>
              <w:jc w:val="center"/>
              <w:ind w:right="520"/>
              <w:spacing w:after="0" w:line="88"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66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00" w:type="dxa"/>
            <w:vAlign w:val="bottom"/>
            <w:gridSpan w:val="2"/>
          </w:tcPr>
          <w:p>
            <w:pPr>
              <w:jc w:val="center"/>
              <w:ind w:right="520"/>
              <w:spacing w:after="0" w:line="117"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1260" w:type="dxa"/>
            <w:vAlign w:val="bottom"/>
            <w:gridSpan w:val="2"/>
            <w:vMerge w:val="continue"/>
          </w:tcPr>
          <w:p>
            <w:pPr>
              <w:spacing w:after="0"/>
              <w:rPr>
                <w:sz w:val="10"/>
                <w:szCs w:val="10"/>
                <w:color w:val="auto"/>
              </w:rPr>
            </w:pPr>
          </w:p>
        </w:tc>
        <w:tc>
          <w:tcPr>
            <w:tcW w:w="1080" w:type="dxa"/>
            <w:vAlign w:val="bottom"/>
            <w:gridSpan w:val="2"/>
          </w:tcPr>
          <w:p>
            <w:pPr>
              <w:jc w:val="center"/>
              <w:ind w:right="52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82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17"/>
        </w:trPr>
        <w:tc>
          <w:tcPr>
            <w:tcW w:w="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Address</w:t>
            </w:r>
          </w:p>
        </w:tc>
        <w:tc>
          <w:tcPr>
            <w:tcW w:w="2460" w:type="dxa"/>
            <w:vAlign w:val="bottom"/>
            <w:vMerge w:val="restart"/>
          </w:tcPr>
          <w:p>
            <w:pPr>
              <w:spacing w:after="0"/>
              <w:rPr>
                <w:sz w:val="10"/>
                <w:szCs w:val="10"/>
                <w:color w:val="auto"/>
              </w:rPr>
            </w:pPr>
          </w:p>
        </w:tc>
        <w:tc>
          <w:tcPr>
            <w:tcW w:w="1400" w:type="dxa"/>
            <w:vAlign w:val="bottom"/>
            <w:gridSpan w:val="2"/>
          </w:tcPr>
          <w:p>
            <w:pPr>
              <w:jc w:val="center"/>
              <w:ind w:right="520"/>
              <w:spacing w:after="0" w:line="117" w:lineRule="exact"/>
              <w:rPr>
                <w:sz w:val="20"/>
                <w:szCs w:val="20"/>
                <w:color w:val="auto"/>
              </w:rPr>
            </w:pPr>
            <w:r>
              <w:rPr>
                <w:rFonts w:ascii="Times New Roman" w:cs="Times New Roman" w:eastAsia="Times New Roman" w:hAnsi="Times New Roman"/>
                <w:sz w:val="11"/>
                <w:szCs w:val="11"/>
                <w:b w:val="1"/>
                <w:bCs w:val="1"/>
                <w:color w:val="auto"/>
              </w:rPr>
              <w:t>Owned Before</w:t>
            </w:r>
          </w:p>
        </w:tc>
        <w:tc>
          <w:tcPr>
            <w:tcW w:w="1260" w:type="dxa"/>
            <w:vAlign w:val="bottom"/>
            <w:gridSpan w:val="2"/>
          </w:tcPr>
          <w:p>
            <w:pPr>
              <w:jc w:val="center"/>
              <w:ind w:right="540"/>
              <w:spacing w:after="0" w:line="11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80" w:type="dxa"/>
            <w:vAlign w:val="bottom"/>
            <w:gridSpan w:val="2"/>
          </w:tcPr>
          <w:p>
            <w:pPr>
              <w:jc w:val="center"/>
              <w:ind w:right="520"/>
              <w:spacing w:after="0" w:line="117"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82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30"/>
        </w:trPr>
        <w:tc>
          <w:tcPr>
            <w:tcW w:w="940" w:type="dxa"/>
            <w:vAlign w:val="bottom"/>
            <w:tcBorders>
              <w:bottom w:val="single" w:sz="8" w:color="auto"/>
            </w:tcBorders>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400" w:type="dxa"/>
            <w:vAlign w:val="bottom"/>
            <w:gridSpan w:val="2"/>
          </w:tcPr>
          <w:p>
            <w:pPr>
              <w:jc w:val="center"/>
              <w:ind w:right="520"/>
              <w:spacing w:after="0" w:line="125"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126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1"/>
                <w:szCs w:val="11"/>
                <w:b w:val="1"/>
                <w:bCs w:val="1"/>
                <w:color w:val="auto"/>
              </w:rPr>
              <w:t>Shares Offered</w:t>
            </w:r>
          </w:p>
        </w:tc>
        <w:tc>
          <w:tcPr>
            <w:tcW w:w="108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1"/>
                <w:szCs w:val="11"/>
                <w:b w:val="1"/>
                <w:bCs w:val="1"/>
                <w:color w:val="auto"/>
              </w:rPr>
              <w:t>Owned</w:t>
            </w:r>
          </w:p>
        </w:tc>
        <w:tc>
          <w:tcPr>
            <w:tcW w:w="8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3"/>
                <w:szCs w:val="13"/>
                <w:color w:val="auto"/>
              </w:rPr>
              <w:t>Alyeska Master Fund, LP</w:t>
            </w:r>
            <w:r>
              <w:rPr>
                <w:rFonts w:ascii="Times New Roman" w:cs="Times New Roman" w:eastAsia="Times New Roman" w:hAnsi="Times New Roman"/>
                <w:sz w:val="19"/>
                <w:szCs w:val="19"/>
                <w:color w:val="auto"/>
                <w:vertAlign w:val="superscript"/>
              </w:rPr>
              <w:t>(1)</w:t>
            </w:r>
          </w:p>
        </w:tc>
        <w:tc>
          <w:tcPr>
            <w:tcW w:w="8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0" w:type="dxa"/>
            <w:vAlign w:val="bottom"/>
            <w:gridSpan w:val="2"/>
            <w:vMerge w:val="continue"/>
            <w:shd w:val="clear" w:color="auto" w:fill="CCEEFF"/>
          </w:tcPr>
          <w:p>
            <w:pPr>
              <w:spacing w:after="0"/>
              <w:rPr>
                <w:sz w:val="13"/>
                <w:szCs w:val="13"/>
                <w:color w:val="auto"/>
              </w:rPr>
            </w:pPr>
          </w:p>
        </w:tc>
        <w:tc>
          <w:tcPr>
            <w:tcW w:w="88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3,901,770</w:t>
            </w:r>
          </w:p>
        </w:tc>
        <w:tc>
          <w:tcPr>
            <w:tcW w:w="52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3,623,188</w:t>
            </w:r>
          </w:p>
        </w:tc>
        <w:tc>
          <w:tcPr>
            <w:tcW w:w="520" w:type="dxa"/>
            <w:vAlign w:val="bottom"/>
            <w:vMerge w:val="continue"/>
            <w:shd w:val="clear" w:color="auto" w:fill="CCEEFF"/>
          </w:tcPr>
          <w:p>
            <w:pPr>
              <w:spacing w:after="0"/>
              <w:rPr>
                <w:sz w:val="13"/>
                <w:szCs w:val="13"/>
                <w:color w:val="auto"/>
              </w:rPr>
            </w:pPr>
          </w:p>
        </w:tc>
        <w:tc>
          <w:tcPr>
            <w:tcW w:w="5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278,582</w:t>
            </w:r>
          </w:p>
        </w:tc>
        <w:tc>
          <w:tcPr>
            <w:tcW w:w="520" w:type="dxa"/>
            <w:vAlign w:val="bottom"/>
            <w:vMerge w:val="continue"/>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0"/>
        </w:trPr>
        <w:tc>
          <w:tcPr>
            <w:tcW w:w="34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Coastlands Capital Partners LP</w:t>
            </w:r>
            <w:r>
              <w:rPr>
                <w:rFonts w:ascii="Times New Roman" w:cs="Times New Roman" w:eastAsia="Times New Roman" w:hAnsi="Times New Roman"/>
                <w:sz w:val="19"/>
                <w:szCs w:val="19"/>
                <w:color w:val="auto"/>
                <w:vertAlign w:val="superscript"/>
              </w:rPr>
              <w:t>(2)</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3,623,188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3,623,188</w:t>
            </w:r>
          </w:p>
        </w:tc>
        <w:tc>
          <w:tcPr>
            <w:tcW w:w="5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34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Lytton-Kambara Foundation</w:t>
            </w:r>
            <w:r>
              <w:rPr>
                <w:rFonts w:ascii="Times New Roman" w:cs="Times New Roman" w:eastAsia="Times New Roman" w:hAnsi="Times New Roman"/>
                <w:sz w:val="19"/>
                <w:szCs w:val="19"/>
                <w:color w:val="auto"/>
                <w:vertAlign w:val="superscript"/>
              </w:rPr>
              <w:t>(3)</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1,992,753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1,992,753</w:t>
            </w: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34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Stonepine Capital, LP</w:t>
            </w:r>
            <w:r>
              <w:rPr>
                <w:rFonts w:ascii="Times New Roman" w:cs="Times New Roman" w:eastAsia="Times New Roman" w:hAnsi="Times New Roman"/>
                <w:sz w:val="19"/>
                <w:szCs w:val="19"/>
                <w:color w:val="auto"/>
                <w:vertAlign w:val="superscript"/>
              </w:rPr>
              <w:t>(4)</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1,614,168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1,449,275</w:t>
            </w:r>
          </w:p>
        </w:tc>
        <w:tc>
          <w:tcPr>
            <w:tcW w:w="52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164,893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0"/>
        </w:trPr>
        <w:tc>
          <w:tcPr>
            <w:tcW w:w="34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Entities Associated with Dellora Investments LP</w:t>
            </w:r>
            <w:r>
              <w:rPr>
                <w:rFonts w:ascii="Times New Roman" w:cs="Times New Roman" w:eastAsia="Times New Roman" w:hAnsi="Times New Roman"/>
                <w:sz w:val="19"/>
                <w:szCs w:val="19"/>
                <w:color w:val="auto"/>
                <w:vertAlign w:val="superscript"/>
              </w:rPr>
              <w:t>(5)</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1,459,273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1,449,273</w:t>
            </w: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34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Entities Associated with Franklin Biotechnology</w:t>
            </w:r>
            <w:r>
              <w:rPr>
                <w:rFonts w:ascii="Times New Roman" w:cs="Times New Roman" w:eastAsia="Times New Roman" w:hAnsi="Times New Roman"/>
                <w:sz w:val="19"/>
                <w:szCs w:val="19"/>
                <w:color w:val="auto"/>
                <w:vertAlign w:val="superscript"/>
              </w:rPr>
              <w:t>(6)</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1,104,383</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724,637</w:t>
            </w:r>
          </w:p>
        </w:tc>
        <w:tc>
          <w:tcPr>
            <w:tcW w:w="52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379,746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0"/>
        </w:trPr>
        <w:tc>
          <w:tcPr>
            <w:tcW w:w="34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Emily Fairbairn</w:t>
            </w:r>
            <w:r>
              <w:rPr>
                <w:rFonts w:ascii="Times New Roman" w:cs="Times New Roman" w:eastAsia="Times New Roman" w:hAnsi="Times New Roman"/>
                <w:sz w:val="19"/>
                <w:szCs w:val="19"/>
                <w:color w:val="auto"/>
                <w:vertAlign w:val="superscript"/>
              </w:rPr>
              <w:t>(7)</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837,804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724,637</w:t>
            </w: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113,167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0"/>
        </w:trPr>
        <w:tc>
          <w:tcPr>
            <w:tcW w:w="34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683 Capital Partners, LP</w:t>
            </w:r>
            <w:r>
              <w:rPr>
                <w:rFonts w:ascii="Times New Roman" w:cs="Times New Roman" w:eastAsia="Times New Roman" w:hAnsi="Times New Roman"/>
                <w:sz w:val="19"/>
                <w:szCs w:val="19"/>
                <w:color w:val="auto"/>
                <w:vertAlign w:val="superscript"/>
              </w:rPr>
              <w:t>(8)</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770,444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724,637</w:t>
            </w:r>
          </w:p>
        </w:tc>
        <w:tc>
          <w:tcPr>
            <w:tcW w:w="52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45,807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34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Richard Gormley</w:t>
            </w:r>
            <w:r>
              <w:rPr>
                <w:rFonts w:ascii="Times New Roman" w:cs="Times New Roman" w:eastAsia="Times New Roman" w:hAnsi="Times New Roman"/>
                <w:sz w:val="19"/>
                <w:szCs w:val="19"/>
                <w:color w:val="auto"/>
                <w:vertAlign w:val="superscript"/>
              </w:rPr>
              <w:t>(9)</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72,464</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72,464</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67310</wp:posOffset>
            </wp:positionV>
            <wp:extent cx="60579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14" w:lineRule="exact"/>
        <w:rPr>
          <w:sz w:val="20"/>
          <w:szCs w:val="20"/>
          <w:color w:val="auto"/>
        </w:rPr>
      </w:pPr>
    </w:p>
    <w:p>
      <w:pPr>
        <w:ind w:left="1660" w:hanging="341"/>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3" w:lineRule="exact"/>
        <w:rPr>
          <w:sz w:val="20"/>
          <w:szCs w:val="20"/>
          <w:color w:val="auto"/>
        </w:rPr>
      </w:pPr>
    </w:p>
    <w:p>
      <w:pPr>
        <w:ind w:left="1660" w:right="279" w:hanging="341"/>
        <w:spacing w:after="0" w:line="25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957,484 shares of common stock (including 875,000 PIPE Shares), (ii) 2,748,188 Pre-Funded Warrant Shares and (iii) 196,098 shares of common stock issuable upon the exercise of warrants outstanding prior to the Private Placement (“Pre-PIPE Warrants”). The Pre-PIPE Warrants contain a provision precluding exercise of the warrants to the extent that, following exercise, the holder, together with any other persons whose beneficial ownership of common stock could be aggregated with the holder’s for purposes of the Exchange Act, would own more than</w:t>
      </w:r>
    </w:p>
    <w:p>
      <w:pPr>
        <w:spacing w:after="0" w:line="2" w:lineRule="exact"/>
        <w:rPr>
          <w:rFonts w:ascii="Times New Roman" w:cs="Times New Roman" w:eastAsia="Times New Roman" w:hAnsi="Times New Roman"/>
          <w:sz w:val="14"/>
          <w:szCs w:val="14"/>
          <w:color w:val="auto"/>
        </w:rPr>
      </w:pPr>
    </w:p>
    <w:p>
      <w:pPr>
        <w:ind w:left="1660" w:right="2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9.99% of the common stock outstanding.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p>
      <w:pPr>
        <w:spacing w:after="0" w:line="2" w:lineRule="exact"/>
        <w:rPr>
          <w:rFonts w:ascii="Times New Roman" w:cs="Times New Roman" w:eastAsia="Times New Roman" w:hAnsi="Times New Roman"/>
          <w:sz w:val="14"/>
          <w:szCs w:val="14"/>
          <w:color w:val="auto"/>
        </w:rPr>
      </w:pPr>
    </w:p>
    <w:p>
      <w:pPr>
        <w:ind w:left="1660" w:right="199" w:hanging="341"/>
        <w:spacing w:after="0" w:line="25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3,623,188 Pre-Funded Warrant Shares. Coastlands Capital LP is the investment adviser to Coastlands Capital Partners LP (“Coastlands Capital”), and Coastlands Capital GP LLC (“Coastlands GP”) is the general partner of Coastlands Capital. Coastlands Capital LLC (the “General Partner”, and together with Coastlands Capital, Coastlands Capital LP and Coastlands GP, the “Coastlands Entities”) is the general partner of Coastlands Capital LP. Matthew D. Perry is the control person of the Coastlands Entities. The Coastlands Entities and Mr. Perry each disclaim membership in a group. The Coastlands Entities and Mr. Perry also each disclaim beneficial ownership of the shares except to the extent of such entity or person’s pecuniary interest therein. The address and principal office of the Coastlands Entities and Mr. Perry is 601 California St., Suite 1210, San Francisco, CA 94108.</w:t>
      </w:r>
    </w:p>
    <w:p>
      <w:pPr>
        <w:spacing w:after="0" w:line="3" w:lineRule="exact"/>
        <w:rPr>
          <w:rFonts w:ascii="Times New Roman" w:cs="Times New Roman" w:eastAsia="Times New Roman" w:hAnsi="Times New Roman"/>
          <w:sz w:val="14"/>
          <w:szCs w:val="14"/>
          <w:color w:val="auto"/>
        </w:rPr>
      </w:pPr>
    </w:p>
    <w:p>
      <w:pPr>
        <w:ind w:left="1660" w:right="239" w:hanging="341"/>
        <w:spacing w:after="0" w:line="25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900,000 PIPE Shares and (ii) 1,092,753 Pre-Funded Warrant Shares. Laurence Lytton is the President of the Lytton-Kambara Foundation and has sole voting and dispositive power with respect to the securities held by the Lytton-Kambara Foundation. The business address of the Lytton-Kambara Foundation and Mr. Lytton is 467 Central Park West, 17-A, New York, NY 10025.</w:t>
      </w:r>
    </w:p>
    <w:p>
      <w:pPr>
        <w:spacing w:after="0" w:line="1" w:lineRule="exact"/>
        <w:rPr>
          <w:rFonts w:ascii="Times New Roman" w:cs="Times New Roman" w:eastAsia="Times New Roman" w:hAnsi="Times New Roman"/>
          <w:sz w:val="14"/>
          <w:szCs w:val="14"/>
          <w:color w:val="auto"/>
        </w:rPr>
      </w:pPr>
    </w:p>
    <w:p>
      <w:pPr>
        <w:ind w:left="1660" w:right="199" w:hanging="341"/>
        <w:spacing w:after="0" w:line="257"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684,893 shares of common stock (including 520,000 PIPE Shares) and (ii) 929,275 Pre-Funded Warrant Shares. Jon M. Plexico exercises voting and investment discretion with respect to the securities held by Stonepine Capital, LP and as such may be deemed to beneficially own the securities held by Stonepine Capital, LP. The address of Stonepine Capital, LP and Mr. Plexico is 2900 NW Clearwater Drive, Ste 100-11, Bend, OR 97703.</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right="259" w:hanging="341"/>
        <w:spacing w:after="0" w:line="255"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(A)(i) 398,784 shares of common stock (including 390,000 PIPE Shares) and (ii) 934,636 Pre-Funded Warrant Shares held directly by Dellora Investments Master Fund LP (“Dellora Master Fund”) and (B)(i) 1,216 shares of common stock and (ii) 124,637 Pre-Funded Warrant Shares held directly by Dellora Long Only Master Fund LP (“Dellora Long Only”). Dellora Investments LP is the investment adviser to Dellora Master Fund and Dellora Long Only and may be deemed to be the beneficial owner of the securities held directly by Dellora Master Fund and Dellora Long Only. Mr. Pyun, as Principal of Dellora Investments LP, has the power to exercise investment and voting discretion over the securities held by Dellora Master Fund and Dellora Long Only and may be deemed to be the beneficial owner of the securities held by Dellora Master Fund and Dellora Long Only. The principal business address of the entities and individual referenced in this footnote is 283 Greenwich Avenue, 3rd Floor, Greenwich, CT 06830.</w:t>
      </w:r>
    </w:p>
    <w:p>
      <w:pPr>
        <w:spacing w:after="0" w:line="2" w:lineRule="exact"/>
        <w:rPr>
          <w:rFonts w:ascii="Times New Roman" w:cs="Times New Roman" w:eastAsia="Times New Roman" w:hAnsi="Times New Roman"/>
          <w:sz w:val="14"/>
          <w:szCs w:val="14"/>
          <w:color w:val="auto"/>
        </w:rPr>
      </w:pPr>
    </w:p>
    <w:p>
      <w:pPr>
        <w:ind w:left="1660" w:right="319" w:hanging="341"/>
        <w:spacing w:after="0" w:line="25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(A)(i) 582,427 shares of common stock (including 462,227 PIPE Shares) and (ii) 120,200 shares of common stock issuable upon exercise of Pre-PIPE Warrants held directly by Franklin Templeton Investment Funds–Franklin Biotechnology Discovery Fund (“Franklin Templeton”) and (B)(i) 332,083 shares of common stock (including 262,410 PIPE Shares) and (ii) 69,673 shares of common stock issuable upon exercise of Pre-PIPE Warrants held directly by Franklin Strategic Series–Franklin Biotechnology Discovery Fund (“Franklin Strategic”). The Pre-PIPE Warrants contain a provision precluding exercise of the warrants to the extent that, following exercise, the holder, together with any other persons whose beneficial ownership of common stock could be aggregated with the holder’s for purposes of the Exchange Act, would own more than 4.99% of the common stock outstanding. Franklin Advisers, Inc., an SEC registered broker-dealer, is the investment adviser to both Franklin Strategic and Franklin Templeton. Evan McCulloch is the portfolio manager for both Franklin Strategic and Franklin Templeton.</w:t>
      </w:r>
    </w:p>
    <w:p>
      <w:pPr>
        <w:spacing w:after="0" w:line="4" w:lineRule="exact"/>
        <w:rPr>
          <w:rFonts w:ascii="Times New Roman" w:cs="Times New Roman" w:eastAsia="Times New Roman" w:hAnsi="Times New Roman"/>
          <w:sz w:val="14"/>
          <w:szCs w:val="14"/>
          <w:color w:val="auto"/>
        </w:rPr>
      </w:pPr>
    </w:p>
    <w:p>
      <w:pPr>
        <w:jc w:val="both"/>
        <w:ind w:left="1660" w:right="3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McCulloch may be deemed to have voting and investment power over the securities held by Franklin Strategic and Franklin Templeton. The address of Franklin Strategic is c/o Franklin Advisers, Inc., One Franklin Parkway, San Mateo, CA 94403. The address of Franklin Templeton is 8A Rue Albert Borschette, 1246 Kirchberg, Luxembourg.</w:t>
      </w:r>
    </w:p>
    <w:p>
      <w:pPr>
        <w:spacing w:after="0" w:line="1" w:lineRule="exact"/>
        <w:rPr>
          <w:rFonts w:ascii="Times New Roman" w:cs="Times New Roman" w:eastAsia="Times New Roman" w:hAnsi="Times New Roman"/>
          <w:sz w:val="14"/>
          <w:szCs w:val="14"/>
          <w:color w:val="auto"/>
        </w:rPr>
      </w:pPr>
    </w:p>
    <w:p>
      <w:pPr>
        <w:ind w:left="1660" w:right="199" w:hanging="341"/>
        <w:spacing w:after="0" w:line="25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724,637 PIPE Shares held by the Malcolm and Emily Fairbairn 2010 CRUT (the “CRUT”), (ii) 202,582 shares of common stock issuable upon exercise of Pre-PIPE Warrants held by the Malcolm and Emily Charitable Remainder Unitrust 2010 (the “Unitrust”), (iii) 3,044 shares of common stock held by Valley High Limited Partnership (“Valley High”), (iv) 923 shares of common stock held by the Emily T. Fairbairn Roth IRA (the “Emily Fairbairn IRA”), and (v) 7,909 shares of common stock issuable upon exercise of options held by Ms. Fairbairn that are currently exercisable or exercisable within 60 days of January 12, 2026. Ms. Fairbairn and her spouse both exercise control over the CRUT and the Unitrust and, as such, have shared voting and investment power over the shares held by the CRUT and the Unitrust. Ms. Fairbairn exercises control over the Emily Fairbairn IRA and, as such, has sole voting and investment power over the shares held by the Emily Fairbairn IRA.</w:t>
      </w:r>
    </w:p>
    <w:p>
      <w:pPr>
        <w:spacing w:after="0" w:line="3" w:lineRule="exact"/>
        <w:rPr>
          <w:rFonts w:ascii="Times New Roman" w:cs="Times New Roman" w:eastAsia="Times New Roman" w:hAnsi="Times New Roman"/>
          <w:sz w:val="14"/>
          <w:szCs w:val="14"/>
          <w:color w:val="auto"/>
        </w:rPr>
      </w:pPr>
    </w:p>
    <w:p>
      <w:pPr>
        <w:ind w:left="1660" w:right="2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Fairbairn’s spouse is the sole managing partner of Valley High and has sole voting and investment power over the shares held by Valley High. Ms. Fairbairn disclaims beneficial ownership of the shares held by Valley High except to the extent of her pecuniary interest therein. The address of the individuals and entities referenced in this footnote is 10 Orinda View Road, Orinda, California 94563.</w:t>
      </w:r>
    </w:p>
    <w:p>
      <w:pPr>
        <w:spacing w:after="0" w:line="1" w:lineRule="exact"/>
        <w:rPr>
          <w:rFonts w:ascii="Times New Roman" w:cs="Times New Roman" w:eastAsia="Times New Roman" w:hAnsi="Times New Roman"/>
          <w:sz w:val="14"/>
          <w:szCs w:val="14"/>
          <w:color w:val="auto"/>
        </w:rPr>
      </w:pPr>
    </w:p>
    <w:p>
      <w:pPr>
        <w:ind w:left="1660" w:right="239" w:hanging="341"/>
        <w:spacing w:after="0" w:line="252"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724,637 PIPE Shares and (ii) 45,807 shares of common stock issuable upon exercise of Pre-PIPE Warrants. The Pre-PIPE Warrants contain a provision precluding exercise of the warrants to the extent that, following exercise, the holder, together with any other persons whose beneficial ownership of common stock could be aggregated with the holder’s for purposes of the Exchange Act, would own more than 4.99% of the common stock outstanding. The securities held by 683 Capital Partners, LP are indirectly held by 683 Capital Management, LLC and Ari Zweiman, the managing member of 683 Capital Management, LLC. 683 Capital Management, LLC, 683 Capital Partners, LP and Mr. Zweiman share voting and dispositive power with respect to the securities held by 683 Capital Partners, LP. The address of 683 Capital Partners, LP is 1700 Broadway, Suite 4200, New York, NY 10019.</w:t>
      </w:r>
    </w:p>
    <w:p>
      <w:pPr>
        <w:spacing w:after="0" w:line="3" w:lineRule="exact"/>
        <w:rPr>
          <w:rFonts w:ascii="Times New Roman" w:cs="Times New Roman" w:eastAsia="Times New Roman" w:hAnsi="Times New Roman"/>
          <w:sz w:val="14"/>
          <w:szCs w:val="14"/>
          <w:color w:val="auto"/>
        </w:rPr>
      </w:pPr>
    </w:p>
    <w:p>
      <w:pPr>
        <w:ind w:left="1660" w:right="199" w:hanging="341"/>
        <w:spacing w:after="0" w:line="265"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72,464 PIPE Shares. Mr. Gormley is Vice Chairman and President of Capital Markets at H.C. Wainwright &amp; Co. LLC, which served as our placement agent in the Private Placement. Mr. Gormley’s business address is 430 Park Avenue, New York, NY 10022.</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0" w:lineRule="exact"/>
        <w:rPr>
          <w:sz w:val="20"/>
          <w:szCs w:val="20"/>
          <w:color w:val="auto"/>
        </w:rPr>
      </w:pPr>
    </w:p>
    <w:p>
      <w:pPr>
        <w:ind w:left="1320" w:right="279" w:firstLine="346"/>
        <w:spacing w:after="0" w:line="259" w:lineRule="auto"/>
        <w:rPr>
          <w:sz w:val="20"/>
          <w:szCs w:val="20"/>
          <w:color w:val="auto"/>
        </w:rPr>
      </w:pPr>
      <w:r>
        <w:rPr>
          <w:rFonts w:ascii="Times New Roman" w:cs="Times New Roman" w:eastAsia="Times New Roman" w:hAnsi="Times New Roman"/>
          <w:sz w:val="14"/>
          <w:szCs w:val="14"/>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selling stockholders may use any one or more of the following methods when disposing of shares or interests therein:</w:t>
      </w:r>
    </w:p>
    <w:p>
      <w:pPr>
        <w:spacing w:after="0" w:line="104" w:lineRule="exact"/>
        <w:rPr>
          <w:sz w:val="20"/>
          <w:szCs w:val="20"/>
          <w:color w:val="auto"/>
        </w:rPr>
      </w:pPr>
    </w:p>
    <w:p>
      <w:pPr>
        <w:ind w:left="2080" w:hanging="337"/>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members, partners, stockholders or other equityholders of the selling stockholders;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4" w:lineRule="exact"/>
        <w:rPr>
          <w:rFonts w:ascii="Times New Roman" w:cs="Times New Roman" w:eastAsia="Times New Roman" w:hAnsi="Times New Roman"/>
          <w:sz w:val="14"/>
          <w:szCs w:val="14"/>
          <w:color w:val="auto"/>
        </w:rPr>
      </w:pPr>
    </w:p>
    <w:p>
      <w:pPr>
        <w:ind w:left="2080" w:right="679" w:hanging="337"/>
        <w:spacing w:after="0" w:line="286" w:lineRule="auto"/>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shares at a stipulated price per share;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8" w:lineRule="exact"/>
        <w:rPr>
          <w:sz w:val="20"/>
          <w:szCs w:val="20"/>
          <w:color w:val="auto"/>
        </w:rPr>
      </w:pPr>
    </w:p>
    <w:p>
      <w:pPr>
        <w:jc w:val="both"/>
        <w:ind w:left="1320" w:right="279" w:firstLine="346"/>
        <w:spacing w:after="0" w:line="258" w:lineRule="auto"/>
        <w:rPr>
          <w:sz w:val="20"/>
          <w:szCs w:val="20"/>
          <w:color w:val="auto"/>
        </w:rPr>
      </w:pPr>
      <w:r>
        <w:rPr>
          <w:rFonts w:ascii="Times New Roman" w:cs="Times New Roman" w:eastAsia="Times New Roman" w:hAnsi="Times New Roman"/>
          <w:sz w:val="14"/>
          <w:szCs w:val="14"/>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ind w:left="1320" w:right="799"/>
        <w:spacing w:after="0" w:line="265" w:lineRule="auto"/>
        <w:rPr>
          <w:sz w:val="20"/>
          <w:szCs w:val="20"/>
          <w:color w:val="auto"/>
        </w:rPr>
      </w:pPr>
      <w:r>
        <w:rPr>
          <w:rFonts w:ascii="Times New Roman" w:cs="Times New Roman" w:eastAsia="Times New Roman" w:hAnsi="Times New Roman"/>
          <w:sz w:val="14"/>
          <w:szCs w:val="14"/>
          <w:color w:val="auto"/>
        </w:rPr>
        <w:t>The selling stockholders also may transfer the shares of common stock in other circumstances, in which case the transferees, pledgees or other successors in interest will be the selling stockholders for purposes of this prospectus.</w:t>
      </w:r>
    </w:p>
    <w:p>
      <w:pPr>
        <w:spacing w:after="0" w:line="139"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42" w:lineRule="exact"/>
        <w:rPr>
          <w:sz w:val="20"/>
          <w:szCs w:val="20"/>
          <w:color w:val="auto"/>
        </w:rPr>
      </w:pPr>
    </w:p>
    <w:p>
      <w:pPr>
        <w:ind w:left="1320" w:right="319" w:firstLine="346"/>
        <w:spacing w:after="0" w:line="269" w:lineRule="auto"/>
        <w:rPr>
          <w:sz w:val="20"/>
          <w:szCs w:val="20"/>
          <w:color w:val="auto"/>
        </w:rPr>
      </w:pPr>
      <w:r>
        <w:rPr>
          <w:rFonts w:ascii="Times New Roman" w:cs="Times New Roman" w:eastAsia="Times New Roman" w:hAnsi="Times New Roman"/>
          <w:sz w:val="14"/>
          <w:szCs w:val="14"/>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 part, any proposed purchase of common stock to be made directly or through agents. We will not receive any of the proceeds from this offering.</w:t>
      </w:r>
    </w:p>
    <w:p>
      <w:pPr>
        <w:spacing w:after="0" w:line="178"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37"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42"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40"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7"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42" w:lineRule="exact"/>
        <w:rPr>
          <w:sz w:val="20"/>
          <w:szCs w:val="20"/>
          <w:color w:val="auto"/>
        </w:rPr>
      </w:pPr>
    </w:p>
    <w:p>
      <w:pPr>
        <w:ind w:left="1320" w:right="379" w:firstLine="346"/>
        <w:spacing w:after="0" w:line="286" w:lineRule="auto"/>
        <w:rPr>
          <w:sz w:val="20"/>
          <w:szCs w:val="20"/>
          <w:color w:val="auto"/>
        </w:rPr>
      </w:pPr>
      <w:r>
        <w:rPr>
          <w:rFonts w:ascii="Times New Roman" w:cs="Times New Roman" w:eastAsia="Times New Roman" w:hAnsi="Times New Roman"/>
          <w:sz w:val="14"/>
          <w:szCs w:val="14"/>
          <w:color w:val="auto"/>
        </w:rPr>
        <w:t>We have agreed to indemnify the selling stockholders against certain liabilities, including liabilities under the Securities Act and state securities laws, relating to the registration of the shares of common stock offered by this prospectus.</w:t>
      </w:r>
    </w:p>
    <w:p>
      <w:pPr>
        <w:spacing w:after="0" w:line="125"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of common stock covered by this prospectus may be resold by the selling stockholders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Cooley LLP, Washington, D.C., will pass upon the validity of the securities offered by this prospectus and any supplement thereto. As of the date of this prospectus, GC&amp;H Investments and GC&amp;H Investments, LLC, each an entity that is comprised of partners and associates of Cooley LLP, beneficially own an aggregate of 5,797 shares of our common stock.</w:t>
      </w:r>
    </w:p>
    <w:p>
      <w:pPr>
        <w:spacing w:after="0" w:line="3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ind w:left="1320" w:right="359" w:firstLine="346"/>
        <w:spacing w:after="0" w:line="261" w:lineRule="auto"/>
        <w:rPr>
          <w:sz w:val="20"/>
          <w:szCs w:val="20"/>
          <w:color w:val="auto"/>
        </w:rPr>
      </w:pPr>
      <w:r>
        <w:rPr>
          <w:rFonts w:ascii="Times New Roman" w:cs="Times New Roman" w:eastAsia="Times New Roman" w:hAnsi="Times New Roman"/>
          <w:sz w:val="14"/>
          <w:szCs w:val="14"/>
          <w:color w:val="auto"/>
        </w:rPr>
        <w:t>The financial statements of IN8bio, Inc. for the years ended December 31, 2024 and 2023 have been audited by CohnReznick LLP, independent registered public accounting firm, as set forth in their report thereon appearing in IN8bio, Inc.’s Annual Report on Form 10-K for the year ended December 31, 2024 and 2023, and incorporated by reference herein. Such financial statements are incorporated by reference herein in reliance upon such report, which includes an explanatory paragraph on IN8bio, Inc.’s ability to continue as a going concern, given on the authority of such firm as experts in accounting and auditing.</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80"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140" w:lineRule="exact"/>
        <w:rPr>
          <w:sz w:val="20"/>
          <w:szCs w:val="20"/>
          <w:color w:val="auto"/>
        </w:rPr>
      </w:pPr>
    </w:p>
    <w:p>
      <w:pPr>
        <w:ind w:left="1320" w:right="319" w:firstLine="346"/>
        <w:spacing w:after="0" w:line="258" w:lineRule="auto"/>
        <w:rPr>
          <w:sz w:val="20"/>
          <w:szCs w:val="20"/>
          <w:color w:val="auto"/>
        </w:rPr>
      </w:pPr>
      <w:r>
        <w:rPr>
          <w:rFonts w:ascii="Times New Roman" w:cs="Times New Roman" w:eastAsia="Times New Roman" w:hAnsi="Times New Roman"/>
          <w:sz w:val="14"/>
          <w:szCs w:val="14"/>
          <w:color w:val="auto"/>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These filings will be available as soon as reasonably practicable after we electronically file such material with, or furnish it to, the SEC. Our website address is </w:t>
      </w:r>
      <w:r>
        <w:rPr>
          <w:rFonts w:ascii="Times New Roman" w:cs="Times New Roman" w:eastAsia="Times New Roman" w:hAnsi="Times New Roman"/>
          <w:sz w:val="14"/>
          <w:szCs w:val="14"/>
          <w:i w:val="1"/>
          <w:iCs w:val="1"/>
          <w:color w:val="auto"/>
        </w:rPr>
        <w:t>www.in8bio.com</w:t>
      </w:r>
      <w:r>
        <w:rPr>
          <w:rFonts w:ascii="Times New Roman" w:cs="Times New Roman" w:eastAsia="Times New Roman" w:hAnsi="Times New Roman"/>
          <w:sz w:val="14"/>
          <w:szCs w:val="14"/>
          <w:color w:val="auto"/>
        </w:rPr>
        <w:t>. Information contained on or accessible through our website is not a part of this prospectus and is not incorporated by reference herein, and the inclusion of our website address in this prospectus is an inactive textual reference only.</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0"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001-39692):</w:t>
      </w:r>
    </w:p>
    <w:p>
      <w:pPr>
        <w:spacing w:after="0" w:line="71" w:lineRule="exact"/>
        <w:rPr>
          <w:sz w:val="20"/>
          <w:szCs w:val="20"/>
          <w:color w:val="auto"/>
        </w:rPr>
      </w:pPr>
    </w:p>
    <w:p>
      <w:pPr>
        <w:jc w:val="both"/>
        <w:ind w:left="2080" w:right="479" w:hanging="337"/>
        <w:spacing w:after="0" w:line="269" w:lineRule="auto"/>
        <w:tabs>
          <w:tab w:leader="none" w:pos="2080" w:val="left"/>
        </w:tabs>
        <w:numPr>
          <w:ilvl w:val="0"/>
          <w:numId w:val="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Annual Report on Form 10-K for the fiscal year ended December 31, 2024, filed with the SEC on </w:t>
      </w:r>
      <w:hyperlink r:id="rId44">
        <w:r>
          <w:rPr>
            <w:rFonts w:ascii="Times New Roman" w:cs="Times New Roman" w:eastAsia="Times New Roman" w:hAnsi="Times New Roman"/>
            <w:sz w:val="14"/>
            <w:szCs w:val="14"/>
            <w:u w:val="single" w:color="auto"/>
            <w:color w:val="0000EE"/>
          </w:rPr>
          <w:t>March 13, 2025</w:t>
        </w:r>
      </w:hyperlink>
      <w:r>
        <w:rPr>
          <w:rFonts w:ascii="Times New Roman" w:cs="Times New Roman" w:eastAsia="Times New Roman" w:hAnsi="Times New Roman"/>
          <w:sz w:val="14"/>
          <w:szCs w:val="14"/>
          <w:color w:val="auto"/>
        </w:rPr>
        <w:t xml:space="preserve">, as amended by </w:t>
      </w:r>
      <w:hyperlink r:id="rId45">
        <w:r>
          <w:rPr>
            <w:rFonts w:ascii="Times New Roman" w:cs="Times New Roman" w:eastAsia="Times New Roman" w:hAnsi="Times New Roman"/>
            <w:sz w:val="14"/>
            <w:szCs w:val="14"/>
            <w:color w:val="auto"/>
          </w:rPr>
          <w:t xml:space="preserve">Amendment No. 1 to our Annual Report on Form 10-K/A for the fiscal year ended December 31, 2024, filed with the SEC on </w:t>
        </w:r>
        <w:r>
          <w:rPr>
            <w:rFonts w:ascii="Times New Roman" w:cs="Times New Roman" w:eastAsia="Times New Roman" w:hAnsi="Times New Roman"/>
            <w:sz w:val="14"/>
            <w:szCs w:val="14"/>
            <w:u w:val="single" w:color="auto"/>
            <w:color w:val="0000EE"/>
          </w:rPr>
          <w:t>May 7,</w:t>
        </w:r>
      </w:hyperlink>
      <w:r>
        <w:rPr>
          <w:rFonts w:ascii="Times New Roman" w:cs="Times New Roman" w:eastAsia="Times New Roman" w:hAnsi="Times New Roman"/>
          <w:sz w:val="14"/>
          <w:szCs w:val="14"/>
          <w:color w:val="auto"/>
        </w:rPr>
        <w:t xml:space="preserve"> </w:t>
      </w:r>
      <w:hyperlink r:id="rId45">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hyperlink>
    </w:p>
    <w:p>
      <w:pPr>
        <w:spacing w:after="0" w:line="62" w:lineRule="exact"/>
        <w:rPr>
          <w:rFonts w:ascii="Times New Roman" w:cs="Times New Roman" w:eastAsia="Times New Roman" w:hAnsi="Times New Roman"/>
          <w:sz w:val="14"/>
          <w:szCs w:val="14"/>
          <w:color w:val="0000EE"/>
        </w:rPr>
      </w:pPr>
    </w:p>
    <w:p>
      <w:pPr>
        <w:ind w:left="2080" w:right="319" w:hanging="337"/>
        <w:spacing w:after="0" w:line="269"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Schedule 14A, filed with the SEC on </w:t>
      </w:r>
      <w:hyperlink r:id="rId46">
        <w:r>
          <w:rPr>
            <w:rFonts w:ascii="Times New Roman" w:cs="Times New Roman" w:eastAsia="Times New Roman" w:hAnsi="Times New Roman"/>
            <w:sz w:val="14"/>
            <w:szCs w:val="14"/>
            <w:u w:val="single" w:color="auto"/>
            <w:color w:val="0000EE"/>
          </w:rPr>
          <w:t>March 17, 2025</w:t>
        </w:r>
      </w:hyperlink>
      <w:r>
        <w:rPr>
          <w:rFonts w:ascii="Times New Roman" w:cs="Times New Roman" w:eastAsia="Times New Roman" w:hAnsi="Times New Roman"/>
          <w:sz w:val="14"/>
          <w:szCs w:val="14"/>
          <w:color w:val="auto"/>
        </w:rPr>
        <w:t xml:space="preserve">, as amended by Amendment No. 1 to our definitive Proxy Statement on Schedule 14A, filed with the SEC on </w:t>
      </w:r>
      <w:hyperlink r:id="rId47">
        <w:r>
          <w:rPr>
            <w:rFonts w:ascii="Times New Roman" w:cs="Times New Roman" w:eastAsia="Times New Roman" w:hAnsi="Times New Roman"/>
            <w:sz w:val="14"/>
            <w:szCs w:val="14"/>
            <w:u w:val="single" w:color="auto"/>
            <w:color w:val="0000EE"/>
          </w:rPr>
          <w:t>April 29,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(excluding those portions that are not incorporated by reference into our Annual Report on Form 10-K for the fiscal year ended December 31, 2024);</w:t>
      </w:r>
    </w:p>
    <w:p>
      <w:pPr>
        <w:spacing w:after="0" w:line="62"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Quarterly Reports on Form 10-Q for the quarters ended March 31, 2025, June 30, 2025 and September 30, 2025, filed with the SEC on </w:t>
      </w:r>
      <w:hyperlink r:id="rId48">
        <w:r>
          <w:rPr>
            <w:rFonts w:ascii="Times New Roman" w:cs="Times New Roman" w:eastAsia="Times New Roman" w:hAnsi="Times New Roman"/>
            <w:sz w:val="14"/>
            <w:szCs w:val="14"/>
            <w:u w:val="single" w:color="auto"/>
            <w:color w:val="0000EE"/>
          </w:rPr>
          <w:t>May 7,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49">
        <w:r>
          <w:rPr>
            <w:rFonts w:ascii="Times New Roman" w:cs="Times New Roman" w:eastAsia="Times New Roman" w:hAnsi="Times New Roman"/>
            <w:sz w:val="14"/>
            <w:szCs w:val="14"/>
            <w:u w:val="single" w:color="auto"/>
            <w:color w:val="0000EE"/>
          </w:rPr>
          <w:t xml:space="preserve">August 7, 2025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50">
        <w:r>
          <w:rPr>
            <w:rFonts w:ascii="Times New Roman" w:cs="Times New Roman" w:eastAsia="Times New Roman" w:hAnsi="Times New Roman"/>
            <w:sz w:val="14"/>
            <w:szCs w:val="14"/>
            <w:u w:val="single" w:color="auto"/>
            <w:color w:val="0000EE"/>
          </w:rPr>
          <w:t>November 6,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respectively;</w:t>
      </w:r>
    </w:p>
    <w:p>
      <w:pPr>
        <w:spacing w:after="0" w:line="50" w:lineRule="exact"/>
        <w:rPr>
          <w:rFonts w:ascii="Times New Roman" w:cs="Times New Roman" w:eastAsia="Times New Roman" w:hAnsi="Times New Roman"/>
          <w:sz w:val="14"/>
          <w:szCs w:val="14"/>
          <w:color w:val="0000EE"/>
        </w:rPr>
      </w:pPr>
    </w:p>
    <w:p>
      <w:pPr>
        <w:ind w:left="2080" w:right="259" w:hanging="337"/>
        <w:spacing w:after="0" w:line="269" w:lineRule="auto"/>
        <w:tabs>
          <w:tab w:leader="none" w:pos="2080" w:val="left"/>
        </w:tabs>
        <w:numPr>
          <w:ilvl w:val="0"/>
          <w:numId w:val="7"/>
        </w:numPr>
        <w:rPr>
          <w:rFonts w:ascii="Times New Roman" w:cs="Times New Roman" w:eastAsia="Times New Roman" w:hAnsi="Times New Roman"/>
          <w:sz w:val="14"/>
          <w:szCs w:val="14"/>
          <w:color w:val="0000EE"/>
        </w:rPr>
      </w:pPr>
      <w:hyperlink r:id="rId51">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February 7,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11,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3,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5,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28,</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2">
        <w:r>
          <w:rPr>
            <w:rFonts w:ascii="Times New Roman" w:cs="Times New Roman" w:eastAsia="Times New Roman" w:hAnsi="Times New Roman"/>
            <w:sz w:val="14"/>
            <w:szCs w:val="14"/>
            <w:u w:val="single" w:color="auto"/>
            <w:color w:val="0000EE"/>
          </w:rPr>
          <w:t>April 28, 2025</w:t>
        </w:r>
      </w:hyperlink>
      <w:hyperlink r:id="rId51">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3">
        <w:r>
          <w:rPr>
            <w:rFonts w:ascii="Times New Roman" w:cs="Times New Roman" w:eastAsia="Times New Roman" w:hAnsi="Times New Roman"/>
            <w:sz w:val="14"/>
            <w:szCs w:val="14"/>
            <w:u w:val="single" w:color="auto"/>
            <w:color w:val="0000EE"/>
          </w:rPr>
          <w:t>May 9, 2025</w:t>
        </w:r>
      </w:hyperlink>
      <w:hyperlink r:id="rId51">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4">
        <w:r>
          <w:rPr>
            <w:rFonts w:ascii="Times New Roman" w:cs="Times New Roman" w:eastAsia="Times New Roman" w:hAnsi="Times New Roman"/>
            <w:sz w:val="14"/>
            <w:szCs w:val="14"/>
            <w:u w:val="single" w:color="auto"/>
            <w:color w:val="0000EE"/>
          </w:rPr>
          <w:t>June 2, 2025</w:t>
        </w:r>
      </w:hyperlink>
      <w:hyperlink r:id="rId51">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5">
        <w:r>
          <w:rPr>
            <w:rFonts w:ascii="Times New Roman" w:cs="Times New Roman" w:eastAsia="Times New Roman" w:hAnsi="Times New Roman"/>
            <w:sz w:val="14"/>
            <w:szCs w:val="14"/>
            <w:u w:val="single" w:color="auto"/>
            <w:color w:val="0000EE"/>
          </w:rPr>
          <w:t>June 4, 2025</w:t>
        </w:r>
      </w:hyperlink>
      <w:hyperlink r:id="rId51">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6">
        <w:r>
          <w:rPr>
            <w:rFonts w:ascii="Times New Roman" w:cs="Times New Roman" w:eastAsia="Times New Roman" w:hAnsi="Times New Roman"/>
            <w:sz w:val="14"/>
            <w:szCs w:val="14"/>
            <w:u w:val="single" w:color="auto"/>
            <w:color w:val="0000EE"/>
          </w:rPr>
          <w:t>June 30, 2025</w:t>
        </w:r>
      </w:hyperlink>
      <w:hyperlink r:id="rId51">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7">
        <w:r>
          <w:rPr>
            <w:rFonts w:ascii="Times New Roman" w:cs="Times New Roman" w:eastAsia="Times New Roman" w:hAnsi="Times New Roman"/>
            <w:sz w:val="14"/>
            <w:szCs w:val="14"/>
            <w:u w:val="single" w:color="auto"/>
            <w:color w:val="0000EE"/>
          </w:rPr>
          <w:t>October 27, 2025</w:t>
        </w:r>
      </w:hyperlink>
      <w:hyperlink r:id="rId51">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8">
        <w:r>
          <w:rPr>
            <w:rFonts w:ascii="Times New Roman" w:cs="Times New Roman" w:eastAsia="Times New Roman" w:hAnsi="Times New Roman"/>
            <w:sz w:val="14"/>
            <w:szCs w:val="14"/>
            <w:u w:val="single" w:color="auto"/>
            <w:color w:val="0000EE"/>
          </w:rPr>
          <w:t xml:space="preserve">November 24, 2025 </w:t>
        </w:r>
      </w:hyperlink>
      <w:hyperlink r:id="rId51">
        <w:r>
          <w:rPr>
            <w:rFonts w:ascii="Times New Roman" w:cs="Times New Roman" w:eastAsia="Times New Roman" w:hAnsi="Times New Roman"/>
            <w:sz w:val="14"/>
            <w:szCs w:val="14"/>
            <w:color w:val="000000"/>
          </w:rPr>
          <w:t>and</w:t>
        </w:r>
      </w:hyperlink>
      <w:r>
        <w:rPr>
          <w:rFonts w:ascii="Times New Roman" w:cs="Times New Roman" w:eastAsia="Times New Roman" w:hAnsi="Times New Roman"/>
          <w:sz w:val="14"/>
          <w:szCs w:val="14"/>
          <w:color w:val="0000EE"/>
        </w:rPr>
        <w:t xml:space="preserve"> </w:t>
      </w:r>
      <w:hyperlink r:id="rId59">
        <w:r>
          <w:rPr>
            <w:rFonts w:ascii="Times New Roman" w:cs="Times New Roman" w:eastAsia="Times New Roman" w:hAnsi="Times New Roman"/>
            <w:sz w:val="14"/>
            <w:szCs w:val="14"/>
            <w:u w:val="single" w:color="auto"/>
            <w:color w:val="0000EE"/>
          </w:rPr>
          <w:t>December 19,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62" w:lineRule="exact"/>
        <w:rPr>
          <w:rFonts w:ascii="Times New Roman" w:cs="Times New Roman" w:eastAsia="Times New Roman" w:hAnsi="Times New Roman"/>
          <w:sz w:val="14"/>
          <w:szCs w:val="14"/>
          <w:color w:val="0000EE"/>
        </w:rPr>
      </w:pPr>
    </w:p>
    <w:p>
      <w:pPr>
        <w:ind w:left="2080" w:right="499" w:hanging="337"/>
        <w:spacing w:after="0" w:line="286" w:lineRule="auto"/>
        <w:tabs>
          <w:tab w:leader="none" w:pos="2080" w:val="left"/>
        </w:tabs>
        <w:numPr>
          <w:ilvl w:val="0"/>
          <w:numId w:val="7"/>
        </w:numPr>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auto"/>
          </w:rPr>
          <w:t xml:space="preserve">the description of our common stock as described in </w:t>
        </w:r>
        <w:r>
          <w:rPr>
            <w:rFonts w:ascii="Times New Roman" w:cs="Times New Roman" w:eastAsia="Times New Roman" w:hAnsi="Times New Roman"/>
            <w:sz w:val="14"/>
            <w:szCs w:val="14"/>
            <w:u w:val="single" w:color="auto"/>
            <w:color w:val="0000EE"/>
          </w:rPr>
          <w:t>Exhibit 4.3 to our Annual Report on Form 10-K filed with the SEC on March 13,</w:t>
        </w:r>
      </w:hyperlink>
      <w:r>
        <w:rPr>
          <w:rFonts w:ascii="Times New Roman" w:cs="Times New Roman" w:eastAsia="Times New Roman" w:hAnsi="Times New Roman"/>
          <w:sz w:val="14"/>
          <w:szCs w:val="14"/>
          <w:color w:val="auto"/>
        </w:rPr>
        <w:t xml:space="preserve"> </w:t>
      </w:r>
      <w:hyperlink r:id="rId60">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 including any amendments or reports filed for the purpose of updating this description.</w:t>
        </w:r>
      </w:hyperlink>
    </w:p>
    <w:p>
      <w:pPr>
        <w:spacing w:after="0" w:line="125" w:lineRule="exact"/>
        <w:rPr>
          <w:rFonts w:ascii="Times New Roman" w:cs="Times New Roman" w:eastAsia="Times New Roman" w:hAnsi="Times New Roman"/>
          <w:sz w:val="14"/>
          <w:szCs w:val="14"/>
          <w:color w:val="auto"/>
        </w:rPr>
      </w:pPr>
    </w:p>
    <w:p>
      <w:pPr>
        <w:ind w:left="1320" w:right="579" w:firstLine="346"/>
        <w:spacing w:after="0" w:line="286" w:lineRule="auto"/>
        <w:rPr>
          <w:sz w:val="20"/>
          <w:szCs w:val="20"/>
          <w:color w:val="auto"/>
        </w:rPr>
      </w:pPr>
      <w:r>
        <w:rPr>
          <w:rFonts w:ascii="Times New Roman" w:cs="Times New Roman" w:eastAsia="Times New Roman" w:hAnsi="Times New Roman"/>
          <w:sz w:val="14"/>
          <w:szCs w:val="14"/>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25" w:lineRule="exact"/>
        <w:rPr>
          <w:rFonts w:ascii="Times New Roman" w:cs="Times New Roman" w:eastAsia="Times New Roman" w:hAnsi="Times New Roman"/>
          <w:sz w:val="14"/>
          <w:szCs w:val="14"/>
          <w:color w:val="auto"/>
        </w:rPr>
      </w:pPr>
    </w:p>
    <w:p>
      <w:pPr>
        <w:ind w:left="1660"/>
        <w:spacing w:after="0"/>
        <w:rPr>
          <w:sz w:val="20"/>
          <w:szCs w:val="20"/>
          <w:color w:val="auto"/>
        </w:rPr>
      </w:pPr>
      <w:r>
        <w:rPr>
          <w:rFonts w:ascii="Times New Roman" w:cs="Times New Roman" w:eastAsia="Times New Roman" w:hAnsi="Times New Roman"/>
          <w:sz w:val="14"/>
          <w:szCs w:val="14"/>
          <w:color w:val="auto"/>
        </w:rPr>
        <w:t>We also incorporate by reference into this prospectus all documents (other than current reports furnished under Item 2.02 or Item 7.01 of</w:t>
      </w:r>
    </w:p>
    <w:p>
      <w:pPr>
        <w:spacing w:after="0" w:line="23" w:lineRule="exact"/>
        <w:rPr>
          <w:rFonts w:ascii="Times New Roman" w:cs="Times New Roman" w:eastAsia="Times New Roman" w:hAnsi="Times New Roman"/>
          <w:sz w:val="14"/>
          <w:szCs w:val="14"/>
          <w:color w:val="auto"/>
        </w:rPr>
      </w:pPr>
    </w:p>
    <w:p>
      <w:pPr>
        <w:ind w:left="1320"/>
        <w:spacing w:after="0"/>
        <w:rPr>
          <w:sz w:val="20"/>
          <w:szCs w:val="20"/>
          <w:color w:val="auto"/>
        </w:rPr>
      </w:pPr>
      <w:r>
        <w:rPr>
          <w:rFonts w:ascii="Times New Roman" w:cs="Times New Roman" w:eastAsia="Times New Roman" w:hAnsi="Times New Roman"/>
          <w:sz w:val="14"/>
          <w:szCs w:val="14"/>
          <w:color w:val="auto"/>
        </w:rPr>
        <w:t>Form 8-K and exhibits filed on such form that are related to such items) that are filed by us with the SEC pursuant to Sections 13(a), 13(c), 14 or 15(d)</w:t>
      </w:r>
    </w:p>
    <w:p>
      <w:pPr>
        <w:spacing w:after="0" w:line="9" w:lineRule="exact"/>
        <w:rPr>
          <w:rFonts w:ascii="Times New Roman" w:cs="Times New Roman" w:eastAsia="Times New Roman" w:hAnsi="Times New Roman"/>
          <w:sz w:val="14"/>
          <w:szCs w:val="14"/>
          <w:color w:val="auto"/>
        </w:rPr>
      </w:pPr>
    </w:p>
    <w:p>
      <w:pPr>
        <w:ind w:left="1320"/>
        <w:spacing w:after="0"/>
        <w:rPr>
          <w:sz w:val="20"/>
          <w:szCs w:val="20"/>
          <w:color w:val="auto"/>
        </w:rPr>
      </w:pPr>
      <w:r>
        <w:rPr>
          <w:rFonts w:ascii="Times New Roman" w:cs="Times New Roman" w:eastAsia="Times New Roman" w:hAnsi="Times New Roman"/>
          <w:sz w:val="14"/>
          <w:szCs w:val="14"/>
          <w:color w:val="auto"/>
        </w:rPr>
        <w:t>of the Exchange Act, including those made after the date of the initial filing of the registration statement of which this prospectus is a part and prior to</w:t>
      </w:r>
    </w:p>
    <w:p>
      <w:pPr>
        <w:spacing w:after="0" w:line="9" w:lineRule="exact"/>
        <w:rPr>
          <w:rFonts w:ascii="Times New Roman" w:cs="Times New Roman" w:eastAsia="Times New Roman" w:hAnsi="Times New Roman"/>
          <w:sz w:val="14"/>
          <w:szCs w:val="14"/>
          <w:color w:val="auto"/>
        </w:rPr>
      </w:pPr>
    </w:p>
    <w:p>
      <w:pPr>
        <w:ind w:left="1320"/>
        <w:spacing w:after="0"/>
        <w:rPr>
          <w:sz w:val="20"/>
          <w:szCs w:val="20"/>
          <w:color w:val="auto"/>
        </w:rPr>
      </w:pPr>
      <w:r>
        <w:rPr>
          <w:rFonts w:ascii="Times New Roman" w:cs="Times New Roman" w:eastAsia="Times New Roman" w:hAnsi="Times New Roman"/>
          <w:sz w:val="14"/>
          <w:szCs w:val="14"/>
          <w:color w:val="auto"/>
        </w:rPr>
        <w:t>effectiveness of such registration statement, until we file a post-effective amendment that indicates the termination of the offering of the securities made</w:t>
      </w:r>
    </w:p>
    <w:p>
      <w:pPr>
        <w:spacing w:after="0" w:line="9" w:lineRule="exact"/>
        <w:rPr>
          <w:rFonts w:ascii="Times New Roman" w:cs="Times New Roman" w:eastAsia="Times New Roman" w:hAnsi="Times New Roman"/>
          <w:sz w:val="14"/>
          <w:szCs w:val="14"/>
          <w:color w:val="auto"/>
        </w:rPr>
      </w:pPr>
    </w:p>
    <w:p>
      <w:pPr>
        <w:ind w:left="1320"/>
        <w:spacing w:after="0"/>
        <w:rPr>
          <w:sz w:val="20"/>
          <w:szCs w:val="20"/>
          <w:color w:val="auto"/>
        </w:rPr>
      </w:pPr>
      <w:r>
        <w:rPr>
          <w:rFonts w:ascii="Times New Roman" w:cs="Times New Roman" w:eastAsia="Times New Roman" w:hAnsi="Times New Roman"/>
          <w:sz w:val="14"/>
          <w:szCs w:val="14"/>
          <w:color w:val="auto"/>
        </w:rPr>
        <w:t>by this prospectus and will become a part of this prospectus from the date that such documents are filed with the SEC. Information in such future filings</w:t>
      </w:r>
    </w:p>
    <w:p>
      <w:pPr>
        <w:spacing w:after="0" w:line="9" w:lineRule="exact"/>
        <w:rPr>
          <w:rFonts w:ascii="Times New Roman" w:cs="Times New Roman" w:eastAsia="Times New Roman" w:hAnsi="Times New Roman"/>
          <w:sz w:val="14"/>
          <w:szCs w:val="14"/>
          <w:color w:val="auto"/>
        </w:rPr>
      </w:pPr>
    </w:p>
    <w:p>
      <w:pPr>
        <w:ind w:left="1320"/>
        <w:spacing w:after="0"/>
        <w:rPr>
          <w:sz w:val="20"/>
          <w:szCs w:val="20"/>
          <w:color w:val="auto"/>
        </w:rPr>
      </w:pPr>
      <w:r>
        <w:rPr>
          <w:rFonts w:ascii="Times New Roman" w:cs="Times New Roman" w:eastAsia="Times New Roman" w:hAnsi="Times New Roman"/>
          <w:sz w:val="14"/>
          <w:szCs w:val="14"/>
          <w:color w:val="auto"/>
        </w:rPr>
        <w:t>updates and supplements the information provided in this prospectus. Any statements in any such future filings will automatically be deemed to modify</w:t>
      </w:r>
    </w:p>
    <w:p>
      <w:pPr>
        <w:spacing w:after="0" w:line="9" w:lineRule="exact"/>
        <w:rPr>
          <w:rFonts w:ascii="Times New Roman" w:cs="Times New Roman" w:eastAsia="Times New Roman" w:hAnsi="Times New Roman"/>
          <w:sz w:val="14"/>
          <w:szCs w:val="14"/>
          <w:color w:val="auto"/>
        </w:rPr>
      </w:pPr>
    </w:p>
    <w:p>
      <w:pPr>
        <w:ind w:left="1320"/>
        <w:spacing w:after="0"/>
        <w:rPr>
          <w:sz w:val="20"/>
          <w:szCs w:val="20"/>
          <w:color w:val="auto"/>
        </w:rPr>
      </w:pPr>
      <w:r>
        <w:rPr>
          <w:rFonts w:ascii="Times New Roman" w:cs="Times New Roman" w:eastAsia="Times New Roman" w:hAnsi="Times New Roman"/>
          <w:sz w:val="14"/>
          <w:szCs w:val="14"/>
          <w:color w:val="auto"/>
        </w:rPr>
        <w:t>and supersede any information in any document we previously filed with the SEC that is incorporated or deemed to be incorporated herein by reference</w:t>
      </w:r>
    </w:p>
    <w:p>
      <w:pPr>
        <w:spacing w:after="0" w:line="9" w:lineRule="exact"/>
        <w:rPr>
          <w:rFonts w:ascii="Times New Roman" w:cs="Times New Roman" w:eastAsia="Times New Roman" w:hAnsi="Times New Roman"/>
          <w:sz w:val="14"/>
          <w:szCs w:val="14"/>
          <w:color w:val="auto"/>
        </w:rPr>
      </w:pPr>
    </w:p>
    <w:p>
      <w:pPr>
        <w:ind w:left="1320"/>
        <w:spacing w:after="0"/>
        <w:rPr>
          <w:sz w:val="20"/>
          <w:szCs w:val="20"/>
          <w:color w:val="auto"/>
        </w:rPr>
      </w:pPr>
      <w:r>
        <w:rPr>
          <w:rFonts w:ascii="Times New Roman" w:cs="Times New Roman" w:eastAsia="Times New Roman" w:hAnsi="Times New Roman"/>
          <w:sz w:val="14"/>
          <w:szCs w:val="14"/>
          <w:color w:val="auto"/>
        </w:rPr>
        <w:t>to the extent that statements in the later filed document modify or replace such earlier statements.</w:t>
      </w:r>
    </w:p>
    <w:p>
      <w:pPr>
        <w:spacing w:after="0" w:line="164" w:lineRule="exact"/>
        <w:rPr>
          <w:rFonts w:ascii="Times New Roman" w:cs="Times New Roman" w:eastAsia="Times New Roman" w:hAnsi="Times New Roman"/>
          <w:sz w:val="14"/>
          <w:szCs w:val="14"/>
          <w:color w:val="auto"/>
        </w:rPr>
      </w:pPr>
    </w:p>
    <w:p>
      <w:pPr>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IN8bio, Inc., Attn: Patrick McCall, Corporate Secretary, 350 5th Avenue, Suite 5330, New York, New York 10118; telephone: (646) 600-6438.</w:t>
      </w:r>
    </w:p>
    <w:p>
      <w:pPr>
        <w:spacing w:after="0" w:line="87"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198120</wp:posOffset>
            </wp:positionV>
            <wp:extent cx="549275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5492750" cy="1333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238760</wp:posOffset>
            </wp:positionV>
            <wp:extent cx="549275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1255395</wp:posOffset>
            </wp:positionV>
            <wp:extent cx="969010" cy="370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969010" cy="370205"/>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b w:val="1"/>
          <w:bCs w:val="1"/>
          <w:color w:val="auto"/>
        </w:rPr>
        <w:t>14,384,052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831215</wp:posOffset>
            </wp:positionV>
            <wp:extent cx="115760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315595</wp:posOffset>
            </wp:positionV>
            <wp:extent cx="115760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1032510</wp:posOffset>
            </wp:positionV>
            <wp:extent cx="549275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1086485</wp:posOffset>
            </wp:positionV>
            <wp:extent cx="549275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5492750" cy="13335"/>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table sets forth an estimate of the fees and expenses, other than the underwriting discounts and commissions, payable by us in</w:t>
      </w:r>
    </w:p>
    <w:p>
      <w:pPr>
        <w:spacing w:after="0" w:line="23"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connection with the issuance and distribution of the securities being registered. All the amounts shown are estimates, except for the SEC registration fee.</w:t>
      </w:r>
    </w:p>
    <w:p>
      <w:pPr>
        <w:spacing w:after="0" w:line="181" w:lineRule="exact"/>
        <w:rPr>
          <w:sz w:val="20"/>
          <w:szCs w:val="20"/>
          <w:color w:val="auto"/>
        </w:rPr>
      </w:pPr>
    </w:p>
    <w:tbl>
      <w:tblPr>
        <w:tblLayout w:type="fixed"/>
        <w:tblInd w:w="2700" w:type="dxa"/>
        <w:tblCellMar>
          <w:top w:w="0" w:type="dxa"/>
          <w:left w:w="0" w:type="dxa"/>
          <w:bottom w:w="0" w:type="dxa"/>
          <w:right w:w="0" w:type="dxa"/>
        </w:tblCellMar>
      </w:tblPr>
      <w:tr>
        <w:trPr>
          <w:trHeight w:val="136"/>
        </w:trPr>
        <w:tc>
          <w:tcPr>
            <w:tcW w:w="5340" w:type="dxa"/>
            <w:vAlign w:val="bottom"/>
          </w:tcPr>
          <w:p>
            <w:pPr>
              <w:spacing w:after="0"/>
              <w:rPr>
                <w:sz w:val="11"/>
                <w:szCs w:val="11"/>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6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60" w:type="dxa"/>
            <w:vAlign w:val="bottom"/>
            <w:tcBorders>
              <w:top w:val="single" w:sz="8" w:color="CCEEFF"/>
            </w:tcBorders>
            <w:shd w:val="clear" w:color="auto" w:fill="CCEEFF"/>
          </w:tcPr>
          <w:p>
            <w:pPr>
              <w:spacing w:after="0"/>
              <w:rPr>
                <w:sz w:val="13"/>
                <w:szCs w:val="13"/>
                <w:color w:val="auto"/>
              </w:rPr>
            </w:pPr>
          </w:p>
        </w:tc>
      </w:tr>
      <w:tr>
        <w:trPr>
          <w:trHeight w:val="1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15,000</w:t>
            </w:r>
          </w:p>
        </w:tc>
      </w:tr>
      <w:tr>
        <w:trPr>
          <w:trHeight w:val="17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40,000</w:t>
            </w:r>
          </w:p>
        </w:tc>
      </w:tr>
      <w:tr>
        <w:trPr>
          <w:trHeight w:val="1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fees and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w:t>
            </w:r>
          </w:p>
        </w:tc>
        <w:tc>
          <w:tcPr>
            <w:tcW w:w="60" w:type="dxa"/>
            <w:vAlign w:val="bottom"/>
          </w:tcPr>
          <w:p>
            <w:pPr>
              <w:spacing w:after="0"/>
              <w:rPr>
                <w:sz w:val="14"/>
                <w:szCs w:val="14"/>
                <w:color w:val="auto"/>
              </w:rPr>
            </w:pPr>
          </w:p>
        </w:tc>
      </w:tr>
      <w:tr>
        <w:trPr>
          <w:trHeight w:val="170"/>
        </w:trPr>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65,000</w:t>
            </w:r>
          </w:p>
        </w:tc>
      </w:tr>
      <w:tr>
        <w:trPr>
          <w:trHeight w:val="20"/>
        </w:trPr>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95" w:lineRule="exact"/>
        <w:rPr>
          <w:sz w:val="20"/>
          <w:szCs w:val="20"/>
          <w:color w:val="auto"/>
        </w:rPr>
      </w:pPr>
    </w:p>
    <w:p>
      <w:pPr>
        <w:jc w:val="both"/>
        <w:ind w:left="1320" w:right="339" w:firstLine="346"/>
        <w:spacing w:after="0" w:line="269" w:lineRule="auto"/>
        <w:rPr>
          <w:sz w:val="20"/>
          <w:szCs w:val="20"/>
          <w:color w:val="auto"/>
        </w:rPr>
      </w:pPr>
      <w:r>
        <w:rPr>
          <w:rFonts w:ascii="Times New Roman" w:cs="Times New Roman" w:eastAsia="Times New Roman" w:hAnsi="Times New Roman"/>
          <w:sz w:val="14"/>
          <w:szCs w:val="14"/>
          <w:color w:val="auto"/>
        </w:rPr>
        <w:t>Our amended and restated certificate of incorporation and bylaws provide that we will limit the liability of our 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63" w:lineRule="exact"/>
        <w:rPr>
          <w:sz w:val="20"/>
          <w:szCs w:val="20"/>
          <w:color w:val="auto"/>
        </w:rPr>
      </w:pPr>
    </w:p>
    <w:p>
      <w:pPr>
        <w:ind w:left="2080" w:hanging="337"/>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us or our stockholders;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related to unlawful stock repurchases, redemptions or other distributions or payment of dividends; or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w:t>
      </w:r>
    </w:p>
    <w:p>
      <w:pPr>
        <w:spacing w:after="0" w:line="178" w:lineRule="exact"/>
        <w:rPr>
          <w:sz w:val="20"/>
          <w:szCs w:val="20"/>
          <w:color w:val="auto"/>
        </w:rPr>
      </w:pPr>
    </w:p>
    <w:p>
      <w:pPr>
        <w:ind w:left="1320" w:right="259" w:firstLine="346"/>
        <w:spacing w:after="0" w:line="286" w:lineRule="auto"/>
        <w:rPr>
          <w:sz w:val="20"/>
          <w:szCs w:val="20"/>
          <w:color w:val="auto"/>
        </w:rPr>
      </w:pPr>
      <w:r>
        <w:rPr>
          <w:rFonts w:ascii="Times New Roman" w:cs="Times New Roman" w:eastAsia="Times New Roman" w:hAnsi="Times New Roman"/>
          <w:sz w:val="14"/>
          <w:szCs w:val="14"/>
          <w:color w:val="auto"/>
        </w:rPr>
        <w:t>These limitations of liability do not apply to liabilities arising under federal securities laws and do not affect the availability of equitable remedies such as injunctive relief or rescission.</w:t>
      </w:r>
    </w:p>
    <w:p>
      <w:pPr>
        <w:spacing w:after="0" w:line="1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As permitted by Section 145 of the DGCL, our amended and restated bylaws provide that:</w:t>
      </w:r>
    </w:p>
    <w:p>
      <w:pPr>
        <w:spacing w:after="0" w:line="104" w:lineRule="exact"/>
        <w:rPr>
          <w:sz w:val="20"/>
          <w:szCs w:val="20"/>
          <w:color w:val="auto"/>
        </w:rPr>
      </w:pPr>
    </w:p>
    <w:p>
      <w:pPr>
        <w:ind w:left="2080" w:hanging="337"/>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indemnify our directors, officers and employees to the fullest extent permitted by the DGCL, subject to limited exceptions;</w:t>
      </w:r>
    </w:p>
    <w:p>
      <w:pPr>
        <w:spacing w:after="0" w:line="104" w:lineRule="exact"/>
        <w:rPr>
          <w:rFonts w:ascii="Times New Roman" w:cs="Times New Roman" w:eastAsia="Times New Roman" w:hAnsi="Times New Roman"/>
          <w:sz w:val="14"/>
          <w:szCs w:val="14"/>
          <w:color w:val="auto"/>
        </w:rPr>
      </w:pPr>
    </w:p>
    <w:p>
      <w:pPr>
        <w:ind w:left="2080" w:right="279" w:hanging="337"/>
        <w:spacing w:after="0" w:line="286" w:lineRule="auto"/>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advance expenses to our directors, officers and employees in connection with a legal proceeding to the fullest extent permitted by the DGCL, subject to limited exceptions; and</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provided in our bylaws are not exclusive.</w:t>
      </w:r>
    </w:p>
    <w:p>
      <w:pPr>
        <w:spacing w:after="0" w:line="178" w:lineRule="exact"/>
        <w:rPr>
          <w:sz w:val="20"/>
          <w:szCs w:val="20"/>
          <w:color w:val="auto"/>
        </w:rPr>
      </w:pPr>
    </w:p>
    <w:p>
      <w:pPr>
        <w:ind w:left="1320" w:right="299" w:firstLine="346"/>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officers that may be broader than the specific indemnification provisions contained in the DGCL.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739"/>
        <w:spacing w:after="0" w:line="286" w:lineRule="auto"/>
        <w:rPr>
          <w:sz w:val="20"/>
          <w:szCs w:val="20"/>
          <w:color w:val="auto"/>
        </w:rPr>
      </w:pPr>
      <w:r>
        <w:rPr>
          <w:rFonts w:ascii="Times New Roman" w:cs="Times New Roman" w:eastAsia="Times New Roman" w:hAnsi="Times New Roman"/>
          <w:sz w:val="14"/>
          <w:szCs w:val="14"/>
          <w:color w:val="auto"/>
        </w:rPr>
        <w:t>officers and directors for liabilities, including reimbursement of expenses incurred, arising under the Securities Act of 1933, as amended, or the Securities Act.</w:t>
      </w:r>
    </w:p>
    <w:p>
      <w:pPr>
        <w:spacing w:after="0" w:line="125" w:lineRule="exact"/>
        <w:rPr>
          <w:sz w:val="20"/>
          <w:szCs w:val="20"/>
          <w:color w:val="auto"/>
        </w:rPr>
      </w:pPr>
    </w:p>
    <w:p>
      <w:pPr>
        <w:ind w:left="1320" w:right="479" w:firstLine="346"/>
        <w:spacing w:after="0" w:line="286" w:lineRule="auto"/>
        <w:rPr>
          <w:sz w:val="20"/>
          <w:szCs w:val="20"/>
          <w:color w:val="auto"/>
        </w:rPr>
      </w:pPr>
      <w:r>
        <w:rPr>
          <w:rFonts w:ascii="Times New Roman" w:cs="Times New Roman" w:eastAsia="Times New Roman" w:hAnsi="Times New Roman"/>
          <w:sz w:val="14"/>
          <w:szCs w:val="14"/>
          <w:color w:val="auto"/>
        </w:rPr>
        <w:t>We maintain a directors’ and officers’ insurance policy on behalf of each and every person who is or was a director or officer of the Company against any loss arising from any claim asserted against him or her and incurred by him or her in any such capacity, subject to certain exclusions.</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60" w:type="dxa"/>
            <w:vAlign w:val="bottom"/>
          </w:tcPr>
          <w:p>
            <w:pPr>
              <w:spacing w:after="0"/>
              <w:rPr>
                <w:sz w:val="11"/>
                <w:szCs w:val="11"/>
                <w:color w:val="auto"/>
              </w:rPr>
            </w:pPr>
          </w:p>
        </w:tc>
        <w:tc>
          <w:tcPr>
            <w:tcW w:w="778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460" w:type="dxa"/>
            <w:vAlign w:val="bottom"/>
          </w:tcPr>
          <w:p>
            <w:pPr>
              <w:spacing w:after="0"/>
              <w:rPr>
                <w:sz w:val="11"/>
                <w:szCs w:val="11"/>
                <w:color w:val="auto"/>
              </w:rPr>
            </w:pPr>
          </w:p>
        </w:tc>
        <w:tc>
          <w:tcPr>
            <w:tcW w:w="7780" w:type="dxa"/>
            <w:vAlign w:val="bottom"/>
            <w:tcBorders>
              <w:bottom w:val="single" w:sz="8" w:color="auto"/>
            </w:tcBorders>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460" w:type="dxa"/>
            <w:vAlign w:val="bottom"/>
          </w:tcPr>
          <w:p>
            <w:pPr>
              <w:spacing w:after="0"/>
              <w:rPr>
                <w:sz w:val="18"/>
                <w:szCs w:val="18"/>
                <w:color w:val="auto"/>
              </w:rPr>
            </w:pPr>
          </w:p>
        </w:tc>
        <w:tc>
          <w:tcPr>
            <w:tcW w:w="7780" w:type="dxa"/>
            <w:vAlign w:val="bottom"/>
            <w:gridSpan w:val="11"/>
          </w:tcPr>
          <w:p>
            <w:pPr>
              <w:spacing w:after="0"/>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Amended and Restated Certificate of Incorporation of the Registrant (incorporated herein by reference to Exhibit 3.1 to the Company’s</w:t>
              </w:r>
            </w:hyperlink>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160" w:type="dxa"/>
            <w:vAlign w:val="bottom"/>
            <w:tcBorders>
              <w:top w:val="single" w:sz="8" w:color="0000EE"/>
              <w:bottom w:val="single" w:sz="8" w:color="0000EE"/>
            </w:tcBorders>
            <w:gridSpan w:val="4"/>
          </w:tcPr>
          <w:p>
            <w:pPr>
              <w:spacing w:after="0" w:line="150"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Current Report on Form 8-K (File No. 001-39692), filed with the SEC on August 3, 2021).</w:t>
              </w:r>
            </w:hyperlink>
          </w:p>
        </w:tc>
        <w:tc>
          <w:tcPr>
            <w:tcW w:w="2480" w:type="dxa"/>
            <w:vAlign w:val="bottom"/>
            <w:tcBorders>
              <w:top w:val="single" w:sz="8" w:color="0000EE"/>
            </w:tcBorders>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460" w:type="dxa"/>
            <w:vAlign w:val="bottom"/>
          </w:tcPr>
          <w:p>
            <w:pPr>
              <w:spacing w:after="0"/>
              <w:rPr>
                <w:sz w:val="20"/>
                <w:szCs w:val="20"/>
                <w:color w:val="auto"/>
              </w:rPr>
            </w:pPr>
          </w:p>
        </w:tc>
        <w:tc>
          <w:tcPr>
            <w:tcW w:w="766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Certificate of Amendment of the Amended and Restated Certificate of Incorporation of the Company (incorporated herein by reference</w:t>
              </w:r>
            </w:hyperlink>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8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to Exhibit 3.1 to the Registrant’s Current Report on Form 8-K (File No. 001-39692), filed with the SEC on June 4, 2025).</w:t>
              </w:r>
            </w:hyperlink>
          </w:p>
        </w:tc>
        <w:tc>
          <w:tcPr>
            <w:tcW w:w="9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460" w:type="dxa"/>
            <w:vAlign w:val="bottom"/>
          </w:tcPr>
          <w:p>
            <w:pPr>
              <w:spacing w:after="0"/>
              <w:rPr>
                <w:sz w:val="20"/>
                <w:szCs w:val="20"/>
                <w:color w:val="auto"/>
              </w:rPr>
            </w:pPr>
          </w:p>
        </w:tc>
        <w:tc>
          <w:tcPr>
            <w:tcW w:w="744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Second Amended and Restated Bylaws of the Registrant (incorporated herein by reference to Exhibit 3.1 to the Company’s Current</w:t>
              </w:r>
            </w:hyperlink>
          </w:p>
        </w:tc>
        <w:tc>
          <w:tcPr>
            <w:tcW w:w="34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60" w:type="dxa"/>
            <w:vAlign w:val="bottom"/>
            <w:tcBorders>
              <w:bottom w:val="single" w:sz="8" w:color="0000EE"/>
            </w:tcBorders>
            <w:gridSpan w:val="2"/>
          </w:tcPr>
          <w:p>
            <w:pPr>
              <w:spacing w:after="0" w:line="150"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Report on Form 8-K (File No. 001-39692), filed with the SEC on December 7, 2023).</w:t>
              </w:r>
            </w:hyperlink>
          </w:p>
        </w:tc>
        <w:tc>
          <w:tcPr>
            <w:tcW w:w="29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460" w:type="dxa"/>
            <w:vAlign w:val="bottom"/>
          </w:tcPr>
          <w:p>
            <w:pPr>
              <w:spacing w:after="0"/>
              <w:rPr>
                <w:sz w:val="20"/>
                <w:szCs w:val="20"/>
                <w:color w:val="auto"/>
              </w:rPr>
            </w:pPr>
          </w:p>
        </w:tc>
        <w:tc>
          <w:tcPr>
            <w:tcW w:w="7780" w:type="dxa"/>
            <w:vAlign w:val="bottom"/>
            <w:gridSpan w:val="11"/>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Form of Common Stock Certificate (incorporated herein by reference to Exhibit 4.1 to the Registrant’s Amendment No. 1 to Registration</w:t>
              </w:r>
            </w:hyperlink>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760" w:type="dxa"/>
            <w:vAlign w:val="bottom"/>
            <w:tcBorders>
              <w:top w:val="single" w:sz="8" w:color="0000EE"/>
            </w:tcBorders>
            <w:gridSpan w:val="10"/>
          </w:tcPr>
          <w:p>
            <w:pPr>
              <w:spacing w:after="0" w:line="150"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Statement on Form S-1 (File No. 333-249530), filed with the SEC on November 5,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460" w:type="dxa"/>
            <w:vAlign w:val="bottom"/>
          </w:tcPr>
          <w:p>
            <w:pPr>
              <w:spacing w:after="0"/>
              <w:rPr>
                <w:sz w:val="20"/>
                <w:szCs w:val="20"/>
                <w:color w:val="auto"/>
              </w:rPr>
            </w:pPr>
          </w:p>
        </w:tc>
        <w:tc>
          <w:tcPr>
            <w:tcW w:w="7780" w:type="dxa"/>
            <w:vAlign w:val="bottom"/>
            <w:gridSpan w:val="11"/>
          </w:tcPr>
          <w:p>
            <w:pPr>
              <w:spacing w:after="0"/>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Form of Pre-Funded Warrant (incorporated herein by reference to Exhibit 4.1 to the Registrant’s Current Report on Form 8-K (File</w:t>
              </w:r>
            </w:hyperlink>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Borders>
              <w:top w:val="single" w:sz="8" w:color="0000EE"/>
              <w:bottom w:val="single" w:sz="8" w:color="0000EE"/>
            </w:tcBorders>
          </w:tcPr>
          <w:p>
            <w:pPr>
              <w:spacing w:after="0" w:line="150"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No. 001-39692), filed with the SEC on December 19, 2025).</w:t>
              </w:r>
            </w:hyperlink>
          </w:p>
        </w:tc>
        <w:tc>
          <w:tcPr>
            <w:tcW w:w="3960" w:type="dxa"/>
            <w:vAlign w:val="bottom"/>
            <w:tcBorders>
              <w:top w:val="single" w:sz="8" w:color="0000EE"/>
            </w:tcBorders>
            <w:gridSpan w:val="5"/>
          </w:tcPr>
          <w:p>
            <w:pPr>
              <w:spacing w:after="0"/>
              <w:rPr>
                <w:sz w:val="13"/>
                <w:szCs w:val="13"/>
                <w:color w:val="auto"/>
              </w:rPr>
            </w:pPr>
          </w:p>
        </w:tc>
        <w:tc>
          <w:tcPr>
            <w:tcW w:w="3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180" w:right="459" w:hanging="861"/>
        <w:spacing w:after="0" w:line="269" w:lineRule="auto"/>
        <w:tabs>
          <w:tab w:leader="none" w:pos="1381" w:val="left"/>
        </w:tabs>
        <w:numPr>
          <w:ilvl w:val="0"/>
          <w:numId w:val="1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4.6*</w:t>
      </w:r>
      <w:hyperlink r:id="rId76">
        <w:r>
          <w:rPr>
            <w:rFonts w:ascii="Times New Roman" w:cs="Times New Roman" w:eastAsia="Times New Roman" w:hAnsi="Times New Roman"/>
            <w:sz w:val="14"/>
            <w:szCs w:val="14"/>
            <w:u w:val="single" w:color="auto"/>
            <w:color w:val="0000EE"/>
          </w:rPr>
          <w:t>Securities Purchase Agreement, dated as of December 18, 2025, by and among the Registrant and the investors named therein</w:t>
        </w:r>
      </w:hyperlink>
      <w:r>
        <w:rPr>
          <w:rFonts w:ascii="Times New Roman" w:cs="Times New Roman" w:eastAsia="Times New Roman" w:hAnsi="Times New Roman"/>
          <w:sz w:val="14"/>
          <w:szCs w:val="14"/>
          <w:u w:val="single" w:color="auto"/>
          <w:color w:val="0000EE"/>
        </w:rPr>
        <w:t xml:space="preserve"> </w:t>
      </w:r>
      <w:hyperlink r:id="rId76">
        <w:r>
          <w:rPr>
            <w:rFonts w:ascii="Times New Roman" w:cs="Times New Roman" w:eastAsia="Times New Roman" w:hAnsi="Times New Roman"/>
            <w:sz w:val="14"/>
            <w:szCs w:val="14"/>
            <w:u w:val="single" w:color="auto"/>
            <w:color w:val="0000EE"/>
          </w:rPr>
          <w:t>(incorporated herein by reference to Exhibit 10.1 to the Company’s Current Report on Form 8-K (File No. 001-39692), filed with the</w:t>
        </w:r>
      </w:hyperlink>
      <w:r>
        <w:rPr>
          <w:rFonts w:ascii="Times New Roman" w:cs="Times New Roman" w:eastAsia="Times New Roman" w:hAnsi="Times New Roman"/>
          <w:sz w:val="14"/>
          <w:szCs w:val="14"/>
          <w:u w:val="single" w:color="auto"/>
          <w:color w:val="0000EE"/>
        </w:rPr>
        <w:t xml:space="preserve"> </w:t>
      </w:r>
      <w:hyperlink r:id="rId76">
        <w:r>
          <w:rPr>
            <w:rFonts w:ascii="Times New Roman" w:cs="Times New Roman" w:eastAsia="Times New Roman" w:hAnsi="Times New Roman"/>
            <w:sz w:val="14"/>
            <w:szCs w:val="14"/>
            <w:u w:val="single" w:color="auto"/>
            <w:color w:val="0000EE"/>
          </w:rPr>
          <w:t>SEC on December 19, 2025).</w:t>
        </w:r>
      </w:hyperlink>
    </w:p>
    <w:p>
      <w:pPr>
        <w:spacing w:after="0" w:line="44" w:lineRule="exact"/>
        <w:rPr>
          <w:rFonts w:ascii="Times New Roman" w:cs="Times New Roman" w:eastAsia="Times New Roman" w:hAnsi="Times New Roman"/>
          <w:sz w:val="14"/>
          <w:szCs w:val="14"/>
          <w:u w:val="single" w:color="auto"/>
          <w:color w:val="0000EE"/>
        </w:rPr>
      </w:pPr>
    </w:p>
    <w:tbl>
      <w:tblPr>
        <w:tblLayout w:type="fixed"/>
        <w:tblInd w:w="13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760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Registration Rights Agreement (incorporated herein by reference to Exhibit 10.2 to the Registrant’s Current Report on Form 8-K (File</w:t>
              </w:r>
            </w:hyperlink>
          </w:p>
        </w:tc>
      </w:tr>
      <w:tr>
        <w:trPr>
          <w:trHeight w:val="150"/>
        </w:trPr>
        <w:tc>
          <w:tcPr>
            <w:tcW w:w="860" w:type="dxa"/>
            <w:vAlign w:val="bottom"/>
          </w:tcPr>
          <w:p>
            <w:pPr>
              <w:spacing w:after="0"/>
              <w:rPr>
                <w:sz w:val="13"/>
                <w:szCs w:val="13"/>
                <w:color w:val="auto"/>
              </w:rPr>
            </w:pPr>
          </w:p>
        </w:tc>
        <w:tc>
          <w:tcPr>
            <w:tcW w:w="3440" w:type="dxa"/>
            <w:vAlign w:val="bottom"/>
            <w:tcBorders>
              <w:bottom w:val="single" w:sz="8" w:color="0000EE"/>
            </w:tcBorders>
            <w:gridSpan w:val="3"/>
          </w:tcPr>
          <w:p>
            <w:pPr>
              <w:spacing w:after="0" w:line="150"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No. 001-39692), filed with the SEC on December 19, 2025).</w:t>
              </w:r>
            </w:hyperlink>
          </w:p>
        </w:tc>
        <w:tc>
          <w:tcPr>
            <w:tcW w:w="4160" w:type="dxa"/>
            <w:vAlign w:val="bottom"/>
            <w:gridSpan w:val="3"/>
          </w:tcPr>
          <w:p>
            <w:pPr>
              <w:spacing w:after="0"/>
              <w:rPr>
                <w:sz w:val="13"/>
                <w:szCs w:val="13"/>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1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9"/>
              </w:rPr>
              <w:t>Opinion of Cooley LLP.</w:t>
            </w:r>
          </w:p>
        </w:tc>
        <w:tc>
          <w:tcPr>
            <w:tcW w:w="6220" w:type="dxa"/>
            <w:vAlign w:val="bottom"/>
            <w:gridSpan w:val="5"/>
          </w:tcPr>
          <w:p>
            <w:pPr>
              <w:spacing w:after="0"/>
              <w:rPr>
                <w:sz w:val="20"/>
                <w:szCs w:val="20"/>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4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Consent of CohnReznick LLP, an Independent Registered Public Accounting Firm.</w:t>
            </w:r>
          </w:p>
        </w:tc>
        <w:tc>
          <w:tcPr>
            <w:tcW w:w="2880" w:type="dxa"/>
            <w:vAlign w:val="bottom"/>
          </w:tcPr>
          <w:p>
            <w:pPr>
              <w:spacing w:after="0"/>
              <w:rPr>
                <w:sz w:val="20"/>
                <w:szCs w:val="20"/>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2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Consent of Cooley LLP (included in Exhibit 5.1).</w:t>
            </w:r>
          </w:p>
        </w:tc>
        <w:tc>
          <w:tcPr>
            <w:tcW w:w="4780" w:type="dxa"/>
            <w:vAlign w:val="bottom"/>
            <w:gridSpan w:val="4"/>
          </w:tcPr>
          <w:p>
            <w:pPr>
              <w:spacing w:after="0"/>
              <w:rPr>
                <w:sz w:val="20"/>
                <w:szCs w:val="20"/>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4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 to this registration statement).</w:t>
            </w:r>
          </w:p>
        </w:tc>
        <w:tc>
          <w:tcPr>
            <w:tcW w:w="3000" w:type="dxa"/>
            <w:vAlign w:val="bottom"/>
            <w:gridSpan w:val="2"/>
          </w:tcPr>
          <w:p>
            <w:pPr>
              <w:spacing w:after="0"/>
              <w:rPr>
                <w:sz w:val="20"/>
                <w:szCs w:val="20"/>
                <w:color w:val="auto"/>
              </w:rPr>
            </w:pPr>
          </w:p>
        </w:tc>
      </w:tr>
    </w:tbl>
    <w:p>
      <w:pPr>
        <w:spacing w:after="0" w:line="91" w:lineRule="exact"/>
        <w:rPr>
          <w:sz w:val="20"/>
          <w:szCs w:val="20"/>
          <w:color w:val="auto"/>
        </w:rPr>
      </w:pPr>
    </w:p>
    <w:p>
      <w:pPr>
        <w:ind w:left="2180" w:hanging="861"/>
        <w:spacing w:after="0"/>
        <w:tabs>
          <w:tab w:leader="none" w:pos="21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81915</wp:posOffset>
            </wp:positionV>
            <wp:extent cx="60579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37" w:lineRule="exact"/>
        <w:rPr>
          <w:sz w:val="20"/>
          <w:szCs w:val="20"/>
          <w:color w:val="auto"/>
        </w:rPr>
      </w:pPr>
    </w:p>
    <w:p>
      <w:pPr>
        <w:ind w:left="1480" w:right="259" w:hanging="161"/>
        <w:spacing w:after="0" w:line="286" w:lineRule="auto"/>
        <w:tabs>
          <w:tab w:leader="none" w:pos="1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pursuant to Item 601(a)(5) of Regulation S-K. The Company will supplementally furnish copies of omitted schedules and exhibits to the SEC or its staff upon its request.</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9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(a)(1)To file, during any period in which offers or sales are being made, a post-effective amendment to this registration statement:</w:t>
      </w:r>
    </w:p>
    <w:p>
      <w:pPr>
        <w:spacing w:after="0" w:line="93" w:lineRule="exact"/>
        <w:rPr>
          <w:sz w:val="20"/>
          <w:szCs w:val="20"/>
          <w:color w:val="auto"/>
        </w:rPr>
      </w:pPr>
    </w:p>
    <w:p>
      <w:pPr>
        <w:ind w:left="5540" w:right="3579" w:hanging="3442"/>
        <w:spacing w:after="0" w:line="460" w:lineRule="auto"/>
        <w:tabs>
          <w:tab w:leader="none" w:pos="226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II-2</w:t>
      </w:r>
    </w:p>
    <w:p>
      <w:pPr>
        <w:sectPr>
          <w:pgSz w:w="11900" w:h="16838" w:orient="portrait"/>
          <w:cols w:equalWidth="0" w:num="1">
            <w:col w:w="10159"/>
          </w:cols>
          <w:pgMar w:left="300" w:top="38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778"/>
        <w:spacing w:after="0" w:line="258" w:lineRule="auto"/>
        <w:tabs>
          <w:tab w:leader="none" w:pos="2306"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change in the maximum aggregate offering price set forth in the “Calculation of Filing Fee Table” exhibit to the effective registration statement;</w:t>
      </w:r>
    </w:p>
    <w:p>
      <w:pPr>
        <w:spacing w:after="0" w:line="145" w:lineRule="exact"/>
        <w:rPr>
          <w:rFonts w:ascii="Times New Roman" w:cs="Times New Roman" w:eastAsia="Times New Roman" w:hAnsi="Times New Roman"/>
          <w:sz w:val="14"/>
          <w:szCs w:val="14"/>
          <w:color w:val="auto"/>
        </w:rPr>
      </w:pPr>
    </w:p>
    <w:p>
      <w:pPr>
        <w:ind w:left="1320" w:right="199" w:firstLine="778"/>
        <w:spacing w:after="0" w:line="261" w:lineRule="auto"/>
        <w:tabs>
          <w:tab w:leader="none" w:pos="2346"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(the “Exchange Act”) that are incorporated by reference in the registration statement, or is contained in a form of prospectus filed pursuant to Rule 424(b) that is part of the registration statement.</w:t>
      </w:r>
    </w:p>
    <w:p>
      <w:pPr>
        <w:spacing w:after="0" w:line="142" w:lineRule="exact"/>
        <w:rPr>
          <w:rFonts w:ascii="Times New Roman" w:cs="Times New Roman" w:eastAsia="Times New Roman" w:hAnsi="Times New Roman"/>
          <w:sz w:val="14"/>
          <w:szCs w:val="14"/>
          <w:color w:val="auto"/>
        </w:rPr>
      </w:pPr>
    </w:p>
    <w:p>
      <w:pPr>
        <w:ind w:left="1320" w:right="299" w:firstLine="345"/>
        <w:spacing w:after="0" w:line="269" w:lineRule="auto"/>
        <w:tabs>
          <w:tab w:leader="none" w:pos="186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7" w:lineRule="exact"/>
        <w:rPr>
          <w:rFonts w:ascii="Times New Roman" w:cs="Times New Roman" w:eastAsia="Times New Roman" w:hAnsi="Times New Roman"/>
          <w:sz w:val="14"/>
          <w:szCs w:val="14"/>
          <w:color w:val="auto"/>
        </w:rPr>
      </w:pPr>
    </w:p>
    <w:p>
      <w:pPr>
        <w:ind w:left="1320" w:right="699" w:firstLine="345"/>
        <w:spacing w:after="0" w:line="286" w:lineRule="auto"/>
        <w:tabs>
          <w:tab w:leader="none" w:pos="186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5" w:lineRule="exact"/>
        <w:rPr>
          <w:rFonts w:ascii="Times New Roman" w:cs="Times New Roman" w:eastAsia="Times New Roman" w:hAnsi="Times New Roman"/>
          <w:sz w:val="14"/>
          <w:szCs w:val="14"/>
          <w:color w:val="auto"/>
        </w:rPr>
      </w:pPr>
    </w:p>
    <w:p>
      <w:pPr>
        <w:ind w:left="1860" w:hanging="195"/>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93" w:lineRule="exact"/>
        <w:rPr>
          <w:rFonts w:ascii="Times New Roman" w:cs="Times New Roman" w:eastAsia="Times New Roman" w:hAnsi="Times New Roman"/>
          <w:sz w:val="14"/>
          <w:szCs w:val="14"/>
          <w:color w:val="auto"/>
        </w:rPr>
      </w:pPr>
    </w:p>
    <w:p>
      <w:pPr>
        <w:ind w:left="1320" w:right="279" w:firstLine="778"/>
        <w:spacing w:after="0" w:line="286" w:lineRule="auto"/>
        <w:tabs>
          <w:tab w:leader="none" w:pos="2267"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5" w:lineRule="exact"/>
        <w:rPr>
          <w:rFonts w:ascii="Times New Roman" w:cs="Times New Roman" w:eastAsia="Times New Roman" w:hAnsi="Times New Roman"/>
          <w:sz w:val="14"/>
          <w:szCs w:val="14"/>
          <w:color w:val="auto"/>
        </w:rPr>
      </w:pPr>
    </w:p>
    <w:p>
      <w:pPr>
        <w:ind w:left="1320" w:right="199" w:firstLine="778"/>
        <w:spacing w:after="0" w:line="256" w:lineRule="auto"/>
        <w:tabs>
          <w:tab w:leader="none" w:pos="2306"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6" w:lineRule="exact"/>
        <w:rPr>
          <w:sz w:val="20"/>
          <w:szCs w:val="20"/>
          <w:color w:val="auto"/>
        </w:rPr>
      </w:pPr>
    </w:p>
    <w:p>
      <w:pPr>
        <w:ind w:left="1320" w:right="299" w:firstLine="345"/>
        <w:spacing w:after="0" w:line="261" w:lineRule="auto"/>
        <w:tabs>
          <w:tab w:leader="none" w:pos="186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79" w:firstLine="345"/>
        <w:spacing w:after="0" w:line="257" w:lineRule="auto"/>
        <w:tabs>
          <w:tab w:leader="none" w:pos="185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ind w:left="1320" w:right="339" w:firstLine="346"/>
        <w:spacing w:after="0" w:line="26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January 20, 2026.</w:t>
      </w:r>
    </w:p>
    <w:p>
      <w:pPr>
        <w:spacing w:after="0" w:line="15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IN8BIO, INC.</w:t>
      </w:r>
    </w:p>
    <w:p>
      <w:pPr>
        <w:spacing w:after="0" w:line="18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William Ho</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-101600</wp:posOffset>
            </wp:positionV>
            <wp:extent cx="203962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2039620" cy="698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3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0" w:lineRule="exact"/>
        <w:rPr>
          <w:sz w:val="20"/>
          <w:szCs w:val="20"/>
          <w:color w:val="auto"/>
        </w:rPr>
      </w:pPr>
    </w:p>
    <w:p>
      <w:pPr>
        <w:ind w:left="1320" w:right="259" w:firstLine="346"/>
        <w:spacing w:after="0" w:line="257" w:lineRule="auto"/>
        <w:rPr>
          <w:sz w:val="20"/>
          <w:szCs w:val="20"/>
          <w:color w:val="auto"/>
        </w:rPr>
      </w:pPr>
      <w:r>
        <w:rPr>
          <w:rFonts w:ascii="Times New Roman" w:cs="Times New Roman" w:eastAsia="Times New Roman" w:hAnsi="Times New Roman"/>
          <w:sz w:val="14"/>
          <w:szCs w:val="14"/>
          <w:color w:val="auto"/>
        </w:rPr>
        <w:t>KNOW ALL BY THESE PRESENTS, that each person whose signature appears below constitutes and appoints William Ho and Patrick McCall,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her substitute or substitutes, may lawfully do or cause to be done by virtue hereof.</w:t>
      </w:r>
    </w:p>
    <w:p>
      <w:pPr>
        <w:spacing w:after="0" w:line="145" w:lineRule="exact"/>
        <w:rPr>
          <w:sz w:val="20"/>
          <w:szCs w:val="20"/>
          <w:color w:val="auto"/>
        </w:rPr>
      </w:pPr>
    </w:p>
    <w:p>
      <w:pPr>
        <w:ind w:left="1320" w:right="579" w:firstLine="346"/>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dates indicated.</w:t>
      </w:r>
    </w:p>
    <w:p>
      <w:pPr>
        <w:spacing w:after="0" w:line="142" w:lineRule="exact"/>
        <w:rPr>
          <w:sz w:val="20"/>
          <w:szCs w:val="20"/>
          <w:color w:val="auto"/>
        </w:rPr>
      </w:pPr>
    </w:p>
    <w:tbl>
      <w:tblPr>
        <w:tblLayout w:type="fixed"/>
        <w:tblInd w:w="1320" w:type="dxa"/>
        <w:tblCellMar>
          <w:top w:w="0" w:type="dxa"/>
          <w:left w:w="0" w:type="dxa"/>
          <w:bottom w:w="0" w:type="dxa"/>
          <w:right w:w="0" w:type="dxa"/>
        </w:tblCellMar>
      </w:tblPr>
      <w:tr>
        <w:trPr>
          <w:trHeight w:val="14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19"/>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William Ho</w:t>
            </w:r>
          </w:p>
        </w:tc>
        <w:tc>
          <w:tcPr>
            <w:tcW w:w="8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20, 2026</w:t>
            </w:r>
          </w:p>
        </w:tc>
      </w:tr>
      <w:tr>
        <w:trPr>
          <w:trHeight w:val="175"/>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William Ho</w:t>
            </w:r>
          </w:p>
        </w:tc>
        <w:tc>
          <w:tcPr>
            <w:tcW w:w="80" w:type="dxa"/>
            <w:vAlign w:val="bottom"/>
          </w:tcPr>
          <w:p>
            <w:pPr>
              <w:spacing w:after="0"/>
              <w:rPr>
                <w:sz w:val="15"/>
                <w:szCs w:val="15"/>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1580" w:type="dxa"/>
            <w:vAlign w:val="bottom"/>
          </w:tcPr>
          <w:p>
            <w:pPr>
              <w:spacing w:after="0"/>
              <w:rPr>
                <w:sz w:val="15"/>
                <w:szCs w:val="15"/>
                <w:color w:val="auto"/>
              </w:rPr>
            </w:pPr>
          </w:p>
        </w:tc>
      </w:tr>
      <w:tr>
        <w:trPr>
          <w:trHeight w:val="335"/>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Patrick McCall</w:t>
            </w:r>
          </w:p>
        </w:tc>
        <w:tc>
          <w:tcPr>
            <w:tcW w:w="8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Chief Financial Officer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20, 2026</w:t>
            </w:r>
          </w:p>
        </w:tc>
      </w:tr>
      <w:tr>
        <w:trPr>
          <w:trHeight w:val="175"/>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Patrick McCall</w:t>
            </w:r>
          </w:p>
        </w:tc>
        <w:tc>
          <w:tcPr>
            <w:tcW w:w="80" w:type="dxa"/>
            <w:vAlign w:val="bottom"/>
          </w:tcPr>
          <w:p>
            <w:pPr>
              <w:spacing w:after="0"/>
              <w:rPr>
                <w:sz w:val="15"/>
                <w:szCs w:val="15"/>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c>
          <w:tcPr>
            <w:tcW w:w="1580" w:type="dxa"/>
            <w:vAlign w:val="bottom"/>
          </w:tcPr>
          <w:p>
            <w:pPr>
              <w:spacing w:after="0"/>
              <w:rPr>
                <w:sz w:val="15"/>
                <w:szCs w:val="15"/>
                <w:color w:val="auto"/>
              </w:rPr>
            </w:pPr>
          </w:p>
        </w:tc>
      </w:tr>
      <w:tr>
        <w:trPr>
          <w:trHeight w:val="335"/>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S. Roemer</w:t>
            </w:r>
          </w:p>
        </w:tc>
        <w:tc>
          <w:tcPr>
            <w:tcW w:w="80" w:type="dxa"/>
            <w:vAlign w:val="bottom"/>
          </w:tcPr>
          <w:p>
            <w:pPr>
              <w:spacing w:after="0"/>
              <w:rPr>
                <w:sz w:val="24"/>
                <w:szCs w:val="24"/>
                <w:color w:val="auto"/>
              </w:rPr>
            </w:pPr>
          </w:p>
        </w:tc>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Chairman</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20, 2026</w:t>
            </w:r>
          </w:p>
        </w:tc>
      </w:tr>
      <w:tr>
        <w:trPr>
          <w:trHeight w:val="175"/>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Alan S. Roemer</w:t>
            </w:r>
          </w:p>
        </w:tc>
        <w:tc>
          <w:tcPr>
            <w:tcW w:w="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35"/>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Peter Brandt</w:t>
            </w:r>
          </w:p>
        </w:tc>
        <w:tc>
          <w:tcPr>
            <w:tcW w:w="8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20, 2026</w:t>
            </w:r>
          </w:p>
        </w:tc>
      </w:tr>
      <w:tr>
        <w:trPr>
          <w:trHeight w:val="175"/>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Peter Brandt</w:t>
            </w:r>
          </w:p>
        </w:tc>
        <w:tc>
          <w:tcPr>
            <w:tcW w:w="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35"/>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Corinne Epperly</w:t>
            </w:r>
          </w:p>
        </w:tc>
        <w:tc>
          <w:tcPr>
            <w:tcW w:w="8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20, 2026</w:t>
            </w:r>
          </w:p>
        </w:tc>
      </w:tr>
      <w:tr>
        <w:trPr>
          <w:trHeight w:val="175"/>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Corinne Epperly</w:t>
            </w:r>
          </w:p>
        </w:tc>
        <w:tc>
          <w:tcPr>
            <w:tcW w:w="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35"/>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Emily T. Fairbairn</w:t>
            </w:r>
          </w:p>
        </w:tc>
        <w:tc>
          <w:tcPr>
            <w:tcW w:w="8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20, 2026</w:t>
            </w:r>
          </w:p>
        </w:tc>
      </w:tr>
      <w:tr>
        <w:trPr>
          <w:trHeight w:val="175"/>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Emily T. Fairbairn</w:t>
            </w:r>
          </w:p>
        </w:tc>
        <w:tc>
          <w:tcPr>
            <w:tcW w:w="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82"/>
        </w:trPr>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II-5</w:t>
            </w:r>
          </w:p>
        </w:tc>
        <w:tc>
          <w:tcPr>
            <w:tcW w:w="1580" w:type="dxa"/>
            <w:vAlign w:val="bottom"/>
          </w:tcPr>
          <w:p>
            <w:pPr>
              <w:spacing w:after="0"/>
              <w:rPr>
                <w:sz w:val="24"/>
                <w:szCs w:val="24"/>
                <w:color w:val="auto"/>
              </w:rPr>
            </w:pPr>
          </w:p>
        </w:tc>
      </w:tr>
    </w:tbl>
    <w:p>
      <w:pPr>
        <w:sectPr>
          <w:pgSz w:w="11900" w:h="16838" w:orient="portrait"/>
          <w:cols w:equalWidth="0" w:num="1">
            <w:col w:w="10159"/>
          </w:cols>
          <w:pgMar w:left="300" w:top="38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4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19"/>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Jeremy R. Graff</w:t>
            </w:r>
          </w:p>
        </w:tc>
        <w:tc>
          <w:tcPr>
            <w:tcW w:w="8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20, 2026</w:t>
            </w:r>
          </w:p>
        </w:tc>
      </w:tr>
      <w:tr>
        <w:trPr>
          <w:trHeight w:val="175"/>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Jeremy R. Graff</w:t>
            </w:r>
          </w:p>
        </w:tc>
        <w:tc>
          <w:tcPr>
            <w:tcW w:w="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35"/>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Luba Greenwood</w:t>
            </w:r>
          </w:p>
        </w:tc>
        <w:tc>
          <w:tcPr>
            <w:tcW w:w="8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20, 2026</w:t>
            </w:r>
          </w:p>
        </w:tc>
      </w:tr>
      <w:tr>
        <w:trPr>
          <w:trHeight w:val="175"/>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Luba Greenwood</w:t>
            </w:r>
          </w:p>
        </w:tc>
        <w:tc>
          <w:tcPr>
            <w:tcW w:w="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82"/>
        </w:trPr>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II-6</w:t>
            </w:r>
          </w:p>
        </w:tc>
        <w:tc>
          <w:tcPr>
            <w:tcW w:w="1580" w:type="dxa"/>
            <w:vAlign w:val="bottom"/>
          </w:tcPr>
          <w:p>
            <w:pPr>
              <w:spacing w:after="0"/>
              <w:rPr>
                <w:sz w:val="24"/>
                <w:szCs w:val="24"/>
                <w:color w:val="auto"/>
              </w:rPr>
            </w:pPr>
          </w:p>
        </w:tc>
      </w:tr>
    </w:tbl>
    <w:p>
      <w:pPr>
        <w:sectPr>
          <w:pgSz w:w="11900" w:h="16838" w:orient="portrait"/>
          <w:cols w:equalWidth="0" w:num="1">
            <w:col w:w="10159"/>
          </w:cols>
          <w:pgMar w:left="300" w:top="388" w:right="1440" w:bottom="1440" w:gutter="0" w:footer="0" w:header="0"/>
        </w:sectPr>
      </w:pPr>
    </w:p>
    <w:bookmarkStart w:id="25" w:name="page26"/>
    <w:bookmarkEnd w:id="25"/>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137160</wp:posOffset>
            </wp:positionV>
            <wp:extent cx="962660" cy="356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962660" cy="35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Jaime L. Chase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+1 202 728 7096</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jchase@cooley.com</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January 20, 2026</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IN8bio, Inc.</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350 5th Avenue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Suite 5330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New York, New York 10118</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1" w:lineRule="exact"/>
        <w:rPr>
          <w:sz w:val="20"/>
          <w:szCs w:val="20"/>
          <w:color w:val="auto"/>
        </w:rPr>
      </w:pPr>
    </w:p>
    <w:p>
      <w:pPr>
        <w:ind w:left="180" w:right="339"/>
        <w:spacing w:after="0" w:line="259" w:lineRule="auto"/>
        <w:rPr>
          <w:sz w:val="20"/>
          <w:szCs w:val="20"/>
          <w:color w:val="auto"/>
        </w:rPr>
      </w:pPr>
      <w:r>
        <w:rPr>
          <w:rFonts w:ascii="Times New Roman" w:cs="Times New Roman" w:eastAsia="Times New Roman" w:hAnsi="Times New Roman"/>
          <w:sz w:val="14"/>
          <w:szCs w:val="14"/>
          <w:color w:val="auto"/>
        </w:rPr>
        <w:t>We have acted as counsel to IN8bio,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by the Company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covering the registration for resale of up to 14,384,052 shares of the Company’s Common Stock, par value $0.0001 per share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issued or issuable by the Company in connection with a private placement effected on December 22, 2025, and consisting of (a) 4,931,375 shares (the “</w:t>
      </w:r>
      <w:r>
        <w:rPr>
          <w:rFonts w:ascii="Times New Roman" w:cs="Times New Roman" w:eastAsia="Times New Roman" w:hAnsi="Times New Roman"/>
          <w:sz w:val="14"/>
          <w:szCs w:val="14"/>
          <w:b w:val="1"/>
          <w:bCs w:val="1"/>
          <w:i w:val="1"/>
          <w:iCs w:val="1"/>
          <w:color w:val="auto"/>
        </w:rPr>
        <w:t>Shares</w:t>
      </w:r>
      <w:r>
        <w:rPr>
          <w:rFonts w:ascii="Times New Roman" w:cs="Times New Roman" w:eastAsia="Times New Roman" w:hAnsi="Times New Roman"/>
          <w:sz w:val="14"/>
          <w:szCs w:val="14"/>
          <w:color w:val="auto"/>
        </w:rPr>
        <w:t>”) of Common Stock that are currently outstanding and (b) 9,452,677 shares (the “</w:t>
      </w:r>
      <w:r>
        <w:rPr>
          <w:rFonts w:ascii="Times New Roman" w:cs="Times New Roman" w:eastAsia="Times New Roman" w:hAnsi="Times New Roman"/>
          <w:sz w:val="14"/>
          <w:szCs w:val="14"/>
          <w:b w:val="1"/>
          <w:bCs w:val="1"/>
          <w:i w:val="1"/>
          <w:iCs w:val="1"/>
          <w:color w:val="auto"/>
        </w:rPr>
        <w:t>Warrant Shares</w:t>
      </w:r>
      <w:r>
        <w:rPr>
          <w:rFonts w:ascii="Times New Roman" w:cs="Times New Roman" w:eastAsia="Times New Roman" w:hAnsi="Times New Roman"/>
          <w:sz w:val="14"/>
          <w:szCs w:val="14"/>
          <w:color w:val="auto"/>
        </w:rPr>
        <w:t>”) of Common Stock issuable upon the exercise of outstanding pre-funded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to purchase shares of Common Stock. The Shares and the Warrants were issued by the Company pursuant to the Securities Purchase Agreement (the “</w:t>
      </w:r>
      <w:r>
        <w:rPr>
          <w:rFonts w:ascii="Times New Roman" w:cs="Times New Roman" w:eastAsia="Times New Roman" w:hAnsi="Times New Roman"/>
          <w:sz w:val="14"/>
          <w:szCs w:val="14"/>
          <w:b w:val="1"/>
          <w:bCs w:val="1"/>
          <w:i w:val="1"/>
          <w:iCs w:val="1"/>
          <w:color w:val="auto"/>
        </w:rPr>
        <w:t>Purchase Agreement</w:t>
      </w:r>
      <w:r>
        <w:rPr>
          <w:rFonts w:ascii="Times New Roman" w:cs="Times New Roman" w:eastAsia="Times New Roman" w:hAnsi="Times New Roman"/>
          <w:sz w:val="14"/>
          <w:szCs w:val="14"/>
          <w:color w:val="auto"/>
        </w:rPr>
        <w:t>”) dated December 18, 2025.</w:t>
      </w:r>
    </w:p>
    <w:p>
      <w:pPr>
        <w:spacing w:after="0" w:line="143" w:lineRule="exact"/>
        <w:rPr>
          <w:sz w:val="20"/>
          <w:szCs w:val="20"/>
          <w:color w:val="auto"/>
        </w:rPr>
      </w:pPr>
    </w:p>
    <w:p>
      <w:pPr>
        <w:ind w:left="180" w:right="199"/>
        <w:spacing w:after="0" w:line="258"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Registration Statement and related prospectus, the Purchase Agreement, the form of the Warrants,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45" w:lineRule="exact"/>
        <w:rPr>
          <w:sz w:val="20"/>
          <w:szCs w:val="20"/>
          <w:color w:val="auto"/>
        </w:rPr>
      </w:pPr>
    </w:p>
    <w:p>
      <w:pPr>
        <w:ind w:left="180" w:right="279"/>
        <w:spacing w:after="0" w:line="269" w:lineRule="auto"/>
        <w:rPr>
          <w:sz w:val="20"/>
          <w:szCs w:val="20"/>
          <w:color w:val="auto"/>
        </w:rPr>
      </w:pPr>
      <w:r>
        <w:rPr>
          <w:rFonts w:ascii="Times New Roman" w:cs="Times New Roman" w:eastAsia="Times New Roman" w:hAnsi="Times New Roman"/>
          <w:sz w:val="14"/>
          <w:szCs w:val="14"/>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37" w:lineRule="exact"/>
        <w:rPr>
          <w:sz w:val="20"/>
          <w:szCs w:val="20"/>
          <w:color w:val="auto"/>
        </w:rPr>
      </w:pPr>
    </w:p>
    <w:p>
      <w:pPr>
        <w:ind w:left="180" w:right="379"/>
        <w:spacing w:after="0" w:line="269" w:lineRule="auto"/>
        <w:rPr>
          <w:sz w:val="20"/>
          <w:szCs w:val="20"/>
          <w:color w:val="auto"/>
        </w:rPr>
      </w:pPr>
      <w:r>
        <w:rPr>
          <w:rFonts w:ascii="Times New Roman" w:cs="Times New Roman" w:eastAsia="Times New Roman" w:hAnsi="Times New Roman"/>
          <w:sz w:val="14"/>
          <w:szCs w:val="14"/>
          <w:color w:val="auto"/>
        </w:rPr>
        <w:t>With respect to the Warrant Shares, we express no opinion to the extent that future issuances of securities of the Company, antidilution adjustments to outstanding securities of the Company or other matters cause the Warrants to be exercisable for more shares of Common Stock than the number available for issuance by the Company or that the exercise price of the Warrants is below the par value of the Common Stock.</w:t>
      </w:r>
    </w:p>
    <w:p>
      <w:pPr>
        <w:spacing w:after="0" w:line="137" w:lineRule="exact"/>
        <w:rPr>
          <w:sz w:val="20"/>
          <w:szCs w:val="20"/>
          <w:color w:val="auto"/>
        </w:rPr>
      </w:pPr>
    </w:p>
    <w:p>
      <w:pPr>
        <w:ind w:left="180" w:right="219"/>
        <w:spacing w:after="0" w:line="269" w:lineRule="auto"/>
        <w:rPr>
          <w:sz w:val="20"/>
          <w:szCs w:val="20"/>
          <w:color w:val="auto"/>
        </w:rPr>
      </w:pPr>
      <w:r>
        <w:rPr>
          <w:rFonts w:ascii="Times New Roman" w:cs="Times New Roman" w:eastAsia="Times New Roman" w:hAnsi="Times New Roman"/>
          <w:sz w:val="14"/>
          <w:szCs w:val="14"/>
          <w:color w:val="auto"/>
        </w:rPr>
        <w:t>On the basis of the foregoing, in reliance thereon and subject to the assumptions, exceptions, limitations and qualifications set forth herein, we are of the opinion that (i) the Shares are validly issued, fully paid and nonassessable and (ii) the Warrant Shares, when issued in accordance with the terms of the Warrants, will be validly issued, fully paid and nonassessable.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1299 Pennsylvania Ave., Washington DC 20004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(202) 842-7800 f: (202) 842-7899 cooley.com</w:t>
      </w:r>
    </w:p>
    <w:p>
      <w:pPr>
        <w:sectPr>
          <w:pgSz w:w="11900" w:h="16838" w:orient="portrait"/>
          <w:cols w:equalWidth="0" w:num="1">
            <w:col w:w="9019"/>
          </w:cols>
          <w:pgMar w:left="1440" w:top="123" w:right="1440" w:bottom="1440" w:gutter="0" w:footer="0" w:header="0"/>
        </w:sectPr>
      </w:pPr>
    </w:p>
    <w:bookmarkStart w:id="26" w:name="page27"/>
    <w:bookmarkEnd w:id="26"/>
    <w:p>
      <w:pPr>
        <w:ind w:left="1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January 20, 2026</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Page Two</w:t>
      </w:r>
    </w:p>
    <w:p>
      <w:pPr>
        <w:spacing w:after="0" w:line="111" w:lineRule="exact"/>
        <w:rPr>
          <w:sz w:val="20"/>
          <w:szCs w:val="20"/>
          <w:color w:val="auto"/>
        </w:rPr>
      </w:pPr>
    </w:p>
    <w:p>
      <w:pPr>
        <w:ind w:left="180" w:right="219"/>
        <w:spacing w:after="0" w:line="264" w:lineRule="auto"/>
        <w:rPr>
          <w:sz w:val="20"/>
          <w:szCs w:val="20"/>
          <w:color w:val="auto"/>
        </w:rPr>
      </w:pPr>
      <w:r>
        <w:rPr>
          <w:rFonts w:ascii="Times New Roman" w:cs="Times New Roman" w:eastAsia="Times New Roman" w:hAnsi="Times New Roman"/>
          <w:sz w:val="14"/>
          <w:szCs w:val="14"/>
          <w:color w:val="auto"/>
        </w:rPr>
        <w:t>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40"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14"/>
          <w:szCs w:val="14"/>
          <w:color w:val="auto"/>
        </w:rPr>
        <w:t>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Cooley LLP</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By: /s/ Jaime L. Chase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Jaime L.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-101600</wp:posOffset>
            </wp:positionV>
            <wp:extent cx="203962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2039620" cy="6985"/>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1299 Pennsylvania Ave., Washington DC 20004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(202) 842-7800 f: (202) 842-7899 cooley.com</w:t>
      </w:r>
    </w:p>
    <w:p>
      <w:pPr>
        <w:sectPr>
          <w:pgSz w:w="11900" w:h="16838" w:orient="portrait"/>
          <w:cols w:equalWidth="0" w:num="1">
            <w:col w:w="9019"/>
          </w:cols>
          <w:pgMar w:left="1440" w:top="241" w:right="1440" w:bottom="1440" w:gutter="0" w:footer="0" w:header="0"/>
        </w:sectPr>
      </w:pPr>
    </w:p>
    <w:bookmarkStart w:id="27" w:name="page28"/>
    <w:bookmarkEnd w:id="27"/>
    <w:p>
      <w:pPr>
        <w:jc w:val="right"/>
        <w:ind w:right="199"/>
        <w:spacing w:after="0"/>
        <w:rPr>
          <w:sz w:val="20"/>
          <w:szCs w:val="20"/>
          <w:color w:val="auto"/>
        </w:rPr>
      </w:pPr>
      <w:r>
        <w:rPr>
          <w:rFonts w:ascii="Times New Roman" w:cs="Times New Roman" w:eastAsia="Times New Roman" w:hAnsi="Times New Roman"/>
          <w:sz w:val="14"/>
          <w:szCs w:val="14"/>
          <w:color w:val="auto"/>
        </w:rPr>
        <w:t>Exhibit 23.1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8" w:lineRule="exact"/>
        <w:rPr>
          <w:sz w:val="20"/>
          <w:szCs w:val="20"/>
          <w:color w:val="auto"/>
        </w:rPr>
      </w:pPr>
    </w:p>
    <w:p>
      <w:pPr>
        <w:ind w:left="180" w:right="299"/>
        <w:spacing w:after="0" w:line="264"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and related Prospectus, of our report dated March 13, 2025, with respect to the financial statements of IN8bio, Inc. as of December 31, 2024 and 2023, and for the years then ended, which report is included in the Annual Report on Form 10-K of IN8bio, Inc. for the year ended December 31, 2024, filed with the Securities and Exchange Commission. Our audit report includes an explanatory paragraph relating to IN8bio, Inc.’s ability to continue as a going concern.</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We also consent to the reference to our firm under the caption “Experts”.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 CohnReznick LLP</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January 20, 2026</w:t>
      </w:r>
    </w:p>
    <w:p>
      <w:pPr>
        <w:sectPr>
          <w:pgSz w:w="11900" w:h="16838" w:orient="portrait"/>
          <w:cols w:equalWidth="0" w:num="1">
            <w:col w:w="9019"/>
          </w:cols>
          <w:pgMar w:left="1440" w:top="125" w:right="1440" w:bottom="1440" w:gutter="0" w:footer="0" w:header="0"/>
        </w:sectPr>
      </w:pPr>
    </w:p>
    <w:bookmarkStart w:id="28" w:name="page29"/>
    <w:bookmarkEnd w:id="28"/>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IN8BIO,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70"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55"/>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160"/>
              <w:spacing w:after="0" w:line="17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70"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2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14,384,052</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320"/>
              <w:spacing w:after="0"/>
              <w:rPr>
                <w:sz w:val="20"/>
                <w:szCs w:val="20"/>
                <w:color w:val="auto"/>
              </w:rPr>
            </w:pPr>
            <w:r>
              <w:rPr>
                <w:rFonts w:ascii="Arial" w:cs="Arial" w:eastAsia="Arial" w:hAnsi="Arial"/>
                <w:sz w:val="17"/>
                <w:szCs w:val="17"/>
                <w:color w:val="auto"/>
                <w:w w:val="97"/>
              </w:rPr>
              <w:t>$ 2.18</w:t>
            </w:r>
          </w:p>
        </w:tc>
        <w:tc>
          <w:tcPr>
            <w:tcW w:w="2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$ 4,330.43</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31,357,233.36</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$ 4,330.43</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31,357,233.36</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$ 4,330.43</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2" w:lineRule="exact"/>
        <w:rPr>
          <w:sz w:val="20"/>
          <w:szCs w:val="20"/>
          <w:color w:val="auto"/>
        </w:rPr>
      </w:pPr>
    </w:p>
    <w:p>
      <w:pPr>
        <w:ind w:left="220" w:right="140" w:hanging="183"/>
        <w:spacing w:after="0" w:line="232" w:lineRule="auto"/>
        <w:tabs>
          <w:tab w:leader="none" w:pos="220" w:val="left"/>
        </w:tabs>
        <w:numPr>
          <w:ilvl w:val="0"/>
          <w:numId w:val="18"/>
        </w:numPr>
        <w:rPr>
          <w:rFonts w:ascii="Arial" w:cs="Arial" w:eastAsia="Arial" w:hAnsi="Arial"/>
          <w:sz w:val="21"/>
          <w:szCs w:val="21"/>
          <w:color w:val="auto"/>
          <w:vertAlign w:val="superscript"/>
        </w:rPr>
      </w:pPr>
      <w:r>
        <w:rPr>
          <w:rFonts w:ascii="Arial" w:cs="Arial" w:eastAsia="Arial" w:hAnsi="Arial"/>
          <w:sz w:val="17"/>
          <w:szCs w:val="17"/>
          <w:color w:val="auto"/>
        </w:rPr>
        <w:t>This registration statement registers the resale of shares of common stock by the selling stockholders pursuant to the prospectus contained herein. Pursuant to Rule 416(a) promulgated under the Securities Act of 1933, as amended (the "Securities Act"), this registration statement shall also cover any additional shares of common stock that become issuable by reason of any stock dividend, stock split, recapitalization or other similar transaction with respect to the shares of Common Stock being registered pursuant to this registration statement. The proposed maximum offering price per share of Common Stock is estimated in accordance with Rule 457(c) promulgated under the Securities Act solely for the purpose of calculating the registration fee and is based upon a per share price of $2.18, which is the average of the high and low prices per share of the Common Stock on January 13, 2026, as reported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61595</wp:posOffset>
            </wp:positionV>
            <wp:extent cx="714692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540" w:type="dxa"/>
            <w:vAlign w:val="bottom"/>
            <w:gridSpan w:val="3"/>
            <w:vMerge w:val="restart"/>
            <w:shd w:val="clear" w:color="auto" w:fill="9ADAF6"/>
          </w:tcPr>
          <w:p>
            <w:pPr>
              <w:jc w:val="right"/>
              <w:ind w:right="115"/>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shd w:val="clear" w:color="auto" w:fill="9ADAF6"/>
          </w:tcPr>
          <w:p>
            <w:pPr>
              <w:jc w:val="right"/>
              <w:ind w:right="15"/>
              <w:spacing w:after="0" w:line="170"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4"/>
          </w:tcPr>
          <w:p>
            <w:pPr>
              <w:jc w:val="center"/>
              <w:ind w:left="49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6"/>
          </w:tcPr>
          <w:p>
            <w:pPr>
              <w:jc w:val="center"/>
              <w:ind w:left="135"/>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6"/>
            <w:shd w:val="clear" w:color="auto" w:fill="9ADAF6"/>
          </w:tcPr>
          <w:p>
            <w:pPr>
              <w:jc w:val="center"/>
              <w:ind w:left="235"/>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8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7"/>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38"/>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8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6"/>
            <w:vMerge w:val="restart"/>
            <w:shd w:val="clear" w:color="auto" w:fill="9ADAF6"/>
          </w:tcPr>
          <w:p>
            <w:pPr>
              <w:jc w:val="center"/>
              <w:ind w:left="235"/>
              <w:spacing w:after="0" w:line="191"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38"/>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6"/>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6"/>
            <w:vMerge w:val="restart"/>
            <w:shd w:val="clear" w:color="auto" w:fill="9ADAF6"/>
          </w:tcPr>
          <w:p>
            <w:pPr>
              <w:jc w:val="center"/>
              <w:ind w:left="215"/>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7"/>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6"/>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20" w:type="dxa"/>
            <w:vAlign w:val="bottom"/>
            <w:gridSpan w:val="2"/>
            <w:shd w:val="clear" w:color="auto" w:fill="E7E7E2"/>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20" w:type="dxa"/>
            <w:vAlign w:val="bottom"/>
            <w:shd w:val="clear" w:color="auto" w:fill="E7E7E2"/>
          </w:tcPr>
          <w:p>
            <w:pPr>
              <w:ind w:left="54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jc w:val="center"/>
              <w:ind w:right="38"/>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60"/>
              <w:spacing w:after="0"/>
              <w:rPr>
                <w:sz w:val="20"/>
                <w:szCs w:val="20"/>
                <w:color w:val="auto"/>
              </w:rPr>
            </w:pPr>
            <w:r>
              <w:rPr>
                <w:rFonts w:ascii="Arial" w:cs="Arial" w:eastAsia="Arial" w:hAnsi="Arial"/>
                <w:sz w:val="17"/>
                <w:szCs w:val="17"/>
                <w:color w:val="auto"/>
              </w:rPr>
              <w:t>N/A</w:t>
            </w:r>
          </w:p>
        </w:tc>
        <w:tc>
          <w:tcPr>
            <w:tcW w:w="40" w:type="dxa"/>
            <w:vAlign w:val="bottom"/>
            <w:vMerge w:val="continue"/>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3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Roman"/>
      <w:start w:val="2"/>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
      <w:numFmt w:val="bullet"/>
      <w:start w:val="1"/>
    </w:lvl>
  </w:abstractNum>
  <w:abstractNum w:abstractNumId="10">
    <w:nsid w:val="7FDCC233"/>
    <w:multiLevelType w:val="hybridMultilevel"/>
    <w:lvl w:ilvl="0">
      <w:lvlJc w:val="left"/>
      <w:lvlText w:val="%1"/>
      <w:numFmt w:val="decimal"/>
      <w:start w:val="107"/>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Roman"/>
      <w:start w:val="1"/>
    </w:lvl>
  </w:abstractNum>
  <w:abstractNum w:abstractNumId="13">
    <w:nsid w:val="6B68079A"/>
    <w:multiLevelType w:val="hybridMultilevel"/>
    <w:lvl w:ilvl="0">
      <w:lvlJc w:val="left"/>
      <w:lvlText w:val="%1"/>
      <w:numFmt w:val="decimal"/>
      <w:start w:val="1"/>
    </w:lvl>
    <w:lvl w:ilvl="1">
      <w:lvlJc w:val="left"/>
      <w:lvlText w:val="(%2)"/>
      <w:numFmt w:val="lowerRoman"/>
      <w:start w:val="2"/>
    </w:lvl>
  </w:abstractNum>
  <w:abstractNum w:abstractNumId="14">
    <w:nsid w:val="4E6AFB66"/>
    <w:multiLevelType w:val="hybridMultilevel"/>
    <w:lvl w:ilvl="0">
      <w:lvlJc w:val="left"/>
      <w:lvlText w:val="(%1)"/>
      <w:numFmt w:val="decimal"/>
      <w:start w:val="2"/>
    </w:lvl>
    <w:lvl w:ilvl="1">
      <w:lvlJc w:val="left"/>
      <w:lvlText w:val="(%2)"/>
      <w:numFmt w:val="lowerRoman"/>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lowerLetter"/>
      <w:start w:val="3"/>
    </w:lvl>
  </w:abstractNum>
  <w:abstractNum w:abstractNumId="17">
    <w:nsid w:val="431BD7B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jpe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jpe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44" Type="http://schemas.openxmlformats.org/officeDocument/2006/relationships/hyperlink" Target="http://www.sec.gov/ix?doc=/Archives/edgar/data/0001740279/000095017025038738/inab-20241231.htm" TargetMode="External"/><Relationship Id="rId45" Type="http://schemas.openxmlformats.org/officeDocument/2006/relationships/hyperlink" Target="http://www.sec.gov/ix?doc=/Archives/edgar/data/0001740279/000119312525114915/d932107d10ka.htm" TargetMode="External"/><Relationship Id="rId46" Type="http://schemas.openxmlformats.org/officeDocument/2006/relationships/hyperlink" Target="http://www.sec.gov/Archives/edgar/data/1740279/000119312525055610/d888198ddef14a.htm" TargetMode="External"/><Relationship Id="rId47" Type="http://schemas.openxmlformats.org/officeDocument/2006/relationships/hyperlink" Target="http://www.sec.gov/ix?doc=/Archives/edgar/data/0001740279/000119312525100951/d948398ddefr14a.htm" TargetMode="External"/><Relationship Id="rId48" Type="http://schemas.openxmlformats.org/officeDocument/2006/relationships/hyperlink" Target="http://www.sec.gov/ix?doc=/Archives/edgar/data/0001740279/000095017025065609/inab-20250331.htm" TargetMode="External"/><Relationship Id="rId49" Type="http://schemas.openxmlformats.org/officeDocument/2006/relationships/hyperlink" Target="http://www.sec.gov/ix?doc=/Archives/edgar/data/0001740279/000095017025105028/inab-20250630.htm" TargetMode="External"/><Relationship Id="rId50" Type="http://schemas.openxmlformats.org/officeDocument/2006/relationships/hyperlink" Target="http://www.sec.gov/ix?doc=/Archives/edgar/data/0001740279/000119312525269447/inab-20250930.htm" TargetMode="External"/><Relationship Id="rId51" Type="http://schemas.openxmlformats.org/officeDocument/2006/relationships/hyperlink" Target="http://www.sec.gov/ix?doc=/Archives/edgar/data/0001740279/000119312525098597/d597671d8k.htm" TargetMode="External"/><Relationship Id="rId52" Type="http://schemas.openxmlformats.org/officeDocument/2006/relationships/hyperlink" Target="http://www.sec.gov/ix?doc=/Archives/edgar/data/0001740279/000119312525098599/d788811d8k.htm" TargetMode="External"/><Relationship Id="rId53" Type="http://schemas.openxmlformats.org/officeDocument/2006/relationships/hyperlink" Target="http://www.sec.gov/ix?doc=/Archives/edgar/data/0001740279/000119312525116901/d911601d8k.htm" TargetMode="External"/><Relationship Id="rId54" Type="http://schemas.openxmlformats.org/officeDocument/2006/relationships/hyperlink" Target="http://www.sec.gov/ix?doc=/Archives/edgar/data/0001740279/000119312525132783/d945167d8k.htm" TargetMode="External"/><Relationship Id="rId55" Type="http://schemas.openxmlformats.org/officeDocument/2006/relationships/hyperlink" Target="http://www.sec.gov/ix?doc=/Archives/edgar/data/0001740279/000119312525134487/d927529d8k.htm" TargetMode="External"/><Relationship Id="rId56" Type="http://schemas.openxmlformats.org/officeDocument/2006/relationships/hyperlink" Target="http://www.sec.gov/ix?doc=/Archives/edgar/data/0001740279/000119312525152037/d866741d8k.htm" TargetMode="External"/><Relationship Id="rId57" Type="http://schemas.openxmlformats.org/officeDocument/2006/relationships/hyperlink" Target="http://www.sec.gov/ix?doc=/Archives/edgar/data/0001740279/000119312525250756/d65132d8k.htm" TargetMode="External"/><Relationship Id="rId58" Type="http://schemas.openxmlformats.org/officeDocument/2006/relationships/hyperlink" Target="http://www.sec.gov/ix?doc=/Archives/edgar/data/0001740279/000119312525292057/d11812d8k.htm" TargetMode="External"/><Relationship Id="rId59" Type="http://schemas.openxmlformats.org/officeDocument/2006/relationships/hyperlink" Target="http://www.sec.gov/ix?doc=/Archives/edgar/data/0001740279/000119312525327097/d145007d8k.htm" TargetMode="External"/><Relationship Id="rId60" Type="http://schemas.openxmlformats.org/officeDocument/2006/relationships/hyperlink" Target="http://www.sec.gov/Archives/edgar/data/1740279/000095017025038738/inab-ex4_3.htm" TargetMode="External"/><Relationship Id="rId71" Type="http://schemas.openxmlformats.org/officeDocument/2006/relationships/hyperlink" Target="http://www.sec.gov/Archives/edgar/data/1740279/000110465921099436/tm2030088d31_ex3-1.htm" TargetMode="External"/><Relationship Id="rId72" Type="http://schemas.openxmlformats.org/officeDocument/2006/relationships/hyperlink" Target="http://www.sec.gov/Archives/edgar/data/1740279/000119312525134487/d927529dex31.htm" TargetMode="External"/><Relationship Id="rId73" Type="http://schemas.openxmlformats.org/officeDocument/2006/relationships/hyperlink" Target="http://www.sec.gov/Archives/edgar/data/1740279/000119312523290707/d634027dex31.htm" TargetMode="External"/><Relationship Id="rId74" Type="http://schemas.openxmlformats.org/officeDocument/2006/relationships/hyperlink" Target="http://www.sec.gov/Archives/edgar/data/1740279/000110465920121840/tm2030088d11_ex4-1.htm" TargetMode="External"/><Relationship Id="rId75" Type="http://schemas.openxmlformats.org/officeDocument/2006/relationships/hyperlink" Target="http://www.sec.gov/Archives/edgar/data/0001740279/000119312525327097/d145007dex41.htm" TargetMode="External"/><Relationship Id="rId76" Type="http://schemas.openxmlformats.org/officeDocument/2006/relationships/hyperlink" Target="http://www.sec.gov/Archives/edgar/data/0001740279/000119312525327097/d145007dex101.htm" TargetMode="External"/><Relationship Id="rId77" Type="http://schemas.openxmlformats.org/officeDocument/2006/relationships/hyperlink" Target="http://www.sec.gov/Archives/edgar/data/0001740279/000119312525327097/d14500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2026-01-20T16:56:42Z</dcterms:created>
  <dcterms:modified xsi:type="dcterms:W3CDTF">2026-01-20T16:56:42Z</dcterms:modified>
</cp:coreProperties>
</file>