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3820" w:right="1600" w:hanging="3812"/>
        <w:spacing w:after="0" w:line="215" w:lineRule="auto"/>
        <w:tabs>
          <w:tab w:leader="none" w:pos="477"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001-39692</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82-5462585</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46" w:lineRule="exact"/>
        <w:rPr>
          <w:sz w:val="24"/>
          <w:szCs w:val="24"/>
          <w:color w:val="auto"/>
        </w:rPr>
      </w:pPr>
    </w:p>
    <w:p>
      <w:pPr>
        <w:sectPr>
          <w:pgSz w:w="11900" w:h="16838" w:orient="portrait"/>
          <w:cols w:equalWidth="0" w:num="2">
            <w:col w:w="7660" w:space="200"/>
            <w:col w:w="3380"/>
          </w:cols>
          <w:pgMar w:left="320" w:top="965" w:right="33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6"/>
          <w:szCs w:val="16"/>
          <w:b w:val="1"/>
          <w:bCs w:val="1"/>
          <w:color w:val="auto"/>
        </w:rPr>
        <w:t>350 5th Avenue, Suite 5330</w:t>
      </w:r>
    </w:p>
    <w:p>
      <w:pPr>
        <w:spacing w:after="0" w:line="28" w:lineRule="exact"/>
        <w:rPr>
          <w:sz w:val="24"/>
          <w:szCs w:val="24"/>
          <w:color w:val="auto"/>
        </w:rPr>
      </w:pPr>
    </w:p>
    <w:p>
      <w:pPr>
        <w:ind w:left="2060"/>
        <w:spacing w:after="0"/>
        <w:tabs>
          <w:tab w:leader="none" w:pos="8200" w:val="left"/>
        </w:tabs>
        <w:rPr>
          <w:sz w:val="20"/>
          <w:szCs w:val="20"/>
          <w:color w:val="auto"/>
        </w:rPr>
      </w:pPr>
      <w:r>
        <w:rPr>
          <w:rFonts w:ascii="Times New Roman" w:cs="Times New Roman" w:eastAsia="Times New Roman" w:hAnsi="Times New Roman"/>
          <w:sz w:val="16"/>
          <w:szCs w:val="16"/>
          <w:b w:val="1"/>
          <w:bCs w:val="1"/>
          <w:color w:val="auto"/>
        </w:rPr>
        <w:t>New York, New York</w:t>
      </w:r>
      <w:r>
        <w:rPr>
          <w:sz w:val="20"/>
          <w:szCs w:val="20"/>
          <w:color w:val="auto"/>
        </w:rPr>
        <w:tab/>
      </w:r>
      <w:r>
        <w:rPr>
          <w:rFonts w:ascii="Times New Roman" w:cs="Times New Roman" w:eastAsia="Times New Roman" w:hAnsi="Times New Roman"/>
          <w:sz w:val="16"/>
          <w:szCs w:val="16"/>
          <w:b w:val="1"/>
          <w:bCs w:val="1"/>
          <w:color w:val="auto"/>
        </w:rPr>
        <w:t>10118</w:t>
      </w:r>
    </w:p>
    <w:p>
      <w:pPr>
        <w:spacing w:after="0" w:line="18"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(646) 600-6438</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INAB</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46"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Times New Roman" w:cs="Times New Roman" w:eastAsia="Times New Roman" w:hAnsi="Times New Roman"/>
          <w:sz w:val="10"/>
          <w:szCs w:val="10"/>
          <w:color w:val="auto"/>
        </w:rPr>
        <w:t>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2"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cs="Times New Roman" w:eastAsia="Times New Roman" w:hAnsi="Times New Roman"/>
          <w:sz w:val="10"/>
          <w:szCs w:val="10"/>
          <w:color w:val="auto"/>
        </w:rPr>
        <w:t>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0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536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880"/>
        <w:spacing w:after="0" w:line="24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w:t>
      </w:r>
      <w:r>
        <w:rPr>
          <w:rFonts w:ascii="Times New Roman" w:cs="Times New Roman" w:eastAsia="Times New Roman" w:hAnsi="Times New Roman"/>
          <w:sz w:val="10"/>
          <w:szCs w:val="10"/>
          <w:color w:val="auto"/>
        </w:rPr>
        <w:t>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May 2, 2025 was 90,771,944.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040" w:type="dxa"/>
            <w:vAlign w:val="bottom"/>
            <w:gridSpan w:val="10"/>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4"/>
                <w:szCs w:val="14"/>
                <w:color w:val="auto"/>
              </w:rPr>
            </w:pPr>
          </w:p>
        </w:tc>
        <w:tc>
          <w:tcPr>
            <w:tcW w:w="2280" w:type="dxa"/>
            <w:vAlign w:val="bottom"/>
            <w:tcBorders>
              <w:bottom w:val="single" w:sz="8" w:color="0000FF"/>
            </w:tcBorders>
            <w:gridSpan w:val="9"/>
            <w:vMerge w:val="continue"/>
          </w:tcPr>
          <w:p>
            <w:pPr>
              <w:spacing w:after="0"/>
              <w:rPr>
                <w:sz w:val="14"/>
                <w:szCs w:val="14"/>
                <w:color w:val="auto"/>
              </w:rPr>
            </w:pPr>
          </w:p>
        </w:tc>
        <w:tc>
          <w:tcPr>
            <w:tcW w:w="7040" w:type="dxa"/>
            <w:vAlign w:val="bottom"/>
            <w:gridSpan w:val="1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6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w:t>
            </w:r>
          </w:p>
        </w:tc>
        <w:tc>
          <w:tcPr>
            <w:tcW w:w="60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w:t>
            </w:r>
          </w:p>
        </w:tc>
        <w:tc>
          <w:tcPr>
            <w:tcW w:w="59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620" w:type="dxa"/>
            <w:vAlign w:val="bottom"/>
            <w:tcBorders>
              <w:top w:val="single" w:sz="8" w:color="0000FF"/>
            </w:tcBorders>
            <w:gridSpan w:val="3"/>
          </w:tcPr>
          <w:p>
            <w:pPr>
              <w:spacing w:after="0"/>
              <w:rPr>
                <w:sz w:val="17"/>
                <w:szCs w:val="17"/>
                <w:color w:val="auto"/>
              </w:rPr>
            </w:pPr>
          </w:p>
        </w:tc>
        <w:tc>
          <w:tcPr>
            <w:tcW w:w="736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7"/>
                <w:szCs w:val="17"/>
                <w:color w:val="auto"/>
              </w:rPr>
            </w:pPr>
          </w:p>
        </w:tc>
        <w:tc>
          <w:tcPr>
            <w:tcW w:w="700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4"/>
                <w:szCs w:val="14"/>
                <w:color w:val="auto"/>
              </w:rPr>
              <w:t>(Note 2)</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 - finance leases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finance lease liability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finance lease liability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10,000,000 shares authorized at March 31, 2025 and</w:t>
            </w:r>
          </w:p>
        </w:tc>
        <w:tc>
          <w:tcPr>
            <w:tcW w:w="260" w:type="dxa"/>
            <w:vAlign w:val="bottom"/>
            <w:shd w:val="clear" w:color="auto" w:fill="CFF0FC"/>
          </w:tcPr>
          <w:p>
            <w:pPr>
              <w:spacing w:after="0"/>
              <w:rPr>
                <w:sz w:val="17"/>
                <w:szCs w:val="17"/>
                <w:color w:val="auto"/>
              </w:rPr>
            </w:pPr>
          </w:p>
        </w:tc>
        <w:tc>
          <w:tcPr>
            <w:tcW w:w="14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 no shares issued and outstanding</w:t>
            </w:r>
          </w:p>
        </w:tc>
        <w:tc>
          <w:tcPr>
            <w:tcW w:w="260" w:type="dxa"/>
            <w:vAlign w:val="bottom"/>
            <w:shd w:val="clear" w:color="auto" w:fill="CFF0FC"/>
          </w:tcPr>
          <w:p>
            <w:pPr>
              <w:spacing w:after="0"/>
              <w:rPr>
                <w:sz w:val="20"/>
                <w:szCs w:val="20"/>
                <w:color w:val="auto"/>
              </w:rPr>
            </w:pPr>
          </w:p>
        </w:tc>
        <w:tc>
          <w:tcPr>
            <w:tcW w:w="146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490,000,000 shares authorized at March 31, 2025 and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81,258,763 and 72,483,253 shares issued and outstanding at March 31, 2025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(121,656)</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-4251325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-3419475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-3128645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-3128645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-1996440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(8,562)</w:t>
            </w:r>
          </w:p>
        </w:tc>
      </w:tr>
      <w:tr>
        <w:trPr>
          <w:trHeight w:val="20"/>
        </w:trPr>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(5,550)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(8,562)</w:t>
            </w: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(0.20)</w:t>
            </w:r>
          </w:p>
        </w:tc>
      </w:tr>
      <w:tr>
        <w:trPr>
          <w:trHeight w:val="20"/>
        </w:trPr>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common share, basic and diluted</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83,482,125</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43,287,325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-925195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-334010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92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9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43,287,325</w:t>
            </w:r>
          </w:p>
        </w:tc>
        <w:tc>
          <w:tcPr>
            <w:tcW w:w="960" w:type="dxa"/>
            <w:vAlign w:val="bottom"/>
            <w:gridSpan w:val="2"/>
            <w:shd w:val="clear" w:color="auto" w:fill="CFF0FC"/>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116,152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(91,219)</w:t>
            </w:r>
          </w:p>
        </w:tc>
        <w:tc>
          <w:tcPr>
            <w:tcW w:w="38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24,937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costs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(8,562)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(8,562)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43,287,325</w:t>
            </w:r>
          </w:p>
        </w:tc>
        <w:tc>
          <w:tcPr>
            <w:tcW w:w="960" w:type="dxa"/>
            <w:vAlign w:val="bottom"/>
            <w:gridSpan w:val="2"/>
            <w:shd w:val="clear" w:color="auto" w:fill="CFF0FC"/>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117,303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(99,781)</w:t>
            </w:r>
          </w:p>
        </w:tc>
        <w:tc>
          <w:tcPr>
            <w:tcW w:w="38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17,526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20" w:type="dxa"/>
            <w:vAlign w:val="bottom"/>
            <w:tcBorders>
              <w:top w:val="single" w:sz="8" w:color="CFF0FC"/>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72,483,253</w:t>
            </w:r>
          </w:p>
        </w:tc>
        <w:tc>
          <w:tcPr>
            <w:tcW w:w="960" w:type="dxa"/>
            <w:vAlign w:val="bottom"/>
            <w:gridSpan w:val="2"/>
            <w:shd w:val="clear" w:color="auto" w:fill="CFF0FC"/>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136,127</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(121,656)</w:t>
            </w:r>
          </w:p>
        </w:tc>
        <w:tc>
          <w:tcPr>
            <w:tcW w:w="38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7,362,852</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Series C warrants, net of issuance costs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1,412,658</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(5,550)</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(5,550)</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81,258,763</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141,075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(127,206)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-719455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-702310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-719455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-702310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-719455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-702310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-719455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-702310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-719455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-702310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-128270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-128270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-128270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-128270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(5,550)</w:t>
            </w: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(8,562)</w:t>
            </w: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6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(7,919)</w:t>
            </w:r>
          </w:p>
        </w:tc>
      </w:tr>
      <w:tr>
        <w:trPr>
          <w:trHeight w:val="210"/>
        </w:trPr>
        <w:tc>
          <w:tcPr>
            <w:tcW w:w="6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6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issuance costs from December 2023 issuance of common stock</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Series C warrants, net of issuance costs</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66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(8,267)</w:t>
            </w: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0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2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6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6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100" w:type="dxa"/>
            <w:vAlign w:val="bottom"/>
          </w:tcPr>
          <w:p>
            <w:pPr>
              <w:spacing w:after="0"/>
              <w:rPr>
                <w:sz w:val="18"/>
                <w:szCs w:val="18"/>
                <w:color w:val="auto"/>
              </w:rPr>
            </w:pP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end of period</w:t>
            </w:r>
          </w:p>
        </w:tc>
        <w:tc>
          <w:tcPr>
            <w:tcW w:w="10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2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6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activities: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Initial measurement of operating lease right-of-use assets and liabilities</w:t>
            </w:r>
          </w:p>
        </w:tc>
        <w:tc>
          <w:tcPr>
            <w:tcW w:w="2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FF0FC"/>
          </w:tcPr>
          <w:p>
            <w:pPr>
              <w:spacing w:after="0"/>
              <w:rPr>
                <w:sz w:val="18"/>
                <w:szCs w:val="18"/>
                <w:color w:val="auto"/>
              </w:rPr>
            </w:pPr>
          </w:p>
        </w:tc>
      </w:tr>
      <w:tr>
        <w:trPr>
          <w:trHeight w:val="234"/>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modification of operating lease right-of-use assets and liabilities</w:t>
            </w:r>
          </w:p>
        </w:tc>
        <w:tc>
          <w:tcPr>
            <w:tcW w:w="2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-3002915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-3002915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-2437130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-2437130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-1597025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-1597025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-1313815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-1313815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-730885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right="6840" w:hanging="512"/>
        <w:spacing w:after="0" w:line="377" w:lineRule="auto"/>
        <w:tabs>
          <w:tab w:leader="none" w:pos="19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NATURE OF OPERATIONS </w:t>
      </w:r>
      <w:r>
        <w:rPr>
          <w:rFonts w:ascii="Times New Roman" w:cs="Times New Roman" w:eastAsia="Times New Roman" w:hAnsi="Times New Roman"/>
          <w:sz w:val="18"/>
          <w:szCs w:val="18"/>
          <w:b w:val="1"/>
          <w:bCs w:val="1"/>
          <w:i w:val="1"/>
          <w:iCs w:val="1"/>
          <w:color w:val="auto"/>
        </w:rPr>
        <w:t>Organization and Business</w:t>
      </w:r>
    </w:p>
    <w:p>
      <w:pPr>
        <w:spacing w:after="0" w:line="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IN8bio, Inc. (the "Company" "our" or "we") is a clinical-stage biopharmaceutical company focused on the discovery, development and commercialization of gamma-delta T cell product candidates for solid and liquid tumors. The Company’s lead product candidate, INB-100, is currently in an ongoing investigator-sponsored Phase 1 clinical trial of acute myeloid leukemia ("AML"). In addition, the Company’s DeltEx platform has yielded a broad portfolio of preclinical programs, including INB-300, INB-500 and INB-600, focused on addressing a range of potential applications, from solid tumors to autoimmune diseases and hematological cancers.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Incysus, Inc. ("Incysus") was a corporation formed in the State of Delaware on November 23, 2015 and Incysus, Ltd. was incorporated in Bermuda on February 8, 2016. Incysus was the wholly 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Pipeline Prioritization and Workforce Reduction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2024, the Company announced a plan to optimize its resource allocation through a pipeline prioritization, suspending further development on INB-400 while seeking partnership opportunities and focusing on development of INB-100 and a workforce reduction of approximately 49%, across all functions. The Company incurred one-time costs of $1.1 million, consisting of stock-based compensation expense of $0.8 million resulting from acceleration in full of outstanding unvested stock options at the separation date for the impacted employees, and $0.3 million related to severance payments during the year ended December 31, 2024. In combination with this reduction, the executive management team and the Board agreed to a 11% reduction in their cash compensation, effective as of September 1, 2024.</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the Company has funded its operations primarily with proceeds from various public and private offerings of its common stock, preferred stock and warrants. The Company has incurred recurring losses and negative operating cash flows since its inception, including net losses of $5.6 million and $8.6 million for the three months ended March 31, 2025 and 2024, respectively. As of March 31, 2025, the Company had an accumulated deficit of $127.2 million. We continue to deploy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This includes our ability to achieve the anticipated milestones and the timing of data releases and/or regulatory filings for our preclinical and clinical programs.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not yet generated product sales and as a result has experienced operating losses since inception. The Company expects to incur additional losses in the future as it advances its product candidates through clinical trials, seeks to expand its product candidate portfolio through developing additional product candidates, grows its clinical, regulatory and quality capabilities, and incurs costs associated with operating as a public company. The actual amount of cash that the Company will need to operate is subject to many factors. Based on the Company’s revised business strategy, which was announced in September 2024, its existing cash of $11.9 million as of March 31, 2025 is not anticipated to fund the Company’s projected operating expenses and capital expenditure requirements for a period of at least 12 months from the date of issuance of these condensed financial statements, and accordingly, there is substantial doubt about the Company’s ability to continue to operate as a going concern.</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continue to fund the operations of the Company beyond this time period, management has developed plans, which primarily consist of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may receive up to $1.9 million from the exercise of its outstanding Series A ordinary warrants ("Series A warrants") and up to $8.1 million from the exercise of its outstanding Series C common stock purchase warrants ("Series C warrants"). If not otherwise redeemed by the Company, the Company may also receive aggregate proceeds of up to $4.1 million from the exercise of its outstanding Series B ordinary warrants ("Series B warrants"). See Note 7, Warrants, for additional information. There is no assurance, however, that the Company will receive any additional proceeds from these warrants or that any additional financing or any revenue-generating collaboration will be available when needed, that management of the Company will be able to obtain financing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t>enter into a collaboration on terms acceptable to the Company, or that any additional financing or revenue generated through third-party collaborations will be sufficient to fund our operations through this time period. If additional capital is not available on a timely basis, or at all, the Company will have to significantly delay, scale back or discontinue its research and development programs. If the Company becomes unable to continue as a going concern, it may have to terminate its operations and dispose of its assets and might realize significantly less than the values at which they are carried on its condensed financial statements. These actions may cause the Company’s stockholders to lose all or part of their investment in the Company’s common stock. The accompanying condensed financial statements have been prepared on the basis that the Company will continue as a going concern and do not include adjustments that might result from the outcome of this uncertainty.</w:t>
      </w:r>
    </w:p>
    <w:p>
      <w:pPr>
        <w:spacing w:after="0" w:line="185" w:lineRule="exact"/>
        <w:rPr>
          <w:sz w:val="20"/>
          <w:szCs w:val="20"/>
          <w:color w:val="auto"/>
        </w:rPr>
      </w:pPr>
    </w:p>
    <w:p>
      <w:pPr>
        <w:ind w:left="520" w:right="6360" w:hanging="512"/>
        <w:spacing w:after="0" w:line="378" w:lineRule="auto"/>
        <w:tabs>
          <w:tab w:leader="none" w:pos="19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Significant Accounting Policies</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which are disclosed in the audited financial statements for the year ended December 31, 2024 and the notes thereto, are included in the Company’s Annual Report on Form 10-K (the "Annual Report") that was filed with the Securities and Exchange Commission ("SEC") on March 13, 2025. Since the date of that filing, there have been no material changes to the Company’s significant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prepared the accompanying condensed financial statements in conformity with generally accepted accounting principles in the United States ("U.S. GAAP").</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of the Company included herein have been prepared pursuant to the rules and regulations of the SEC. Certain information and note disclosures normally included in financial statements prepared in accordance with U.S. GAAP have been condensed or omitted from these condensed financial statements, as is permitted by such rules and regulations. Accordingly, these condensed financial statements should be read in conjunction with the financial statements and notes thereto in the Company's Annual Report. The results for any interim period are not necessarily indicative of results for any future period. In the opinion of the Company’s management, all adjustments (consisting of normal and recurring adjustments) considered necessary for a fair statement of the results for the interim periods presented have been included.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management to make estimates and assumptions that affect the reported amounts of assets and liabilities, disclosure of contingent assets and liabilities at the date of the condensed financial statements, and the reported amounts of expenses during the reporting periods presented. Such estimates and assumptions are used for, but are not limited to, the accrual of research and development expenses, deferred tax assets and liabilities and the related valuation allowance, stock-based compensation, the useful lives of property and equipment and the valuation of warrants. The Company bases its estimates on historical experience, known trends and other market-specific or other relevant factors that it believes to be reasonable under the circumstances. Actual results could differ from those estimates.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significant concentrations of credit risk consist primarily of cash. All of the Company’s cash and restricted cash is deposited in accounts with major financial institutions. Such deposits are in excess of the federally insured limits.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and amortization of property and equipment is calculated using the straight-line method over the estimated useful lives of the assets. Significant replacements and improvements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while maintenance and repairs, which do not improve or extend the life of the respective assets, are charged to expense as incurred. The estimated useful lives of the Company’s respective assets are as follows:</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168"/>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Furniture</w:t>
            </w: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8"/>
        </w:trPr>
        <w:tc>
          <w:tcPr>
            <w:tcW w:w="5160" w:type="dxa"/>
            <w:vAlign w:val="bottom"/>
            <w:vMerge w:val="continue"/>
          </w:tcPr>
          <w:p>
            <w:pPr>
              <w:spacing w:after="0"/>
              <w:rPr>
                <w:sz w:val="17"/>
                <w:szCs w:val="17"/>
                <w:color w:val="auto"/>
              </w:rPr>
            </w:pPr>
          </w:p>
        </w:tc>
        <w:tc>
          <w:tcPr>
            <w:tcW w:w="3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shorter of the useful life of the leasehold</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improvement or the remaining term of the</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condensed balance sheets and any gain or loss is reflected in the condensed statements of operations.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capitalizes the application development phase costs of internal use software in accordance with Accounting Standards Codification (“ASC”) 350-40, </w:t>
      </w:r>
      <w:r>
        <w:rPr>
          <w:rFonts w:ascii="Times New Roman" w:cs="Times New Roman" w:eastAsia="Times New Roman" w:hAnsi="Times New Roman"/>
          <w:sz w:val="18"/>
          <w:szCs w:val="18"/>
          <w:i w:val="1"/>
          <w:iCs w:val="1"/>
          <w:color w:val="auto"/>
        </w:rPr>
        <w:t>Intangibles-Goodwill and Other-Internal Use Software</w:t>
      </w:r>
      <w:r>
        <w:rPr>
          <w:rFonts w:ascii="Times New Roman" w:cs="Times New Roman" w:eastAsia="Times New Roman" w:hAnsi="Times New Roman"/>
          <w:sz w:val="18"/>
          <w:szCs w:val="18"/>
          <w:color w:val="auto"/>
        </w:rPr>
        <w:t>. Capitalized costs will be amortized on a straight-line basis over the estimated useful life of the asset upon completion.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 maker in deciding how to allocate resources and assess performance. The Company has one operating segment, which is the business focused on the discovery, development and commercialization of gamma-delta T cell product candidates for solid and liquid tumors. The Company’s chief operating decision maker ("CODM"), its chief executive officer ("CEO"), manages the Company’s operations on a consolidated basis for the purposes of allocating resources. The allocation of resources and assessment of performance of the operating segment is based on net loss as shown in our condensed statements of operations. All of the Company’s long-lived assets are held in the United States. For additional segment information, see Note 13, Segments.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Updates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which expands the disclosures required for income taxes. This ASU is effective for fiscal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after December 15, 2024, with early adoption permitted. The Company is currently evaluating the impact of adopting ASU 2023-09 and will adopt it for fiscal year ending December 31, 2025.</w:t>
      </w:r>
    </w:p>
    <w:p>
      <w:pPr>
        <w:spacing w:after="0" w:line="7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all other issued and unadopted ASUs, and believes the adoption of these standards will not have a material impact on the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1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460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2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-1079500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(2,263)</w:t>
            </w:r>
          </w:p>
        </w:tc>
      </w:tr>
      <w:tr>
        <w:trPr>
          <w:trHeight w:val="20"/>
        </w:trPr>
        <w:tc>
          <w:tcPr>
            <w:tcW w:w="7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was $0.3 million and $0.2 million for the three months ended March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1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authorized capital stock consists of 500,000,000 shares, all with a par value of $0.0001 per share, of which 490,000,000 shares are designated as common stock and 10,000,000 shares are designated as preferred stock.</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November 2022, the Company filed a shelf registration statement on Form S-3 (File No. 333-268288) (the “Shelf Registration Statement”) with the SEC, which permits the offering, issuance and sale by the Company of up to a maximum aggregate offering price of $200.0 million of its common stock and preferred stock, various series of debt securities and/or warrants to purchase any of such securities, of which $50.0 million of common stock may be issued and sold pursuant to an ATM.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Fitzgerald”) and Truist Securities, Inc. (“Truist”) under which Cantor Fitzgerald and Truist agreed to act as sales agents to sell shares of the Company’s common stock, from time to time, through the ATM program. On March 8, 2024, the Company delivered a termination notice to Truist, removing them as a sales agent under the ATM program. Such termination became effective on March 14, 2024.</w:t>
      </w:r>
    </w:p>
    <w:p>
      <w:pPr>
        <w:spacing w:after="0" w:line="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March 31, 2025, the Company's calculated public float was less than $75.0 million. During the year ended December 31, 2024, the Company sold an aggregate of 3,479,623 shares of its common stock under the ATM program, resulting in net proceeds of approximately $3.8 million after deducting sales agent fees and other offering expenses. For the three months ended March 31, 2025, the Company sold an aggregate of 7,362,852 shares of its common stock under the ATM program, resulting in net proceeds of approximately $3.7 million after deducting sales agent fees and other offering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WARRANTS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Company issued 574,241 pre-funded warrants (the "2023 Pre-Funded warrants"), 11,823,829 Series A warrants and 11,823,829 Series B warrants (the "2023 Private Placement"). The 2023 Pre-Funded warrants have an exercise price of $0.0001 per share, are exercisable immediately and are exercisable until the 2023 Pre-Funded warrant is exercised in full. In lieu of making the cash payment otherwise contemplated to be made to the Company upon exercise of a 2023 Pre-Funded warrant in payment of the aggregate exercise price, the holder may elect instead to receive upon such exercise (either in whole or in part) the net number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common stock determined according to a formula set forth in the 2023 Pre-Funded warrants terms. The 2023 Pre-Funded warrants meet the criteria for permanent equity classification. As of March 31, 2025, 574,241 2023 Pre-Funded warrants were issued and outstanding.</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Series A warrants were issued with an exercise price of $1.25 per share. The Series A warrants are exercisable immediately and were issued with an expiry date of June 13, 2025. The Company has the option to cause the Series A warrants to be exercised at a strike price of $1.25 per share upon the Company’s public announcement of INB-100 clinical data for the 10 currently enrolled patients, should they remain alive and evaluable, covering a period of at least 11 months, along with certain stock price and trading volume requirements. The Series A warrants meet the criteria for permanent equity classification.</w:t>
      </w:r>
    </w:p>
    <w:p>
      <w:pPr>
        <w:spacing w:after="0" w:line="75"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2024 Private Placement (as defined below), the Company amended certain of the Company’s outstanding Series A warrants, representing approximately 11,714,076 shares of the Company’s common stock, to (i) reduce the exercise price from $1.25 to $0.45 per share and (ii) extend the termination date of such Series A warrants to October 4, 2025. As of March 31, 2025, 11,803,829 Series A warrants were issued and outstanding.</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Series B warrants were issued with an exercise price of $1.50 per share. The Series B warrants are exercisable immediately and expire on December 13, 2028. The Series B warrants allow the Company to redeem such warrants at a price of $0.01 per Series B warrant upon the Company’s public announcement of its INB-100 data for all enrolled patients covering a period of at least 22 months, along with certain stock price and trading volume requirements. Holders of Series B warrants may choose to exercise such warrants at a purchase price of $1.50 per share prior to such redemption. The Series B warrants meet the criteria for permanent equity classification. As of March 31, 2025, 11,823,829 Series B warrants were issued and outstanding.</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April 2025, the Company amended certain of the Company’s outstanding Series B warrants to reduce the exercise price from $1.50 to $0.45 per share. See Note 14, Subsequent Events, for additional information.</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2024, the Company issued 5,646,853 pre-funded warrants (the "2024 Pre-Funded warrants"), and 31,343,158 Series C warrants (the "2024 Private Placement"). The 2024 Pre-Funded warrants have an exercise price of $0.0001 per share, are exercisable immediately and are exercisable until the 2024 Pre-Funded warrant is exercised in full. In lieu of making the cash payment otherwise contemplated to be made to the Company upon exercise of a 2024 Pre-Funded warrant in payment of the aggregate exercise price, the holder may elect instead to receive upon such exercise (either in whole or in part) the net number of shares of common stock determined according to a formula set forth in the 2024 Pre-Funded warrants terms. The 2024 Pre-Funded warrants meet the criteria for permanent equity classification. As of March 31, 2025, 5,646,853 2024 Pre-Funded warrants were outstanding.</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Series C warrants have an exercise price of $0.27 per share. The Series C warrants are exercisable immediately and will expire on October 4, 2027. The Series C warrants meet the criteria for permanent equity classification. As of March 31, 2025, 29,930,500 Series C warrants were outstanding.</w:t>
      </w:r>
    </w:p>
    <w:p>
      <w:pPr>
        <w:spacing w:after="0" w:line="158" w:lineRule="exact"/>
        <w:rPr>
          <w:sz w:val="20"/>
          <w:szCs w:val="20"/>
          <w:color w:val="auto"/>
        </w:rPr>
      </w:pPr>
    </w:p>
    <w:p>
      <w:pPr>
        <w:ind w:left="520" w:right="8220" w:hanging="512"/>
        <w:spacing w:after="0" w:line="378" w:lineRule="auto"/>
        <w:tabs>
          <w:tab w:leader="none" w:pos="19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b w:val="1"/>
          <w:bCs w:val="1"/>
          <w:i w:val="1"/>
          <w:iCs w:val="1"/>
          <w:color w:val="auto"/>
        </w:rPr>
        <w:t>2018 Equity Incentive Plan</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Company's Board of Directors and the Company’s stockholders and became effective on July 29, 2021. Upon the effectiveness of the 2023 Plan (as defined below), the 2020 Plan was terminated and no further issuances were made under the 2020 Plan, although it continues to govern the terms of any equity grants that remain outstanding under the 2020 Plan.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2023 Equity Incentive Plan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Amended and Restated 2023 Equity Incentive Plan (the "2023 Plan") was approved by the Company's Board of Directors and the Company’s stockholders and became effective on June 15, 2023. The Board of Directors, or a committee thereof, is authorized to administer the 2023 Plan. The 2023 Plan provides for the grant of Incentive Stock Options ("ISO") within the meaning of Section 422 of the Internal Revenue Code ("IRC")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 under the 2023 Plan was 7,400,000, which automatically increases on January 1 of each year for a period of 10 years, beginning on January 1, 2024 and continuing through January 1, 2033, in an amount equal to 5% of the total number of shares of common stock outstanding on the last day of the immediately preceding year, or a lesser number of shares determined by the Board of Directors no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later than the last day of the immediately preceding year. The maximum number of shares of common stock that may be issued upon the exercise of ISOs under the 2023 Plan is 41,000,000 shares. As of March 31, 2025, 4,467,059 shares were available for grant pursuant to the 2023 Plan, including the increase pursuant to the terms of the 2023 Plan, effective January 1, 2025.</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Board of Directors and the Company’s stockholders and became effective on July 29, 2021. A total of 200,000 shares of common stock were initially reserved for issuance under this plan, which automatically increases on January 1 of each year by the lesser of (i) 1% of the outstanding number of shares of common stock on the immediately preceding December 31; and (ii) 400,000, or such lesser number of shares as determined by our Board of Directors. As of March 31, 2025, no shares of common stock had been issued under the ESPP and 787,812 shares remained available for future issuance under the ESPP. The Board of Directors elected not to increase the number of shares of common stock reserved for future issuance under the ESPP as of January 1,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stock option award activity during the three months ended March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4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4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1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12,095,405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2,841,405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14,931,522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2025</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5,932,047</w:t>
            </w:r>
          </w:p>
        </w:tc>
        <w:tc>
          <w:tcPr>
            <w:tcW w:w="2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3.27</w:t>
            </w: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6.51</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expected to vest as of March 31, 2025</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8,999,475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4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9.31</w:t>
            </w:r>
          </w:p>
        </w:tc>
        <w:tc>
          <w:tcPr>
            <w:tcW w:w="36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-351155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-333375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March 31, 2025 and 2024 was $0.23 and $1.24, respectively. The aggregate intrinsic value is calculated as the difference between the exercise price and the market price of the Company’s common stock at March 31, 2025 and December 31, 2024.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utilized the Black-Scholes option-pricing model for estimating the fair value of the stock options. The following table presents the assumptions and the Company’s methodology for developing each of the assumptions used: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6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96.66%</w:t>
            </w:r>
          </w:p>
        </w:tc>
        <w:tc>
          <w:tcPr>
            <w:tcW w:w="18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94.20% - 102.54%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6.08</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6.08</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18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3.98% - 4.16%</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6" w:lineRule="exact"/>
        <w:rPr>
          <w:sz w:val="20"/>
          <w:szCs w:val="20"/>
          <w:color w:val="auto"/>
        </w:rPr>
      </w:pPr>
    </w:p>
    <w:p>
      <w:pPr>
        <w:ind w:left="520" w:right="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Volatility—The Company estimates the expected volatility of its common stock at the date of grant based on the historical volatility of comparable public companies over the expected term.</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life—The expected term represents the period that the Company’s stock option grants are expected to be outstanding. The expected term of the options granted to employees and non-employee directors by the Company has been determined utilizing the "simplified" method for awards that qualify as "plain-vanilla" options. Under this approach, the weighted-average expected life is presumed to be the average of the vesting term and the contractual term of the option.</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rate for periods within the estimated life of the stock award is based on the U.S. Treasury yield curve in effect at the time of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rate—The assumed dividend yield is based upon the Company’s expectation of not paying dividends in the foreseeable future.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recorded in the following line items in the condensed statements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(in thousands):</w:t>
      </w:r>
    </w:p>
    <w:p>
      <w:pPr>
        <w:spacing w:after="0" w:line="227"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8"/>
                <w:szCs w:val="18"/>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 related tax benefits from stock-based compensation expense were recognized for the three months ended March 31, 2025 and 2024. As of March 31, 2025, there was $4.2 million in unrecognized stock-based compensation expense, which is expected to be recognized over a weighted-average period of 1.97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LICENSE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Emory University, Children’s Healthcare of Atlanta, Inc. and UAB Research Foundation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consideration of the license granted under the Emory License Agreement, the Company paid Emory University a nominal upfront payment. In addition, the Company is required to pay Emory University development milestones totaling up to an aggregate of $1.4 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of the Emory License Agreement will continue until 15 years after the first commercial sale of the licensed product, or the expiration of the relevant licensed patents, whichever is later. 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UABRF</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consideration of the license granted under the UABRF License Agreement, the Company paid UABRF a nominal upfront payment and issued 91,250 shares of common stock to UABRF, which were subject to certain antidilution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pay UABRF development milestones totaling up to an aggregate of $1.4 million, lump-sum royalties on cumulative net sales totaling up to an aggregate of $22.5 million, mid-single-digit running royalties on net sales of the licensed products, low-single-digit running royalties on net sales of the licensed products, and a share of certain non-royalty income that the Company may receive, including from any sublicenses. The UABRF License Agreement also requires the Company to reimburse UABRF for the cost of the prosecution and maintenance of the licensed patents.</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UABRF License Agreement, the Company is required to use good faith reasonable commercial efforts to develop, manufacture and commercialize the licensed product.</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the development and commercialization plan, if the Company underreports its payment obligations or underpays by more than a specified threshold, if the Company challenges the validity or enforceability of any licensed patents, or if the Company becomes bankrupt or insolvent.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shares of common stock outstanding during the period, including pre-funded warrants to purchase shares of common stock. Diluted net loss per share is the same as basic net loss per share for the periods presented since the effects of potentially dilutive securities are antidilutive given the net loss of the Company.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(in thousands, except share and per share amounts):</w:t>
      </w:r>
    </w:p>
    <w:p>
      <w:pPr>
        <w:spacing w:after="0" w:line="24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2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(5,550)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(8,562)</w:t>
            </w:r>
          </w:p>
        </w:tc>
      </w:tr>
      <w:tr>
        <w:trPr>
          <w:trHeight w:val="20"/>
        </w:trPr>
        <w:tc>
          <w:tcPr>
            <w:tcW w:w="7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share—basic and diluted</w:t>
            </w:r>
          </w:p>
        </w:tc>
        <w:tc>
          <w:tcPr>
            <w:tcW w:w="5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(0.20)</w:t>
            </w:r>
          </w:p>
        </w:tc>
      </w:tr>
      <w:tr>
        <w:trPr>
          <w:trHeight w:val="20"/>
        </w:trPr>
        <w:tc>
          <w:tcPr>
            <w:tcW w:w="7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share—basic and diluted</w:t>
            </w:r>
          </w:p>
        </w:tc>
        <w:tc>
          <w:tcPr>
            <w:tcW w:w="5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83,482,125</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43,287,325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-333375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p>
      <w:pPr>
        <w:spacing w:after="0" w:line="18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8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13,828,294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7,707,784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11,803,829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11,823,829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11,823,829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11,823,829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30,574,044</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68,029,996</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31,355,442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left="520" w:right="7520" w:hanging="512"/>
        <w:spacing w:after="0" w:line="378" w:lineRule="auto"/>
        <w:tabs>
          <w:tab w:leader="none" w:pos="28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Intellectual Property</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 years from first commercial sale or expiration of the last-to-expire component of the licensed intellectual property.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At each reporting date, the Company evaluates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12. EQUIPMENT AND FACILITY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historically entered into lease arrangements for its facilities. As of March 31, 2025, the Company had four operating leases with required future minimum payments. The Company determined the classification of these leases to be operating leases and recorded right-of-use assets and lease liabilities as of the effective date. The Company’s leases generally do not include termination or purchase options.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with an equipment leasing company in 2018, which provided up to $2.5 million for equipment purchases in the form of sale and leasebacks or direct leases. As of March 31, 2025, the Company has seven active leases from the leasing company. The terms of the leases are three years and afterwards provide for either annual extensions or an outright purchase of the equipment.</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with another equipment leasing company in the second quarter of 2023. As of March 31, 2025, the Company has one active lease from this leasing company. In June 2024, the Company entered into a new finance lease agreement with another leasing company. The terms of these lease are three years and afterwards provide for either annual extensions or an outright purchase of the equipment.</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equipment leases require three advance rental payments to be held as security deposits. The security deposits held amounted to approximately $0.3 million as of March 31, 2025 and December 31, 2024, and are included in other non-current assets on the condensed balance sheets.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an operating lease for office space in Birmingham, Alabama, which was modified and expanded in March 2024 for a 60-month term ending in March 2029, with an option to extend five years, resulting in an increase to both the right of use assets and operating lease liabilities. Throughout the term of the lease, the Company is responsible for paying certain costs and expenses, in addition to the rent, as specified in the lease, including a proportionate share of applicable taxes, operating expenses and utilities. In April 2025, the Company terminated its operating lease for additional unutilized office space in Birmingham, Alabama. The Company paid a one-time termination fee of $0.1 million and will pay five monthly payments of $20,000, beginning on June 1, 2025.</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an operating lease for office space in New York, New York, with a term that commenced on September 15, 2021, and continues through March 2027. Throughout the term of the lease, the Company is responsible for paying certain costs and expenses, in addition to the rent, as specified in the lease, including a proportionate share of applicable taxes, operating expenses and utilities.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operating leases require security deposits at the inception of each lease. The security deposits amounted to $0.3 million as of March 31, 2025 and December 31, 2024. As of March 31, 2025 and December 31, 2024, $0.3 was included in restricted cash and $0 was included in other current assets.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and other information pertaining to the Company’s finance and operating leases for the three months ended March 31, 2025 and 2024 (in thousands):</w:t>
      </w:r>
    </w:p>
    <w:p>
      <w:pPr>
        <w:spacing w:after="0" w:line="18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finance right-of-use assets</w:t>
            </w:r>
          </w:p>
        </w:tc>
        <w:tc>
          <w:tcPr>
            <w:tcW w:w="45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3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cost</w:t>
            </w:r>
          </w:p>
        </w:tc>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Short-term lease cost</w:t>
            </w:r>
          </w:p>
        </w:tc>
        <w:tc>
          <w:tcPr>
            <w:tcW w:w="3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Variable lease cost</w:t>
            </w:r>
          </w:p>
        </w:tc>
        <w:tc>
          <w:tcPr>
            <w:tcW w:w="34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50"/>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45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r>
      <w:tr>
        <w:trPr>
          <w:trHeight w:val="628"/>
        </w:trPr>
        <w:tc>
          <w:tcPr>
            <w:tcW w:w="4340" w:type="dxa"/>
            <w:vAlign w:val="bottom"/>
            <w:tcBorders>
              <w:top w:val="single" w:sz="8" w:color="CFF0FC"/>
            </w:tcBorders>
          </w:tcPr>
          <w:p>
            <w:pPr>
              <w:spacing w:after="0"/>
              <w:rPr>
                <w:sz w:val="24"/>
                <w:szCs w:val="24"/>
                <w:color w:val="auto"/>
              </w:rPr>
            </w:pPr>
          </w:p>
        </w:tc>
        <w:tc>
          <w:tcPr>
            <w:tcW w:w="340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Lease Information</w:t>
            </w: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liability – finance leases</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liability – operating leases</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 (years)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the undiscounted cash flows to the operating and finance lease liabilities at March 31, 2025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512</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lease payment</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765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short-term lease liability</w:t>
            </w: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576</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189</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-453390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CODM or decision making group in making decisions on how to allocate resources and assess performance. The Company has one operating segment focused on the discovery, development and commercialization of gamma-delta T cell product candidates for solid and liquid tumors. The CODM is the Company’s CEO. The CEO manages the Company’s operations on a consolidated basis, assesses performance for the operating segment and decides how to allocate resources based on net loss, which is reported on the condensed statements of operations. Depreciation expense, amortization expense, stock-based compensation expense, and non-cash lease expense are significant noncash items included in net loss reviewed by the CEO and are reported on the condensed statements of cash flows. The measure of segment assets is reported on the condensed balance sheets as total consolidated assets.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INB-100 research and development expenses</w:t>
            </w:r>
          </w:p>
        </w:tc>
        <w:tc>
          <w:tcPr>
            <w:tcW w:w="27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INB-200 research and development expenses</w:t>
            </w: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INB-400 research and development expenses</w:t>
            </w:r>
          </w:p>
        </w:tc>
        <w:tc>
          <w:tcPr>
            <w:tcW w:w="1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indirect research and development expenses</w:t>
            </w: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1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27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2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preclinical expenses, interest income and other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 and Exchanges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privately negotiated letter agreements with certain holders of outstanding Series A warrants and Series B warrants (the “Participating Holders”) to (i) exercise, for cash, 7,178,934 Series A warrants and 2,142,147 Series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B warrants for the purchase of an aggregate of 9,321,081 shares of common stock, in each case at a reduced exercise price of (a) $0.1844 per share for Participating Holders who are directors or executive officers of the Company and (b) $0.1784 per share for all other Participating Holders (the “Warrant Exercises”) and (ii) exchange certain Series A warrants and Series B warrants for 1,230,449 pre-funded warrants (the “2025 Pre-Funded Warrants”), in each case at a reduced exercise price of (a) $0.1843 per share for Participating Holders who are directors or executive officers of the Company and (b) $0.1783 per share for all other Participating Holders (the “Warrant Exchanges”), for aggregate net proceeds of $1.9 million.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Amendment and Series B Warrant Amendment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2025, the Company entered into an Amendment No. 1 (the “SPA Amendment”) to Securities Purchase Agreement, dated September 30, 2024 (the “2023 Purchase Agreement”), to amend the restrictions on certain equity sales by the Company set forth in the 2023 Purchase Agreement. In consideration for the SPA Amendment, the Company entered into amendments with certain holders of the Series B warrants to reduce the exercise price from $1.50 to $0.45 per share, to the extent such warrants were not exercised pursuant to the Warrant Exercises or exchanged pursuant to the Warrant Exchanges.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Pre-Funded Warrants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2025 Pre-Funded Warrants issued in connection with the Warrant Exchanges have an exercise price of $0.0001 per share. Each 2025 Pre-Funded Warrant is exercisable immediately and will be exercisable until such 2025 Pre-Funded Warrant is exercised in full. In lieu of a cash payment to the Company in payment of the aggregate exercise price upon exercise of a 2025 Pre-Funded Warrant, the holder may elect instead to receive upon such exercise (either in whole or in part) the net number of shares of common stock determined according to a formula set forth in the 2025 Pre-Funded Warrants. Under the terms of the 2025 Pre-Funded Warrants, the Company shall not effect the exercise of any portion of any 2025 Pre-Funded Warrant, and a holder shall not have the right to exercise any portion of any 2025 Pre-Funded Warrant, to the extent that after giving effect to such exercise, the holder (together with its affiliates and any other persons acting as a group together with the holder or any of its affiliates) would beneficially own in excess of 4.99% or 9.99%, as applicable, of the number of shares of common stock outstanding immediately after giving effect to such exercise. However, a holder may, upon written notice to the Company, increase or decrease such percentage to any other percentage not in excess of 19.99%; provided that any increase or decrease in such percentage will not be effective until 61 days after such notice is delivered to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statements that may constitute "forward-looking statements" within the meaning of Section 27A of the Securities Act of 1933, as amended, (the "Securities Act"), and Section 21E of the Securities Exchange Act of 1934, as amended (the "Exchange Act"), that involve substantial risks and uncertainties. All statements contained in this Quarterly Report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It is routine for our internal projections and expectations to change throughout the year, and any forward-looking statements based upon these projections or expectations may change prior to the end of the next quarter or year. Readers of this Quarterly Report are cautioned not to place undue reliance on any such forward-looking statements. As a result of a number of known and unknown risks and uncertainties, our actual results or performance may be materially different from those expressed or implied by these forward-looking statements. Risks and uncertainties are identified under "Risk Factors" in Item 1A herein and in our other filings with the Securities and Exchange Commission ("SEC"). All forward-looking statements included herein are made only as of the date hereof. Unless otherwise required by law, we do not undertake, and specifically disclaim, any obligation to update any forward-looking statement, whether as a result of new information, future events, or otherwise after the date of such statement.</w:t>
      </w:r>
    </w:p>
    <w:p>
      <w:pPr>
        <w:spacing w:after="0" w:line="7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financial statements and related notes included elsewhere in this Form 10-Q, and our audited financial statements and related notes for the year ended December 31, 2024 in our Annual Report on Form 10-K for the fiscal year ended December 31, 2024 (the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gamma-delta T cell product candidates and T cell engagers ("TCEs") for cancer and autoimmune diseases. We are the most clinically advanced gamma-delta T cell-focused company and are utilizing our suite of DeltEx platform technologies as we aspire to eliminate cancer cells to achieve our mission of what we refer to as Cancer Zero</w:t>
      </w:r>
    </w:p>
    <w:p>
      <w:pPr>
        <w:spacing w:after="0" w:line="1" w:lineRule="exact"/>
        <w:rPr>
          <w:sz w:val="20"/>
          <w:szCs w:val="20"/>
          <w:color w:val="auto"/>
        </w:rPr>
      </w:pPr>
    </w:p>
    <w:p>
      <w:pPr>
        <w:jc w:val="both"/>
        <w:ind w:firstLine="8"/>
        <w:spacing w:after="0" w:line="251" w:lineRule="auto"/>
        <w:tabs>
          <w:tab w:leader="none" w:pos="1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 elimination of all cancer cells in every patient battling the disease. We develop ex vivo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("iPSC"), genetically modified cell therapy approaches, and TCEs that are designed to effectively identify and eradicate tumor and targeted cells. To date, we have conducted two main investigator-sponsored Phase 1 clinical trials to test our gamma-delta T cell technologies in cancer patients. INB-100 tests our DeltEx Allogeneic ("Allo") gamma-delta T cells in older patients with high-risk leukemias undergoing haploidentical stem cell transplantation ("HSCT") and INB-200 tested our DeltEx Drug Resistant Immunotherapy ("DRI") in newly diagnosed glioblastoma ("GBM") patients. Both trials have demonstrated long-term durable remissions with patients remaining alive and in remission for greater than three years.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INB-100, our first DeltEx allogeneic product candidate, was developed to assess the safety and tolerability of donor-derived expanded and activated gamma-delta T cells that do not undergo additional genetic modification. The Phase 1 trial of INB-100 has completed primary enrollment and a recommended Phase 2 dose ("RP2D") has been determined. We presented updated data at the 2025 Transplantation &amp; Cellular Therapy ("TCT") Meeting in February 2025, demonstrating that 100% of acute myeloid leukemia ("AML") patients across both original and expansion cohorts remain in complete remission ("CR"), with a median follow-up of 20.1 months. Furthermore, these AML patients demonstrated one-year progression-free survival ("PFS") and overall survival ("OS") rates, exceeding real-world control groups obtained from both the Center for International Blood and Marrow Transplant Research ("CIBMTR") and historical patient outcomes data from the Kansas University Cancer Center ("KUCC") where the study is currently being conducted. Patients treated with INB-100 are demonstrating prolonged and durable remissions supported by gamma-delta T cell persistence beyond one year. In 2024, we held a meeting with the U.S. Food and Drug Administration ("FDA") and received regulatory guidance on a Phase 2 trial of INB-100 for the treatment of AML with relapse-free survival as the primary endpoint in a randomized controlled trial. To further de-risk this registrational pathway, we are currently enrolling in an expansion cohort, with a target of up to 25 patients, to confirm the improvements in relapse free and OS observed to date. We expect to complete the enrollment of the expansion cohort in 2025, with long-term follow-up results anticipated in late 2025 and in 2026.</w:t>
      </w:r>
    </w:p>
    <w:p>
      <w:pPr>
        <w:spacing w:after="0" w:line="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DeltEx DRI technology is an innovative and proprietary platform that genetically engineers gamma-delta T cells to allow synergistic combinations with conventional standard-of-care chemotherapies for the treatment of solid-tumor cancers. Our proprietary genetic engineering hijacks the tumor’s own resistance mechanism to a chemotherapy to protect our DRI gamma-delta T cells from the killing effects of such chemotherapies. This allows combination therapies in a manner to drive deeper tumor responses, with the potential for better patient outcomes. Our first indication is newly diagnosed GBM where patient dosing in the investigator-sponsored Phase 1 trial of INB-200 (NCT04165941) has been completed and we continue to follow patients for PFS and OS. We presented an oral plenary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presentation at the Society of Neuro-Oncology ("SNO") Annual Meeting in November 2024 where we provided longer-term patient follow-up. As of October 18, 2024, four patients remained alive and in remission with the longest remaining in remission for a duration exceeding 40.5 months. To date, patients who received repeated doses of INB-200 demonstrated a 79% increase in median PFS (12.4 months) as compared to the standard-of-care Stupp regimen (6.9 months) and an almost 50% increase in median PFS as compared to the 8.3 months in the three patients treated in Cohort 1 of this trial, each who received only a single dose of INB-200.</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INB-400 is the corporate-sponsored investigational new drug application ("IND") for the Phase 2, multi-center clinical trial for our DeltEx DRI technology for the treatment of newly diagnosed GBM. While the IND remains open and we continue to treat any enrolled patients, in September 2024, we implemented a pipeline prioritization, suspending enrollment in the Phase 2 Trial of INB-400. This trial sought to expand the assessment of genetically modified, DRI gamma-delta T cells in newly diagnosed GBM patients in multiple centers across the United States. We will continue to follow any treated patients for safety, PFS and OS with preliminary data to be reported in 2025. We believe our DeltEx DRI gamma-delta T cell therapeutic approach is demonstrating clinical activity and can be applied to multiple solid tumor types. We are seeking alternative funding sources and strategic opportunities to potentially partner this program. In April 2023, we received Orphan Drug Designation for the autologous and allogeneic INB-400 products from the FDA, covering a broad range of malignant glioma indications, including relapsed and newly diagnosed GBM.</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Most recently we introduced INB-600, our proprietary and internally developed T cell engager platform. This platform represents a potentially revolutionary advancement in immunotherapy, harnessing the power of gamma-delta T cells through a distinctive mechanism that optimizes effector function and targeted cytotoxicity. To date, we have observed novel properties by facilitating the exponential expansion of activated gamma-delta T cells to potentially offer a sustained and potent anti-tumor response. This unique capability may not only enhance the immediate cytotoxic effects but can also build a more durable and long-lasting immune response, essential for combating both solid tumors and resistant leukemias/lymphomas as well as sustained target depletion for potential applications in autoimmune diseases. Unlike traditional TCEs, which can cause cytokine release syndrome ("CRS") and T cell exhaustion by broadly activating all T cells, our INB-600 TCE platform selectively activates both Vd1+ and Vd2+ gamma-delta T cell subsets, leveraging their innate ability to recognize tumors with minimal risk of graft-versus-host disease. The dual activation and expansion of Vd1+ and Vd2+ gamma-delta T cell subsets further broadens our therapeutic potential, merging the rapid antigen processing of Vd2+ cells with the enduring stability and potential tissue penetrating properties of Vd1+ cells as an innate immune force multiplier.</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April 2025, at the American Association for Cancer Research ("AACR") Annual Meeting 2025, we presented in vitro studies that demonstrated INB-619 (Targeting CD19) and INB-633 (targeting CD33) induced strong, antigen-specific cytotoxicity against CD19+ acute lymphoblastic leukemia ("ALL") and CD33+ AML cell lines, respectively. Both molecules promoted robust gamma-delta T cell activation and degranulation, with increased expression of IFN-γ, TNF-α, granzyme B, and perforin, indicating a transition to a highly cytotoxic phenotype. Importantly, both engagers exhibited minimal release of inflammatory cytokines typically associated with CRS and tumor promotion, including IL-6, IL-10, and IL-17a. The platform’s ability to deplete B cells also suggests potential for therapeutic applications in B cell driven autoimmune diseases.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INB-600 positions us with promising candidates for a range of potential applications, from solid tumors to autoimmune diseases, with the goal of offering a comprehensive approach to immune system modulation and disease treatment. We expect to present additional preliminary preclinical data at another medical meeting in the spring of 2025.</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also have a portfolio of preclinical programs in development. These include INB-300, which is applicable to both solid and liquid tumors using a targeted non-signaling gamma-delta T cell based chimeric antigen receptor ("nsCAR") construct, and INB-500, which encompasses our ability to produce gamma-delta T cells from iPSCs. iPSCs represent a significant step toward next generation approaches of cellular manufacturing for true allogeneic and potentially "off-the-shelf" innate cell therapies. We presented additional preclinical data for INB-300, demonstrating our proof-of-concept in vitro studies, run in triplicate, against the leukemia antigen targets CD33 and CD123, at the AACR Annual Meeting in 2024. These data demonstrated the ability of our nsCAR constructs to distinguish between tumor tissue and healthy tissue. We plan to continue to optimize the nsCAR construct for advancement towards animal models, IND enabling studies and opportunities for potential partnership.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88265</wp:posOffset>
            </wp:positionV>
            <wp:extent cx="6172200" cy="3471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inception in 2016, our operations have focused on identifying and developing potential product candidates, conducting clinical trials, organizing and staffing, business planning, establishing our intellectual property portfolio, raising capital, and providing general and administrative support for these operations. We do not have any product candidates approved for sale and have not generated any revenue. We have funded our operations primarily through the sale of equity and equity-linked securities, including through our initial public offering ("IPO"), follow-on offering, our at-the-market ("ATM"), program with Cantor Fitzgerald &amp; Co. ("Cantor Fitzgerald"), and the Private Placements (as defined below).</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Based on our business strategy, our existing cash of $11.9 million as of March 31, 2025 is not anticipated to fund the Company’s projected operating expenses and capital expenditure requirements for a period of at least 12 months from the date of issuance of these condensed financial statements, and accordingly, there is substantial doubt about the Company’s ability to continue to operate as a going concern.</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continue to deploy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and workforce reduction, raising additional capital through some combination of equity and/or debt offerings, including through our ATM program, and identifying strategic collaborations, licensing or other arrangements to support development of our product candidates. In addition, as of May 1, 2025, we may receive an additional $1.9 million and $8.1 million in aggregate proceeds if the holders of our Series A warrants and Series C warrants exercise their warrants, respectively. Further, if not otherwise redeemed by us, we may also receive aggregate proceeds of up to $4.1 million from the exercise of our outstanding Series B warrants. There is no assurance, however, that we will receive any additional proceeds from the Private Placements or that any additional financing or any revenue-generating collaboration will be available when needed, that management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cost preservation measures initiated to date to address our liquidity needs, including exploring other strategic options, continuing to further reduce operating expense or delaying, reducing the scope of, discontinuing or altering our research and development activities. For additional information, see "—Liquidity" below.</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those described in the section titled "Risk Factors." The financial statements have been prepared on the basis that we will continue as a going concern and do not include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 and Exchanges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2025 we entered into privately negotiated letter agreements with certain holders (the “Participating Holders”) of outstanding Series A warrants (“Series A warrants”) and Series B warrants (“Series B warrants”) to (i) exercise, for cash, 7,178,934 Series A warrants and 2,142,147 Series B warrants for the purchase of an aggregate of 9,321,081 shares of common stock (the “Warrant Exercises”) and (ii) exchange certain Series A warrants and Series B warrants for 1,230,449 pre-funded warrants (the “Warrant Exchanges”), for aggregate net proceeds of $1.9 million. See Note 14, Subsequent Events, in our financial statements contained elsewhere in this Quarterly Report for additional information,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Amendment and Series B Warrant Amendment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2025, we entered into an Amendment No. 1 (the “SPA Amendment”) to Securities Purchase Agreement, dated September 30, 2024 (the “2023 Purchase Agreement”), to amend the restrictions on certain equity sales by us set forth in the 2023 Purchase Agreement. In consideration for the SPA Amendment, we entered into amendments with certain holders of the Series B warrants to reduce the exercise price from $1.50 to $0.45 per share (the “Amended Series B warrants”), to the extent such warrants were not exercised pursuant to the Warrant Exercises or exchanged pursuant to the Warrant Exchanges. See Note 14, Subsequent Events, in our financial statements contained elsewhere in this Quarterly Report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include:</w:t>
      </w:r>
    </w:p>
    <w:p>
      <w:pPr>
        <w:spacing w:after="0" w:line="54"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related-benefits, severance payments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for services directly related to our product development and regulatory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conducting preclinical studies performed by ourselves, outside vendors or academic collaborators;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conducting clinical trials including investigator grants and site payments for time and pass-through expenses and expenses incurred under agreements with contract research organizations ("CROs") as well as contract manufacturing organizations ("CMOs") and consultants that conduct and provide supplies for our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manufacture drug product candidates for use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activities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each product candidate. Preclinical expenses consist of external research and development costs associated with activities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support our current and future clinical programs but are not allocated by product candidate due to the overlap of the potential benefit of those efforts across multiple product candidates.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We expect that our research and development expenses will continue to increase for the foreseeable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shared expenses for rent and maintenance of facilities and other operating costs not included in research and development.</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includes interest earned from certain bank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2025 and 2024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tcBorders>
              <w:bottom w:val="single" w:sz="8" w:color="auto"/>
            </w:tcBorders>
            <w:gridSpan w:val="6"/>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3800" w:type="dxa"/>
            <w:vAlign w:val="bottom"/>
          </w:tcPr>
          <w:p>
            <w:pPr>
              <w:spacing w:after="0"/>
              <w:rPr>
                <w:sz w:val="18"/>
                <w:szCs w:val="18"/>
                <w:color w:val="auto"/>
              </w:rPr>
            </w:pPr>
          </w:p>
        </w:tc>
        <w:tc>
          <w:tcPr>
            <w:tcW w:w="3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3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40" w:type="dxa"/>
            <w:vAlign w:val="bottom"/>
            <w:gridSpan w:val="3"/>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(1,931)</w:t>
            </w:r>
          </w:p>
        </w:tc>
      </w:tr>
      <w:tr>
        <w:trPr>
          <w:trHeight w:val="216"/>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(1,054)</w:t>
            </w:r>
          </w:p>
        </w:tc>
      </w:tr>
      <w:tr>
        <w:trPr>
          <w:trHeight w:val="20"/>
        </w:trPr>
        <w:tc>
          <w:tcPr>
            <w:tcW w:w="380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(2,985)</w:t>
            </w: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20" w:type="dxa"/>
            <w:vAlign w:val="bottom"/>
            <w:gridSpan w:val="2"/>
            <w:shd w:val="clear" w:color="auto" w:fill="CFF0FC"/>
          </w:tcPr>
          <w:p>
            <w:pPr>
              <w:spacing w:after="0"/>
              <w:rPr>
                <w:sz w:val="21"/>
                <w:szCs w:val="21"/>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(5,550)</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(8,562)</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shd w:val="clear" w:color="auto" w:fill="CFF0FC"/>
          </w:tcPr>
          <w:p>
            <w:pPr>
              <w:spacing w:after="0"/>
              <w:rPr>
                <w:sz w:val="21"/>
                <w:szCs w:val="21"/>
                <w:color w:val="auto"/>
              </w:rPr>
            </w:pPr>
          </w:p>
        </w:tc>
      </w:tr>
      <w:tr>
        <w:trPr>
          <w:trHeight w:val="629"/>
        </w:trPr>
        <w:tc>
          <w:tcPr>
            <w:tcW w:w="3800" w:type="dxa"/>
            <w:vAlign w:val="bottom"/>
            <w:tcBorders>
              <w:top w:val="single" w:sz="8" w:color="CFF0FC"/>
            </w:tcBorders>
          </w:tcPr>
          <w:p>
            <w:pPr>
              <w:spacing w:after="0"/>
              <w:rPr>
                <w:sz w:val="24"/>
                <w:szCs w:val="24"/>
                <w:color w:val="auto"/>
              </w:rPr>
            </w:pPr>
          </w:p>
        </w:tc>
        <w:tc>
          <w:tcPr>
            <w:tcW w:w="2660" w:type="dxa"/>
            <w:vAlign w:val="bottom"/>
            <w:tcBorders>
              <w:top w:val="single" w:sz="8" w:color="CFF0FC"/>
            </w:tcBorders>
          </w:tcPr>
          <w:p>
            <w:pPr>
              <w:jc w:val="right"/>
              <w:ind w:right="656"/>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-1508125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-1508125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-1224915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-1224915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-933450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-916305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-933450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2025 and 2024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 research and development expenses: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INB-100</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1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INB-200</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INB-400</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Preclinical expenses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Personnel-related expenses (including stock-based compensation)</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Facility-related and other expenses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$3.0 million for the three months ended March 31, 2025, compared to $4.9 million for the comparable prior year period. These amounts include non-cash items such as stock-based compensation ("SBC") and depreciation. The decrease of $1.9 million was primarily due to a $1.3 million decrease in personnel-related costs, including salaries and SBC as a result of the decrease in our headcount. Direct clinical costs decreased by $0.7 million due to decreased costs for INB-200 and INB-400, partially offset by an increase of $0.1 million in direct clinical costs for INB-100.</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$2.7 million for the three months ended March 31, 2025, compared to $3.7 million for the comparable prior year period. These amounts include non-cash items such as SBC and depreciation. The decrease of $1.0 million was primarily due to a decrease in personnel-related costs, including SBC, cost savings related to directors' and officers' insurance premiums and a reduction in professional services.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was $0.1 million for the three months ended March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primarily through the sale of equity and equity-linked securities, including through our IPO, follow-on offering, our ATM program and the Private Placements (as defined below). Through March 31, 2025, we have raised an aggregate of $135.9 million of gross proceeds from the sale of our securities.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2025, we had cash of $11.9 million, excluding net proceeds of $1.9 million received from the Warrant Exercises and Warrant Exchanges between March 31, 2025 and May 2, 2025. Our current plan of operation is to execute our business strategy, by advancing clinical development of INB-100, and progressing our other product candidates, including our preclinical pipeline and strengthening our internal research and development capabilities. Additionally we are actively seeking potential collaborative partners for INB-400 and our earlier stage assets. Based on this business strategy, our existing cash as of March 31, 2025 is only expected to fund the projected operating expenses and capital expenditure requirements into March 2026. To continue to fund the operations of the Company beyond this time period, management has developed plans, which primarily consist of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Private Placement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2024, the Company issued and sold units, comprised of an aggregate of 25,696,305 shares of the Company's common stock, 5,646,853 Pre-Funded warrants (the “2024 Pre-Funded Warrants”) and 31,343,158 Series C warrants, for net proceeds of $11.6 million after deducting placement agent fees and other estimated private placement expenses (the “2024 Private Placement”). The 2024 Pre-Funded Warrants have an exercise price of $0.0001 and the Series C warrants have an exercise price of $0.27 per share. Each 2024 Pre-Funded Warrant is exercisable immediately and remains exercisable until exercised in full and each Series C warrant is exercisable immediately and will expire on October 4, 2027.</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2023 Private Placement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Company issued 574,241 pre-funded warrants (the “2023 Pre-Funded warrants”), 11,823,829 Series A warrants and 11,823,829 Series B warrants, for net proceeds of $13.5 million (the “2023 Private Placement” and, together with the 2024 Private Placement, the “Private Placements”). The 2023 Pre-Funded warrants have an exercise price of $0.0001 per share, are exercisable immediately and are exercisable until the 2023 Pre-Funded warrant is exercised in full. The Series B warrants have an exercise price of $1.50 per share. The Series B warrants are exercisable immediately and expire on December 13, 2028. The Series B warrants allow the Company to redeem such warrants at a price of $0.01 per Series B warrant upon the Company’s public announcement of its INB-100 data for all enrolled patients covering a period of at least 22 months, along with certain stock price and trading volume requirements. Holders of Series B warrants may choose to exercise such warrants at a purchase price of $1.50 per share prior to such redemption.</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2024 Private Placement, the Company amended certain of the Company’s outstanding Series A warrants, representing approximately 11,714,076 shares of the Company’s common stock, to (i) reduce the exercise price from $1.25 to $0.45 per share and (ii) extend the termination date of such Series A warrants to October 4, 2025 (the “Amended Series A Warrants”). The remainder of the Series A warrants (the “Unamended Series A warrants” and, together with the Amended Series A Warrants, the “Series A warrants”) have an exercise price of $1.25 per share.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April 2025, in connection with the SPA Amendment, we amended certain of our outstanding Series B warrants not exercised pursuant to the Warrant Exercises or exchanged pursuant to the Warrant Exchanges, to reduce the exercise price from $1.50 to $0.45 per share.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we had issued and outstanding 6,221,094 pre-funded warrants, 11,803,829 Series A warrants (subject to amendment as described below), 11,823,829 Series B Warrants, and 29,930,500 Series C warrants. Inc connection with teh Warrant Exercises, holders exercised 7,178,934 Series A warrants and 2,142,147 Series B warrants. In connection with the Warrant Exchanges, holders exchanged 656,208 Series A warrants and 574,241 Series B warrants for 1,230,449 pre-funded warrants.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After giving effect to the Warrant Exchanges and Warrant Exercises, we may receive up to an aggregate of $9.9 million of gross proceeds from the exercise of the Series A warrants, Series C warrants and pre-funded warrants, assuming the exercise in full of all of such warrants for cash. Further, after giving effect to the Warrant Exchanges and Warrant Exercises, if not otherwise redeemed by us, we may also receive aggregate proceeds of up to $4.1 million from the exercise of our outstanding Amended Series B warrants. There is no assurance, however, that we will receive any additional proceeds from these warrants or that any additional financing or any revenue-generating collaboration will be available, when needed. See Note 7, Warrants, for additional information.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November 2022, we filed a shelf registration statement on Form S-3 (File No. 333-268288), or the Shelf Registration Statement, with the SEC, which permits the offering, issuance and sale by us of up to a maximum aggregate offering price of $200 million of our securities, of which $50 million of common stock may be issued and sold pursuant to an ATM program.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and Truist, under which Cantor Fitzgerald and Truist agreed to act as our sales agents to sell shares of our common stock, from time to time, through the ATM program. On March 8, 2024, the Company delivered a termination notice to Truist, removing them as a sales agent under the ATM program. Such termination became effective on March 14, 2024. During the three months ended March 31, 2025, we sold an aggregate of 7,362,852 shares of our common stock under the ATM program, resulting in net proceeds of approximately $3.7 million after deducting underwriting discounts.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68"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preclinical development, and clinical trials for our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clinical and commercial supplies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interruptions, delays and/or cost increases resulting from public health crises, increased interest rates and geopolitical tensions, such as the Israel-Hamas war and the Russia-Ukraine war;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inflationary factors, such as increases in the cost of our clinical trial materials and supplies, interest rates and overhead costs may adversely affect our operating results. Although we do not believe that inflation has had a material impact on our financial position or results of operations to date, we may experience increases in the near future (especially if inflation rates rise) on our operating costs, including our labor costs and research and development costs, due to supply chain constraints, consequences associated with geopolitical tensions such as the Israel-Hamas war and the Russia-Ukraine war, any tariffs enacted by the U.S. government and employee availability and wage increases, which may result in additional stress on our working capital resources.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inception, we have not generated any product revenue and have incurred net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increases in inflation expectations and the recent disruptions to, and volatility in, the credit and financial markets in the United States and worldwide resulting from uncertain economic conditions including inflation expectations and interest rates, uncertainties arising as a result of the change in U.S. federal administration, bank failures, public health crises such as the COVID-19 pandemic, any potential for avian influenza or similar outbreak and other geopolitical tensions, such as the Israel-Hamas war and the Russia-Ukraine war.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material cash requirements as of March 31, 2025 included operating lease commitments, including the lease of our current headquarters office in New York, New York, laboratory and office space in Birmingham, Alabama and a manufacturing service agreement with a third party to engage in research of cell therapy products. As of March 31, 2025, we had fixed lease payment obligations of $5.2 million, with $1.7 million payable within 12 months. In April 2025, we terminated our operating lease for additional unutilized office space in Birmingham, Alabama. We paid a one-time termination fee of $0.1 million, and will pay five monthly payments of $20,000, beginning June 1, 2025. Reflecting this termination, as of May 1, 2025, we had fixed lease payment obligations of $4.3 million, with $1.6 million payable within 12 months. See Note 12, Equipment and Facility Leases, for additional information.</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below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8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(3,122)</w:t>
            </w:r>
          </w:p>
        </w:tc>
        <w:tc>
          <w:tcPr>
            <w:tcW w:w="11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(7,919)</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18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tcPr>
          <w:p>
            <w:pPr>
              <w:spacing w:after="0"/>
              <w:rPr>
                <w:sz w:val="18"/>
                <w:szCs w:val="18"/>
                <w:color w:val="auto"/>
              </w:rPr>
            </w:pP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(8,267)</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was $3.1 million during the three months ended March 31, 2025, primarily due to our net loss of $5.6 million, partially offset by an increase in non-cash charges of $1.5 million and changes in operating assets and liabilities of $0.7 million. Increases in our operating assets and liabilities consisted primarily of $0.6 million in prepaid expenses and other current assets and $0.2 million in accounts payable, partially offset by decreases of $0.1 million in accrued expenses and other current liabilities relating primarily to accrued compensation, accrued clinical trials, and accrued legal. Increases in our non-cash charges consisted primarily of $0.8 million in stock-based compensation, $0.4 million in amortization of right-of-use assets associated with our operating and finance leases for the period and $0.3 million of depreciation.</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was $7.9 million during the three months ended March 31, 2024, primarily due to our net loss of $8.6 million and changes in operating assets and liabilities of $1.1 million, partially offset by an increase in non-cash charges of $1.9 million. Decreases in our operating assets and liabilities consisted primarily of $2.1 million in accrued expenses and other current liabilities relating primarily to accrued compensation, accrued clinical trials, and accrued legal and $0.2 million in long-term operating liabilities, partially offset by an increase of $0.8 million in prepaid expenses and other current assets and $0.5 million in accounts payable. Increases in our non-cash charges consisted primarily of $1.2 million in stock-based compensation due to increased employee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headcount resulting from growth in our business, $0.4 million in amortization of right-of-use assets associated with our operating and finance leases for the period and $0.2 million of depreciation.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used in investing activities was $- million during the three months ended March 31, 2025.</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$0.1 million during the three months ended March 31, 2024, primarily due to purchases of property and equipment and construction in progress activity in relation to capitalized software.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$3.9 million during the three months ended March 31, 2025, primarily due to $3.7 million in net proceeds received from our ATM program, $0.4 million in Series C warrants exercised, partially offset by $0.2 million in principal payments of finance leases.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$0.3 million during the three months ended March 31, 2024, primarily due to principal payments of $0.2 million on our leases and $0.1 million of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condensed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listed below our critical accounting policies that we believe to have the greatest potential impact on our financial statements. Historically, our assumptions, judgments and estimates relative to our critical accounting estimates have not differed materially from actual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financial statements located elsewhere in this Quarterly Report on Form 10-Q. We have listed below our critical accounting estimates and accounting policies that we believe to have the greatest potential impact on our financial statements. Historically, our assumptions, judgments and estimates relative to our critical accounting estimates have not differed materially from actual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We make estimates of our accrued expenses as of each balance sheet date in the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measure all stock-based awards granted to employees, nonemployees and directors based on the fair value on the date of the grant and recognize compensation expense for those awards over the requisite service period, which is generally the vesting period of the respective award. We account for our stock-based compensation as an expense in the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w:t>
      </w:r>
    </w:p>
    <w:p>
      <w:pPr>
        <w:spacing w:after="0" w:line="3" w:lineRule="exact"/>
        <w:rPr>
          <w:sz w:val="20"/>
          <w:szCs w:val="20"/>
          <w:color w:val="auto"/>
        </w:rPr>
      </w:pPr>
    </w:p>
    <w:p>
      <w:pPr>
        <w:jc w:val="both"/>
        <w:ind w:firstLine="8"/>
        <w:spacing w:after="0" w:line="251"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we adopted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ASU 2023-07 effective January 1, 2025. See Note 13, Segments, in the accompanying notes to the condensed financial statements for further detail. Additionally, there is no pending accounting guidance that we expect to have a material impact on the condensed financial statements.</w:t>
      </w:r>
    </w:p>
    <w:p>
      <w:pPr>
        <w:spacing w:after="0" w:line="7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ASU 2023-09,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 (Topic 740): Improvements to Income Tax Disclosures</w:t>
      </w:r>
      <w:r>
        <w:rPr>
          <w:rFonts w:ascii="Times New Roman" w:cs="Times New Roman" w:eastAsia="Times New Roman" w:hAnsi="Times New Roman"/>
          <w:sz w:val="18"/>
          <w:szCs w:val="18"/>
          <w:color w:val="auto"/>
        </w:rPr>
        <w:t>, which expands the disclosures required for income taxes. This ASU is effective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2024, with early adoption permitted. We are currently evaluating the impact of adopting ASU 2023-09 and we will adopt it for fiscal year ending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qualify as an emerging growth company ("EGC") as defined in the Jumpstart Our Business Startups Act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also a "smaller reporting company," and we may continue to be a smaller reporting company until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10 of Regulation S-K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March 31, 2025, our disclosure controls and procedures were effective at the reasonable assurance level.</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three months ended March 31, 2025,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Selected Risk Factors Associated with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common stock:</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require substantial additional funding to finance our operations through regulatory approval, and if we are unable to raise capital, we could be forced to delay, reduce or explore other strategic options for certain of our development programs, or even terminate our operations.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rights to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a substantial number of shares of our common stock may cause the price of our common stock to decline.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warrants may not be exercised and we may not receive any cash proceeds from any exercise of warrants.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our independent registered public accounting firm for the years ended December 31, 2024 and 2023 contains an explanatory paragraph regarding substantial doubt about our ability to continue as a going concern.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inception and anticipate that we will continue to incur substantial operating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may be limited by applicable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 products approved for commercial sale, which may make it difficult for you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DeltEx product candidates utilize novel approaches to cell therapies, including cancer treatment, which presents significant challenges to successfully develop, manufacture and commercialize our product candidates.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candidate development involves a lengthy and expensive process with uncertain outcomes. We may incur additional costs and encounter substantial delays or difficulties in our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in enrolling patients in our clinical trials, our clinical development activities could be delayed or otherwise adversely affected.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file investigational new drug ("IND") applications to commence additional clinical trials on the timelines we expect, and even if we are able to, the FDA may not permit us to proceed.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both"/>
        <w:ind w:left="503" w:hanging="503"/>
        <w:spacing w:after="0" w:line="261"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product candidate intended for use in combination with an already approved therapy may present increased complexity and more or different challenges than development of a product candidate for use as a single agent or monotherapy. Public opinion and scrutiny of our competitors, cell-based immunotherapy and genetic modification approaches may impact public perception of our company and product candidates, or may adversely affect our ability to conduct our business, raise additional capital and our business plans.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many of our competitors have substantially greater experience and resources than we have.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process is complex, and we may encounter difficulties in production, which would delay or prevent our ability to provide a sufficient supply of our product candidates for future clinical trials or commercialization, if approved.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third-party contractors or contract development manufacturing organization for the manufacturing of our product candidates, and failure by those parties to adequately perform their obligations could harm our business.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healthcare professionals to procure cells for manufacturing and to administer gamma-delta T cells to patients, and our business could be harmed if these third parties administer these processes and/or cells incorrectly.</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5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("CEO"), and Dr. Lawrence Lamb, our Chief Scientific Officer,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spacing w:after="0" w:line="79"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the third parties with whom we work) actual or perceived failures to comply with applicable data privacy and security obligations, including laws, regulations, standards and other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7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all applicable requirements of Nasdaq and it determines to delist our common stock, the delisting could adversely affect the market liquidity of our common stock and the market price of our common stock could decrease.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including as a result of interest rate volatility, inflation expectations, bank closures, public health crises or geopolitical tensions, such as the Russia-Ukraine and/or the Israel-Hamas wars, may have serious adverse consequences on our business, ability to raise capital, financial condition and share price.</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existing cash of $11.9 million as of March 31, 2025 is expected to fund our operations into March 2026. We continue to deploy cash preservation to defer or reduce costs in the near term in order to preserve capital and increase financial flexibility. These cash preservation measures may impact our ability and the timing to execute our strategy. For example, in September 2024, we announced that we have suspended patient enrollment in the INB-400 Phase 2 clinical trial for newly diagnosed GBM while we explore partnership opportunities for the program. Our ability to continue as a going concern will depend on our ability to obtain additional funding, as to which no assurances can be given. We continue to analyze various alternatives, including additional debt or equity financings or other arrangements.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spacing w:after="0" w:line="81"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costs and results of our ongoing preclinical studies and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of other product candidates that we may pursue;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reimbursement and distribution, for any of our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may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milestone and royalty payments with respect to any approved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interest rates, inflation expectations, the U.S. federal election, recent disruptions to and volatility in the credit and financial markets in the United States and worldwide resulting from public health crises and geopolitical tensions, such as the Israel-Hamas war and the Russia-Ukraine war.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will need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if available, through the sale of equity or convertible debt securities, including through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ATM program, your ownership interest in our company may be diluted, and the terms of these securities may include liquidation or other preferences that adversely affect your rights as a stockholder.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including as a result of exercises of the outstanding warrants.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Series A, Series B and Series C warrants may not be exercised and we may not receive any cash proceeds from any exercise of warrants.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2025, we had 6,221,094 pre-funded warrants, 11,803,829 Series A warrants, 11,823,829 Series B warrants, and 29,930,500 Series C warrants outstanding. The pre-funded warrants have an exercise price of $0.0001 per share. Certain of the Series A warrants, as amended (the “Amended Series A warrants”), have an exercise price of $0.45 per share. The remainder of the Series A warrants (the “Unamended Series A warrants” and, together with the Amended Series A warrants, the “Series A warrants”) have an exercise price of $1.25 per share. The Series B warrants have an exercise price of $1.50 per share. The Series C warrants have an exercise price of $0.27 per share.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Series A warrants are exercisable immediately. The Unamended Series A warrants will expire on June 13, 2025 and the Amended Series A warrants will expire on October 4, 2025. The Series B warrants are exercisable immediately and will expire on December 13, 2028. The Series C warrants are exercisable immediately and will expire on October 4, 2025.</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receive up to an aggregate of $31.2 million from the exercise of the Series A, Series B and Series C warrants, assuming the exercise in full of all of the warrants for cash. However, we will only receive proceeds to the extent the holders of warrants elect to exercise or, in the case of the Series A warrants, if the mandatory exercise feature is triggered. We can provide no assurances as to the amount of proceeds we will receive from the exercise of warrants or whether we will receive any proceeds at all. Additionally, the warrants may, in certain circumstances, be exercised by way of a cashless exercise, meaning that the holder may not pay a cash purchase price upon exercise, but instead would receive upon such exercise the net number of shares of our common stock determined according to the formula set forth in the applicable warrant. Accordingly, we may not receive any additional funds, or any significant additional funds, upon any exercise of the warrants. To date 1,412,658 Series C warrants have been exercised for net proceeds of $0.4 million.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report of our independent registered public accounting firm for the years ended December 31, 2024 and 2023 contains an explanatory paragraph regarding substantial doubt about our ability to continue as a going concern.</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Due to the uncertainty of our ability to meet our current operating and capital expenses, in its report on our audited annual financial statements as of and for the years ended December 31, 2024 and 2023,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net loss was $5.5 million and $8.6 million for the three months ended March 31, 2025 and 2024, respectively. As of March 31, 2025, we had an accumulated deficit of $127.2 million. We expect to continue to incur significant expenses and increasing operating losses for the foreseeable future. Since inception, we have devoted substantially all of our efforts to research and preclinical and clinical development of our product candidates, organizing and staffing 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spacing w:after="0" w:line="8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advance our preclinical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of our current and future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capability, including developing our contract development and manufacturing relationships, and building our internal manufacturing facilities;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in the future to commercialize any current or future product candidate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discover, develop and commercialize additional product candidates;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may be limited by applicable laws and regulations.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 products approved for commercial sale, which may make it difficult for you to evaluate the success of our business to date and to assess our future viability.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INB-400, INB-200 and INB-100, business planning and raising capital. Other than INB-200 and INB-100, all of our ongoing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is dependent on our ability to successfully complete development of, obtain regulatory approval for, and, if approved, successfully commercialize our product candidates in a timely manner. We may face unforeseen challenges in our product candidate 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 INB-100, in our ongoing clinical trials. Our product candidates are in early stages of development and may never be commercialized. Additionally, we announced in September 2024 that we have suspended patient enrollment in the INB-400 Phase 2 clinical trial for newly diagnosed GBM while we explore partnership opportunities, if any, for the program. We would require substantial additional funds to recommence this trial.</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anticipate seeking initial regulatory approvals in the United States and the European Union but may in the future submit applications for the regulatory approval of one or more of our product candidates to additional foreign regulatory authorities.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assay development or clinical trials for our product candidates either pre- or post-approval, or it may object to elements of our clinical development program, requiring their alteration. We may also decide to modify clinical protocols or procedures in future clinical trials based on clinical and experimental data.</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a comparable foreign regulatory authority for many reasons, including, among others:</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conduct of any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regulatory agencies that our product candidates are safe and effective, or have a positive benefit/risk profile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our product candidates to support the submission and filing of a Biologics License Application ("BLA")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our manufacturing processes or facilities of third-party manufacturers with whom we contract for clinical and commercial supplies or our own manufacturing facility;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our product candidates are in early stages of development, they will require extensive preclinical and clinical testing. INB-200 and INB-100 are our only product candidates currently in clinical trials. In September 2024, we announced that we have suspended patient enrollment in the INB-400 Phase 2 clinical trial for newly diagnosed GBM while we explore partnership opportunities for the program, if any.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example, although we have undertaken Phase 1 clinical trials for INB-200 and INB-100, and have determined the recommended RP2D for the Phase 2 trial of INB-100, the FDA has not yet made any determination regarding safety and efficacy of either product candidate in the targeted indications. Further, 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such product candidate. Any such delay or abandonment could harm our business, financial condition, results of operations and prospects.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DeltEx product candidates utilize novel approaches to cell therapies, including cancer treatment, which presents significant challenges to successfully develop, manufacture and commercialize our product candidates.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our product candidates represent a novel approach to immunotherapy, including cancer treatment, and we have concentrated significant research and development efforts to date developing our INB-100 and INB-200 product candidates, as well as our additional drug-resistant immunotherapy ("DRI") gamma-delta T cell preclinical product candidates. Gamma-delta T cell immunotherapy is a newly emerging field and our approaches, including genetic modification and DeltEx DRI gamma-delta T cells, have not been extensively tested over any significant period. We have not yet succeeded and may never succeed in demonstrating efficacy and safety for any of our product candidates in clinical trials or in obtaining marketing approval thereafter.</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we are the first company to advance a genetically modified gamma-delta T cell product candidate, INB-200, which we are currently developing for the treatment of certain solid tumors, into the clinic. The manufacture of our cell therapies involves 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delay or difficulties in manufacturing lentiviral vector and/or clinical supply of INB-100, INB-200 or any of our other current or future product candidates would adversely affect our business and operations. For additional details surrounding risks related to our manufacturing process, see the risks highlighted in "Risks Related to Manufacturing and our Dependence on Third Parties," including "—Our manufacturing process is complex and we may encounter difficulties in production, which would delay or prevent our ability to provide a sufficient supply of our product candidates for future clinical trials or commercialization, if approved."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Advancing product candidates utilizing such novel approaches to immunotherapy creates significant challenges for us, including, among others:</w:t>
      </w:r>
    </w:p>
    <w:p>
      <w:pPr>
        <w:spacing w:after="0" w:line="117"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 to our specifications and in a timely manner to support our clinical trials, and, if approved,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clinical and, if approved, commercial supplies for the raw materials used to manufacture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addressing variability in the quality of a donor and/or patient’s T cells, which could ultimately affect our ability to produce our product candidates in a reliable and consistent manner;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or other lymphodepletion agents in advance of administering our product candidates, which may increase the risk of adverse side effects;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how to properly isolate cells, administer our cells and the potential side effect profile of our product candidates, such as cytokine release syndrome, neurotoxicity, graft versus host disease, prolonged cytopenia, infections, hygromas and neutropenic sepsis, among others;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patients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technicians in how to properly manufacture our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reliable, safe, effective and cost-effective means of consistently expanding and manufacturing our cells;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addressing variability in demand for manufacturing and its impact on capacity utilization of available infrastructure and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reliable, safe and effective means of genetically modifying our cells;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applications for and obtaining regulatory approval, as the FDA and other regulatory authorities have limited experience with commercial development of immunotherapies for cancer and viral associated infectious diseases;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as well as developing a manufacturing process and distribution network to support the commercialization of any approved products.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must be able to overcome these challenges in order for us to successfully develop, commercialize and manufacture our product candidates utilizing our novel approaches to gamma-delta T cell therapies.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gamma-delta T cells have only been evaluated in early clinical trials. These clinical trials were primarily designed to evaluate safety and tolerability, and not designed to produce statistically significant results as to efficacy. Most of the data to date regarding gamma-delta T cells were derived from clinical trials not conducted by us, including physician-sponsored clinical 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AML, and our manufacturing process is predominantly based on cells received from healthy haploidentical related donors with at least half of the major human leukocyte antigen ("HLA") types matched. Our clinical development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plan for INB-100 will seek to determine the safety of HLA mismatched, donor-derived gamma-delta T cells and establish the risk of graft versus host disease ("GvHD") if any. While mismatched gamma-delta T cells are not known to initiate GvHD, we observed grade 1 and/or 2 GvHD in approximately 60% of patients treated with INB-100 as of January 17, 2025. We will also seek to better understand the persistence of mismatched gamma-delta T cells and their potential impact on immune reconstitution, clinical activity and duration of response. The grade 1/2 GvHD that we have observed has been responsive to steroid treatment, and we believe that a high degree of HLA matching will not be required to prevent or reduce the risks of GvHD or for clinically meaningful activity and durability of response. Recent competitor data presented at ASCO 2024 demonstrated that persistence of donor derived cells are correlated with levels of HLA matching and they are now advancing their programs to be haploidentical matched as we have in our INB-100 program. If it becomes apparent through preclinical testing or additional clinical trials that such HLA matching is always required, a future "off-the-shelf" product may not be attainable, which could prevent or delay the further advancement of "off-the-shelf" product candidates and adversely affect our business and future development plans. We will also need to demonstrate that our DeltEx platform product candidates are safe.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impose specific post-market requirements, such as establishment of a Risk Evaluation and Mitigation Strategy ("REMS") and request additional information informing benefits or risks of our products may emerge at any time prior to or after regulatory approval.</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product candidate development involves a lengthy and expensive process with uncertain outcomes. We may incur additional costs and encounter substantial delays or difficulties in our clinical trials.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commercialize, market, promote or sell any product candidate without obtaining marketing approval from the FDA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trials for INB-100 and INB-200 involve studying a relatively small patient population, which makes it difficult to predict whether the favorable results observed in such clinical trial will be repeated in larger and more advanced clinical trials.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the design, location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setbacks in patient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conduct additional clinical trials or abandon product development programs.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conditions. Regulatory action or private litigation could result in expenses, delays or other impediments to our research programs or the commercialization of resulting products.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REMS, among other results. We could also encounter delays if physicians encounter unresolved ethical issues associated with enrolling patients in clinical trials of our product candidates in lieu of prescribing existing treatments that have established safety and efficacy profiles.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the FDA or an independent institutional review board ("IRB") may also suspend our clinical trials at any time if it appears that we or our collaborators are failing to conduct a trial in accordance with regulatory requirements, including the FDA’s current Good Clinical Practice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a product candidate intended for use in combination with an already approved therapy may present increased complexity and more or different challenges than development of a product candidate for use as a single agent or monotherapy.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developing certain of our product candidates, including INB-200,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 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prospects should we receive marketing approval. Such developments may include changes to the approved therapy’s safety or efficacy profile, changes to the availability of the approved therapy, and changes to the standard-of-care.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in enrolling patients in our clinical trials, our clinical development activities could be delayed or otherwise adversely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and AML, primarily affect an elderly population over the age of 65, who might suffer from other age-related and unknown and/or pre-existing ailments or health concerns. If any such patient enrolled in our smaller-scale Phase 1 trials has to drop out due to pre-existing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incidence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and the complexity for patients and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health condition of the patient and their gamma-delta T cells and immune cells broadly;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gamma-delta T cell product candidates in sufficient quantities at sufficient activity and/or transduction efficiency to provide a suitable therapeutic dose of gamma-delta T cells;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other new therapeutics, new combination treatments, new medicinal products;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or become standard-of-care for the indications we are investigating;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clinician treatment practices and/or protocols from center to center;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 due to various reasons, including but not limited to, patients’ unwillingness to participate due to public health crises;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subjects will drop out, develop complications or die before completion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and provide appropriate screening, product characterization and release assays;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a clinical trial or returning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requisite materials for a patient and clinical trial;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clinical sites to enroll patients as health care capacities are required to cope with natural disasters, epidemics or other health system emergencies.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("CROs") and clinical trial sites to ensure proper and timely conduct of our future clinical trials and, while we intend to enter into agreements governing their services, we will be limited in our ability to ensure their actual performance.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For example, in January 2024, FDA required approved CAR-T products to add boxed warning information to their labeling concerning the risk of developing secondary T cell malignancies. If additional clinical experience indicates that any of our product candidates or the use of lentiviral vectors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Undesirable side effects caused by our product candidates, implanted devices, gene-editing methods, delivery methods or dosage levels could cause us or regulatory authorities to interrupt, delay or halt clinical trials and could result in a more restrictive label or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55" w:lineRule="auto"/>
        <w:rPr>
          <w:sz w:val="20"/>
          <w:szCs w:val="20"/>
          <w:color w:val="auto"/>
        </w:rPr>
      </w:pPr>
      <w:r>
        <w:rPr>
          <w:rFonts w:ascii="Times New Roman" w:cs="Times New Roman" w:eastAsia="Times New Roman" w:hAnsi="Times New Roman"/>
          <w:sz w:val="18"/>
          <w:szCs w:val="18"/>
          <w:color w:val="auto"/>
        </w:rPr>
        <w:t>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 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only tested INB-100, INB-200 and INB-400 in a limited number of patients with cancer and these clinical trial participants have only been observed for a limited period of time after dosing at a limited number of sites.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 applications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previously announced our goals for potentially submitting additional INDs for INB-100 and INB-400. We have suspended enrollment for INB-400 as we seek potential partnerships for this program. We may not be able to make additional filings on the timelines we expect, which may cause delays in commencing additional clinical trials. Even if such regulatory authorities agree with the design and implementation of the clinical trials set forth in an IND or clinical trial application, we cannot guarantee that such regulatory authorities will not change their requirements in the future. Moreover, we cannot be sure that submission of an IND for any of our other product candidates will result in the FDA allowing trials to begin, or that, once begun, issues will not arise that result in a decision by us, by IRBs, or independent ethics committees, or by the FDA or other regulatory authorities to suspend or terminate clinical trials. For example, we may experience manufacturing delays or other delays with IND-enabling studies or the FDA or other regulatory authorities may require additional preclinical studies that we did not anticipate. Moreover, we cannot be assured that submission of an IND will result in the FDA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such regulatory authorities agree with the design and implementation of the clinical trials set forth in an IND or clinical trial application, we cannot guarantee that such regulatory authorities will not change their requirements in the future. The inability to initiate clinical trials any of our product candidates on the timeline currently anticipated or at all could have a material adverse effect on our business,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or Fast Track designations and may pursue accelerated approval for some or all of our current product candidates, but we may be unable to obtain such designations or, where obtained, we may be unable to maintain breakthrough therapy designation or obtain or maintain the benefits associated with such designations.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designations and may pursue accelerated approval for INB-100, INB-200 and some or all of our other and future product candidates. Breakthrough therapy designation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orphan drug designation for INB-400 in the past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April 2023, we received orphan drug designation for the autologous and allogeneic IND-400 product candidate, covering a broad range of malignant glioma treatments, including newly diagnosed glioblastoma. We may continue to seek orphan drug designation for one or more of our current or future product candidates, including INB-100 or its successor.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As previously announced, we received such orphan drug designation for both INB-400 autologous and allogeneic products for malignant gliomas in April 2023.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or discover other product candidates and may fail to capitalize on programs or product candidates that may present a greater commercial opportunity or for which there is a greater likelihood of success.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used may not be 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any product candidates we develop obsolete;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demonstrate harmful side effects or other characteristics that indicate it is unlikely to be effective or otherwise does not meet applicable regulatory criteria;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physicians, patients, the medical community or third-party payors.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product candidate development for other disease indications. If we are unsuccessful in identifying and developing additional product candidates or are unable to do so, our business may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our competitors, cell-based immunotherapy and genetic modification approaches may impact public perception of our company and product candidates, or may adversely affect our ability to raise capital, conduct our business and our business plans.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DeltEx platform utilizes a relatively novel technology involving the genetic modification of human cells and utilization of those modified cells in other individuals. Public perception may be influenced by negative claims about our DeltEx platform, or that of competitor's products and/or programs such as claims that gamma-delta T cell and/or other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many of our competitors have substantially greater experience and resources than we have.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the product candidates we develop will be regulated as biologics, and therefore they may be subject to competition sooner than anticipated.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the approval of a biologic product biosimilar to one of our products could have a material adverse impact on our business as it may be significantly less costly to bring to market and may be priced significantly lower than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Our Dependence on Third Parties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is complex, and we may encounter difficulties in production, which would delay or prevent our ability to provide a sufficient supply of our product candidates for future clinical trials or commercialization, if approved.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Some of our product candidates, including INB-200 and INB-300, as well as our suspended INB-400 program, are genetically engineered human cells, and the process of manufacturing such product candidates, as well as the lentiviral vectors, is complex, highly regulated, variable and subject to numerous risks. Manufacturing our product candidates involves harvesting cells from a donor, isolating cells via leukapheresis, activating and expanding the gamma-delta T cells, cryopreservation, testing, storage and eventually shipment and infusion of the cell product into the patient’s body.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manufacturing process will be susceptible to product loss or failure, or product variation that may negatively impact patient outcomes, due to process and logistical issues associated with the collection of starting material from the donor, shipping such material to the manufacturing site, shipping the final product back to the recipient, preparing the product for administration, infusing the patient with the product, manufacturing issues or different product characteristics resulting from the inherent differences in donor starting materials, variations between reagent lots, interruptions in the manufacturing process, contamination, equipment or reagent failure, improper installation or operation of equipment and/or programs, vendor or operator error, inconsistency in cell growth and variability in product characteristics.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minor variations in starting reagents and materials, or deviations from normal manufacturing processes could result in reduced production yields, product defects, manufacturing failure and other supply disruptions. If, for any reason in our clinical trials, we lose the starting material for a manufactured product for one of our patients at any point in the process, or the expansion or transduction procedures in the manufacturing process should fail for any reason, such patient would no longer receive a dose of the therapy and may end participation in our clinical trial. For instance, operator errors impacting machine function, gas or airflow, or reagent addition can negatively impact the process. Manufacturing by a previously contracted facility has resulted in such operator errors; however, we identified these errors through our quality control procedures prior to patient administration.</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back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make changes to our manufacturing process for various reasons, such as to control costs, increase yield or dose, achieve commercial scale, decrease processing time, increase manufacturing success rate or for other reasons. We previously relocated clinical trial manufacturing for one of our clinical development programs to an academic GMP facility closer to our laboratory headquarters in Birmingham, Alabama to permit us contractual direct access as a means of preventing manufacturing errors. However, even with this contractual direct access and closer collaboration with the facility’s manufacturing staff, there can be no guarantee that manufacturing errors will not occur.</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Changes to our process made during the course of clinical development could require us to show the comparability of the product used in earlier clinical phases or at earlier portions of a trial to the product used in later clinical phases or later portions of the trial.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third-party contractors or contract development manufacturing organization for the manufacturing of our product candidates, and failure by those parties to adequately perform their obligations could harm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Although we endeavor to build and operate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For example, in September 2022, we announced a partnership with the Dunbar CAR T-Cell Program at the University of Louisville as the manufacturing center for our suspended INB-400 clinical program.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such approval or acceptance in the future, we may need to find alternative 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intend to rely on third-party manufacturers to supply us with additional quantities of our product candidates to be used, if approved, for commercialization. We do not yet have a commercial supply agreement for commercial quantities of product. If we are not able to meet market demand for any approved product, it would negatively impact our ability to generate revenue, harm our reputation, and could have an adverse effect on our business and financial condition.</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Further, our reliance on third-party manufacturers entails risks to which we would not be subject if we manufactured product candidates ourselves, including:</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scale-up of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be able to execute our manufacturing procedures and other logistical support requirements appropriately;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fail to comply with cGMP requirements and other inspections by the FDA or other comparable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negotiate manufacturing agreements with third parties under commercially reasonable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with third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single sources for reagents and components;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single-source supplier;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devote sufficient resources to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and our clinical trials and our business could suffer.</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gamma-delta T cell products for INB-100 and INB-200, as well as our suspended INB-400 program,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Our current supply of vectors will cover approximately 189 patients after a large manufacturing run was completed in the first half of 2023. If our third-party contractor is unable to provide adequate lentiviral vectors in a timely manner, our ability to manufacture and supply sufficient quantities of our product candidates for clinical or commercial usage will be delayed or hindered, and our business could suffer.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healthcare professionals to administer gamma-delta T cells to patients, and our business could be harmed if these third parties administer these cells incorrectly.</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we may require an updated and validated protocol for commercial-scale expansion and manufacturing of gamma-delta T cells for conducting pivotal trials and for commercialization of our product candidates, if approved.</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 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developed commercial-scale infrastructure for freezing and thawing large quantities of gamma-delta T cells, which we believe will be required for the storage and distribution of our gamma-delta T cell product candidates at commercial scale.</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third-party manufacturers and suppliers must comply with environmental, health and safety laws and regulations, which can be expensive and restrict or interrupt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our commercialization efforts, research and development 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are conducting our current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and our future CROs will be, required to comply with the good laboratory practices ("GLPs") and GCPs, which are regulations and guidelines enforced by the FDA and comparable foreign regulatory authorities in the form of International Council for Harmonization guidelines for any of our product candidates that are in preclinical and clinical development. The 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the FDA or other regulatory authorities may disagree with the sufficiency of our right of reference to the preclinical, manufacturing or clinical data generated by investigator-sponsored trials or our interpretation of preclinical, manufacturing or clinical data from these investigator-sponsored trials. If so, regulatory authorities may require us to obtain and submit additional preclinical, manufacturing or clinical data before we may initiate further clinical trials and/or obtain any regulatory approvals.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In addition, the current administration has proposed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licensing of intellectual property is of critical importance to our business and to our current and future product candidates, and we expect to enter into additional such agreements in the future. In particular, our product candidates, INB-100, INB-200, INB-300 and INB-400, will or have been are dependent on our license agreements with The UAB Research Foundation ("UABRF") Children’s Healthcare of Atlanta, Inc. ("CHOA") and Emory University ("Emory") and, together with UABRF and CHOA, the Licensors, pursuant to which we have obtained exclusive worldwide licenses under certain immunotherapy related patents and know-how that are critically important for these product candidates.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we have been granted exclusive licenses under the UABRF, CHOA and Emory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meet our obligations under the UABRF, CHOA or Emory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our product candidates. While we would expect to exercise all rights and remedies available to us, including seeking to cure any breach by us, and otherwise seek to preserve our rights under the license agreements, we may not be able to do so in a timely manner, at an acceptable cost or at all. For more information on the UABRF, CHOA and Emory license agreements, see Note 9, License Agreements, in our financial statements contained elsewhere in this Quarterly Report.</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manufacture products embodying such inventions in the United States. Any of the foregoing could harm our competitive position, business, financial condition, results of operations and prospects.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March 31, 2025, we owned, co-owned or exclusively licensed five issued U.S. patents, seven issued European patents, 19 other issued foreign patents, 12 pending U.S. applications, two pending PCT applications and 27 other foreign national-stage applications, including five European regional-phase applications that are important to the development of our business.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Moreover, we may be subject to a third-party pre-issuance submission of prior art or become involved in opposition, derivation, reexamination,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post-grant review or interference proceedings challenging our patent rights or the patent rights of others. The costs of defending our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the research resulting in certain of our owned and in-licensed patent rights and technology was funded in part by the U.S. government.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product candidates such as INB-100, INB-200, INB-300, INB-400, INB-500, and INB-600,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Third parties may assert infringement claims against us based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18"/>
          <w:szCs w:val="18"/>
          <w:color w:val="auto"/>
        </w:rPr>
        <w:t>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Other companies and research institutions have filed, and may file in the future, patent applications related to gamma-delta T cell immunotherapy. Some of these patent applications have already been allowed or issued, and others may issue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Claims that we have misappropriated the confidential information or trade secrets of third parties could have a similar negative impact on our business, financial condition, results of operations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time-consuming and unsuccessful.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current and any future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an adverse effect on our business, financial condition, results of operations, and prospects.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negatively impact our business.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18"/>
          <w:szCs w:val="18"/>
          <w:color w:val="auto"/>
        </w:rPr>
        <w:t>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54"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cells, cell products, genetic modifications, compounds or formulations that are similar to our product candidates but that are not covered by the claims of any patents, should they issue,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patents or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not provide us with any competitive advantages, or may be held invalid or unenforceable as a result of legal challenges;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and Dr. Lawrence Lamb, our Chief Scientific Officer,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co-founders, President and CEO, William Ho, and our Chief Scientific Officer, Dr. Lawrence Lamb. Each of them may currently terminate their employment with us at any time. The loss of the services of either of these persons could impede the achievement of our research, development and commercialization objectives.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or advisory contracts with other entities that may limit their availability to us. If we are unable to continue to attract and retain high-quality personnel, our ability to pursue our growth strategy will be limited.</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workforce reduction undertaken to optimize our cost structure may not achieve our intended outcome.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2024, we announced a plan to optimize our resource allocation through a pipeline prioritization and a workforce reduction of approximately 49% across all functions. These reductions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reductions in force, or if we experience significant adverse consequences from the reductions in force, our business, financial condition, and results of operations may be materially adversely affected. We may undertake further similar cost-saving initiatives, which may include additional restructuring or workforce reductions. These types of cost-reduction activities can be complex and result in unintended consequences and costs, including further attrition beyond the intended number of employees due to decreased employee morale, loss of institutional knowledge and expertise and adversely impact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plan to expand our organization in the future, and we may experience difficulties in managing this growth, which could disrupt our operations.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2025, we had 18 full-time employees. As the clinical development of our product candidates progresses, we expect to require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explore strategic collaborations that may not have the intended benefits or never materialize, or we may be required to relinquish important rights to and control over the development and commercialization of our product candidates to any future collaborators.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enter into strategic partnerships, create joint ventures or collaborations or enter into licensing arrangements with third parties with respect to our product candidates that we believe will complement or augment our business. For example, our business strategy includes broadening our DeltEx platform by exploring strategic partnerships that maximize the potential of our gamma-delta T cell programs. Additionally, we are exploring partnership opportunities for the INB-400 Phase 2 clinical program. As a result, we intend to periodically explore a variety of possible strategic partnerships in an effort to gain access to additional product candidates or resources. These strategic partnerships may include partnerships with large strategic partners.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any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8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substantial operational, financial and management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our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actual or contingent liabilities;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expiration of the arrangement, which would delay the development and may increase the cost of developing our product candidates.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we may not be successful in our efforts to establish a strategic partnership or other alternative arrangements for INB-300, INB-400, INB-600 or any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data and/or potential to demonstrate safety and efficacy. Strategic partners may also delay clinical trials, experience financial difficulties, provide insufficient funding, terminate a clinical trial or abandon a product candidate, which could negatively impact our development efforts. We cannot be certain that we would achieve the revenues or specific net income that justifies such strategic partnerships.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and the third parties with whom we work process sensitive information, and as a result, we and the third parties with whom we work face a variety of evolving threats that could cause security incidents. We also have outsourced elements of our operations to third parties, and as a result we manage a number of third-party vendors and other contractors and consultants who have access to our sensitive information.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systems, cloud-based computing services and those of any third parties with whom we work are vulnerable to damage or interruption from a variety of sources, including cyberattacks, malicious internet-based activity, and online and offline fraud. These threats include, but are not limited to, social-engineering attacks (including through deep fakes, which may be increasingly more difficult to identify as fake, and phishing attacks),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credential harvesting, software bugs, server malfunctions, software or hardware failures, loss of data or other information technology assets, adware, attacks enhanced or facilitated by A.I.,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and are being conducted by sophisticated and organized groups and individuals with a wide range of motives and expertise, including traditional computer "hackers,"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also face increased cybersecurity risks due to the number of our employees who are working remotely, which creates additional opportunities for cybercriminals to exploit vulnerabilities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may discover security issues that were not found during due diligence of such acquired or integrated entities, and it may be difficult to integrate companies into our information technology environment and security program.</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If any of the previously identified or similar threats were to occur and cause interruptions in our operations, it could result in a disruption of our development programs and our business operations, whether due to a loss of our sensitive information or other similar disruptions. For example, we have been the target of unsuccessful phishing attempts in the past and we expect such attempts will continue in the future. In addition, the loss of clinical trial data from completed or future clinical trials could result in delays in our regulatory approval efforts and significantly increase our costs to recover or reproduce the data. Furthermore, our software systems include cloud-based applications that are hosted by third-party service providers with security and information technology systems subject to similar risks.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could incur liability, our competitive position could be harmed and the further development and commercialization of our product candidates could be delayed. Security incidents could lead to material adverse consequences, including but not limited to: government enforcement actions (for example, investigations, fines, penalties, audits, and inspections); additional reporting requirements and/or oversight; restrictions on processing sensitive information (including personal data and clinical trial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 Additionally,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be able to detect and remediate all such vulnerabilities including on a timely basis. Further, we may experience delays in deploying remedial measures designed to address any such identified vulnerabilities.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sensitive information of the Company could be leaked, disclosed, or revealed as a result of or in connection with our employees’, personnel’s, or vendors’ use of generative AI technologies.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substantial losses since inception and do not expect to become profitable in the near future, if ever. In general, under Section 382 of the United States Internal Revenue Code of 1986, as amended ("Code") a corporation that undergoes an "ownership change" is subject to limitations on its ability to utilize its pre-change net operating losses ("NOLs") to offset future taxable income. We may have experienced ownership changes in the past and may experience ownership changes in the future as a result of subsequent changes in our stock ownership (some of which are outside our control). As a result, if and to the extent that we earn net taxable income, our ability to use our pre-change NOLs to offset such taxable income may be subject to limitations.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current U.S. federal tax law, NOLs arising in tax years beginning after December 31, 2017 can be carried forward indefinitely, but the deductibility of these carryforwards is limited.</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realize the future tax benefits of our NOL carryforwards, we must generate taxable income, of which there is no assurance. Accordingly, we have provided a full valuation allowance for deferred tax assets as of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or other claims may, among other things, result in:</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cancellation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clinical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decrease in our stock price;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we develop.</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Regulatory Compliance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for our product candidates, they will remain subject to ongoing regulatory oversight.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 trials, and for surveillance to monitor the quality, safety and efficacy of the product candidate. Such regulatory requirements may differ from country to country depending on where we have received regulatory approval.</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 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 receives marketing approval, it may fail to achieve market acceptance by physicians, patients, third-party payors or others in the medical community necessary for commercial success.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spacing w:after="0" w:line="72" w:lineRule="exact"/>
        <w:rPr>
          <w:sz w:val="20"/>
          <w:szCs w:val="20"/>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efficacy, safety profile, convenience, ease of administration and other potential advantages compared to alternative treatments and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relationships with patient communities;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the product candidate together with other medications.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 or the scientific 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not be successful in commercializing them, if and when they are approved.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 resources to commercialize our product candidates, or we are unable to develop the necessary capabilities on our own, we may be unable 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the FDA, we may never obtain approval outside the United States, which would limit our market opportunities.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("EMA") if we choose to submit a marketing authorization application there, would be a lengthy and expensive process. Even 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product candidates outside the United States, a variety of risks associated with international operations could harm our business.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therapies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due to labor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Israel-Hamas war and the Russia-Ukraine war, natural disasters including earthquakes, typhoons, floods and fires, and public health emergencies.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health information privacy laws, transparency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our Annual Report.</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 candidates, which could make it difficult for us to sell profitably, if approved.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therapy does not imply that an adequate reimbursement rate will be approved. Each payor determines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18"/>
          <w:szCs w:val="18"/>
          <w:color w:val="auto"/>
        </w:rPr>
        <w:t>whether or not it will provide coverage for a therapy, what amount it will pay the manufacturer for the therapy, and on what tier of its formulary it will be placed. The position on a payor’s list of covered products,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may instead be bundled as part of a capitated payment received by the provider for the procedure only. We cannot be sure that the clinical results of our trials will be sufficient or meaningful to educate hospitals and/or clinicians on the benefits of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 Even if favorable coverage and reimbursement status is attained for one or more products for which we receive regulatory approval, less favorable coverage policies and reimbursement rates may be implemented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negative impact on our business and results of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of 2010, as amended by the Health Care and Education Reconciliation Act of 2010 ("collectively, the ACA"), was passed, which substantially changed the way healthcare is financed by both governmental and private payors in the United States. Since its enactment, however, there have been executive, judicial and Congressional challenges and amendments to the ACA. It is unclear how any such challenges, and the healthcare reform measures of the Trump administration will impact the ACA and our business.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which will remain in effect until 2032, unless additional Congressional action is taken. Additionally, on March 11, 2021, the American Rescue Plan Act of 2021 was signed into law, which eliminates the statutory Medicaid drug rebate cap, previously set at 100% of a drug’s average manufacturer price, for single source and innovator multiple source drugs, effective January 1, 2024. More recently, on August 16, 2022, the Inflation Reduction Act of 2022 ("IRA") was signed into law, which included a number of significant drug pricing reforms, including extending enhanced subsidies for individuals purchasing health insurance coverage in ACA marketplaces through plan year 2025 and a redesign of the Part D benefit, as part of which manufacturers are required to provide discounts on Part D drugs and Part D beneficiaries’ annual out-of-pocket spending will be capped at $2,000 beginning in 2025.</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At this time, the full impact to overall physician reimbursement as a result of the introduction of the Medicare quality payment program remains unclear.</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in the United States there has been heightened governmental scrutiny over the manner in which manufacturers set prices for their marketed products, which has resulted in several Congressional inquiries, Presidential executive orders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(1) directs the U.S. Department of Health and Human Services (“HHS”) to negotiate the price of certain high-expenditure, single-source biologics covered under Medicare that have been on the market for at least 11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reimbursement prices of the first 10 drugs that were subject to price negotiations, although the Medicare Drug Price Negotiation Program is currently subject to legal challenges. On January 17, 2024, HHS selected fifteen additional products covered under Part D for price negotiation in 2025. Each year thereafter more Part B and Part D products will become subject to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18"/>
          <w:szCs w:val="18"/>
          <w:color w:val="auto"/>
        </w:rPr>
        <w:t>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Further, we expect that additional U.S. federal healthcare reform measures will be adopted in the future, any of which could limit the amounts that the U.S. federal government will pay for healthcare products and services, which could result in reduced demand for our current or any future product candidates or additional pricing pressures. We cannot predict the likelihood, nature or extent of government regulation that may arise from future legislation or administrative action in the United States or any other jurisdiction, particularly in light of the outcomes of the recent U.S. Presidential and Congressional elections. If we or any third parties we may engage are slow or unable to adapt to changes in existing or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and directing certain federal agencies to enforce existing law regarding hospital and price plan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"Business—Government Regulation" in our Annual Report.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proposed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participants in connection with clinical trials, and sensitive third-party data (collectively, sensitive information). Our data processing activities subject us to numerous data privacy and security obligations, such as various state, federal and foreign laws, regulations, guidance, industry standards, external and internal privacy and security policies, contracts and other obligations governing the processing of personal data and other sensitive information, such as information that we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or the third parties with whom we work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our operations and business grow, we become subject to or affected by new or additional data protection laws and regulations and face increased scrutiny or attention from regulatory authorities. In the United States, numerous federal and state laws and regulations, including state data breach notification laws, state health information privacy laws, and federal and state consumer protection laws and regulations (i.e., Section 5 of the FTC Act), that govern the collection, use, disclosure, and protection of health-related and other personal data. In addition, we obtain health information from third parties (including research institutions from which we obtain clinical trial data) that are subject to data privacy and security requirements under the Federal Health Insurance Portability and Accountability Act of 1996, as amended by the Health Information Technology for Economic and Clinical Health Act of 2009, and regulations promulgated thereunder (collectively, "HIPAA"). Depending on the facts and circumstances, we could be subject to significant penalties if we violate HIPAA.</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Certain states have also adopted comparable data privacy and security laws and regulations, some of which may be more stringent than HIPAA. For example, the California Consumer Privacy Act of 2018, as amended by the California Privacy Rights Act of 2020 (collectively, the "CCPA"), imposes obligations on covered businesses regarding the personal data of consumers, business representatives, and employees who are California residents, and requires business to provide specific disclosures in privacy notices and honor requests of California residents to exercise certain privacy rights related to their personal data. The CCPA allows for statutory fines for noncompliance and a private right of action for certain data breaches. Although the CCPA exempts some data processed in the context of clinical trials, the CCPA may increase compliance costs and potential liability with respect to other personal data we may maintain about California residents. Other states have enacted data privacy laws as well. Similar laws have been enacted or are being considered in several other states, as well as at the federal and local levels, and we expect more states to pass similar laws in the future, which could further complicate compliance efforts.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affected individuals or regulators in the event of unauthorized access to or disclosure of personal data experienced by us or our service providers. These laws are not consistent, and compliance in the event of a widespread data breach is difficult and can be costly. In addition to government regulation, privacy advocates and industry groups have and may in the future propose self-regulatory standards from time to time. We are, and may in the future become, subject to certain industry standards, or we may elect to comply with such standards.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 GDPR and the UK GDPR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 In Canada, the PIPEDA and various related provincial laws, may apply to our operations.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to relevant U.S.-based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organizations who self-certify compliance and participate in the Framework), these mechanisms are subject to legal challenges, and there is no assurance that we can satisfy or rely on these measures to lawfully transfer personal data to the United States or other countries.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countries outside Europe have also passed or are considering laws requiring local data residency or otherwise impeding the transfer of personal data across borders, which increases the cost and complexity of doing business.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data privacy and security laws, we are bound by other contractual obligations related to data privacy and security, and our efforts to comply with such obligations may not be successful. We also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Although we work to comply with applicable data privacy and security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with whom we work.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Any failure or perceived failure by us or our employees, representatives, contractors, consultants, CROs, collaborators, or other third parties with who we work to comply with such requirements or adequately address data privacy and security concerns, even if unfounded, could result in additional cost and liability to us, damage our reputation, or adversely affect our business and results of operations.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government enforcement actions (i.e.,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be developed or sustained, and you may not be able to sell your shares quickly or at the market price.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our common stock is traded on the Nasdaq Stock Market LLC, ("Nasdaq") the liquidity in our common stock on that stock market remains thin. If an active trading market for our common stock does not continue to be developed or sustained, you may not be able to sell your shares quickly or at all at the market price. An inactive market may also impair our ability to raise capital to continue to fund operations by selling shares of our common stock and may impair our ability to acquire other companies or technologies by using our common stock as consideration.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satisfy all applicable requirements of Nasdaq and it determines to delist our common stock, the delisting could adversely affect the market liquidity of our common stock and the market price of our common stock could decrease.</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maintain the listing of our common stock on Nasdaq, we are required to meet certain listing requirements, including, a minimum closing bid price of $1.00 per share. On August 6, 2024, we received notice from Nasdaq that we are no longer in compliance with Nasdaq’s Listing Rule 5450(a)(1) because the closing bid price of our common stock had fallen below $1.00 per share (the “Minimum Bid Price Requirement”) for 31 consecutive days. In accordance with Nasdaq Listing Rule 5810(c)(3)(A), we had an initial period of 180 calendar days, or until February 3, 2025, to regain compliance with the minimum bid price requirement. On February 7, 2025, we transferred to The Nasdaq Capital Market, and we were afforded an additional 180 calendar day compliance period, or until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August 4, 2025 (the “Compliance Date”), to regain compliance with the Minimum Bid Price Requirement. To regain compliance, the closing bid price of our common stock must be at least $1.00 per share for a minimum of 10 consecutive business days before the Compliance Date.</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assessing all options to regain compliance. At our annual stockholders’ meeting, we have the option to ask our stockholders to approve a reverse stock split in an amount that would satisfy Nasdaq listing requirements. Reverse stock splits are often perceived negatively and announcements of or implementation of a reverse split may cause the market price of our common stock to decline. Reverse stock splits require the approval of a majority of the votes cast by the stockholders entitled to vote thereon at a stockholder meeting. A reverse stock split typically has the effect of reducing the number of holders of shares in “round lots,” meaning those holding 100 or more shares. Another requirement for being listed on Nasdaq is that the Company have a minimum of 300 round lot holders, so if our stock price falls too low, a reverse split may not be sufficient to solve our Nasdaq non-compliance based on the minimum round lot requirement.</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if the market value of our publicly held common stock declines below $1 million, or the closing price of our common stock declines to $0.10 per share or less for 10 consecutive trading days, we would also be subject to Nasdaq delisting proceedings on that basis. Nasdaq’s staff also maintains discretionary authority under its listing rules to delist companies whose capital structure or public offerings raise public interest and investor protection concerns, including as a result of highly dilutive issuances, and it is possible that Nasdaq could assert that our present offering, past offerings that we have consummated, or future offerings we may consummate, raise such concerns.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maintain compliance with the requirements for listing our common stock on Nasdaq. If we are unable to satisfy the Nasdaq criteria for continued listing, our common stock would be subject to delisting. A delisting of our common stock could negatively impact us by, among other things, (i) 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 the future; (v) limiting our ability to use a registration statement to offer and sell freely tradable securities, thereby preventing us from accessing the public capital markets; and (iv) impairing our ability to provide equity incentives to our employees. In addition, delisting from Nasdaq may negatively impact our reputation and, consequently,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volatile and may fluctuate substantially, and you could lose all or part of your investment.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volatile. The stock market in general, and the market for biopharmaceutical and pharmaceutical companies in particular, has experienced extreme volatility that has often been unrelated to the operating performance of particular companies. In addition to the factors discussed in this "Risk Factors" section, the market price for our common stock may be influenced by, among other factors:</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planned or future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and failures of competitive products or therapies or announcements, including patient deaths and clinical holds, by potential competitors of their product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coordinated buying or selling activity in our common stock, including market manipulation;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trading in our common stock or securities derivative thereof, including pursuant to naked, or uncovered, short positions or "short squeezes;"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commentary by investors on the prospects for our business or our common stock on the internet, including blogs, articles and message board, and/or social media and resulting in trading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and a wide bid-ask in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or sales by our stockholders;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inflation expectations, bank closures, public health crises or geographical tensions and wars, such as the Israel-Hamas war and Russia-Ukraine war;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Based upon shares of our common stock outstanding as of May 1, 2025, our executive officers, directors and stockholders who own more than 5% of our outstanding common stock will, in the aggregate, beneficially own shares representing 14% of our outstanding common stock as of the date of this Quarterly Report. If our executive officers, directors and stockholders who own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our stockholders would be entitled to cast to amend or repeal certain provisions of our charter or bylaws.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with respect to any state actions or proceedings under Delaware statutory or common law, the Court of Chancery of the State of Delaware is the exclusive forum for:</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directors, officers, employees or agents arising under the DGCL, our amended and restated certificate of incorporation or our second amended and restated bylaws;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second amended and restated bylaws;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directors, officers, employees or agents that is governed by the internal-affairs doctrine.</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including as a result of inflation expectations, bank closures, public health crises or geopolitical tensions such as the Russia-Ukraine and/or the Israel-Hamas wars, may have serious adverse consequences on our business, financial condition and share price.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elevated interest rates, volatility in the capital markets, significantly reduced liquidity and credit availability, decreases in consumer demand and confidence, declines in economic growth, increases in unemployment rates and uncertainty about economic stability. Similarly, tensions between China and Taiwan and the Russia-Ukraine and the Israel-Hamas wars have created extreme volatility in the global capital markets and is expected to have further global economic consequences, including potential disruptions of the global supply chain, manufacturing and energy markets.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U.S. and other countries may also exacerbate unfavorable macroeconomic conditions, including inflationary pressures, foreign exchange volatility, financial market instability, and economic recessions or downturns, which may also limit our access to capital, or otherwise negatively impact our business and operations. Additionally, 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With the new U.S. administration, additional and higher tariffs and sanctions may be imposed on goods imported from other countries which could increase the cost of goods needed to continue development of our product candidates. Further, such actions by the U.S. could result in retaliatory action by those countries which could impact our ability to profitably commercialize our products in those jurisdictions. As a result, our business, operations and financial condition could be materially harmed.</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such volatility and disruptions may have adverse consequences on us or the third parties on whom we rely. If the equity and credit markets deteriorate, including as a result of inflation expectations, recent bank closures, the changing interest rate environment,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maintain cash deposits in excess of federally insured limits. Adverse developments affecting the financial services industry, such as actual events or concerns involving liquidity, defaults or non-performance by financial institutions could adversely affect our liquidity, current financial condition and projected business operations.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during 2023, the FDIC took over Silicon Valley Bank, Signature Bank, Silvergate Capital Corp., and First Republic Bank, into receivership. Although the FDIC announced that all deposits with these banks would be fully insured, there continues to be uncertainty in the markets regarding the stability of regional banks and the safety of deposits in excess of the FDIC insured deposit limits. If other banks and financial institutions enter receivership or become insolvent in the future in response to financial conditions affecting the banking system and financial markets, our ability to access our existing cash may be threatened. The FDIC only insures accounts in amounts up to $250,000 per depositor per insured bank. If any of the banking institutions in which we have deposited funds ultimately fails, we may lose our deposits over $250,000. The loss of our deposits would have a material adverse effect on our business and financial condition. There can be no assurance that our deposits in excess of the FDIC or other comparable insurance limits will be backstopped by the FDIC or U.S. government, or that any bank or financial institution with which we do business will be able to obtain needed liquidity from other banks, government institutions, or by acquisition in the event of a failure or liquidity crisis. The ultimate outcome of these events cannot be predicted, but these events could have a material adverse effect on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 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continue to be required to devote substantial time to new compliance initiatives.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("EGC") as defined under the Jobs Act, or smaller reporting company, we will continue to incur significant legal, accounting and other expenses that we did not incur as a private company. In addition, the Sarbanes-Oxley Act of 2002 ("Sarbanes-Oxley Act") and rules subsequently implemented by the SEC and The Nasdaq Stock Market LLC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right="7400" w:hanging="512"/>
        <w:spacing w:after="0" w:line="412" w:lineRule="auto"/>
        <w:tabs>
          <w:tab w:leader="none" w:pos="26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color w:val="auto"/>
        </w:rPr>
      </w:pPr>
    </w:p>
    <w:p>
      <w:pPr>
        <w:ind w:left="520" w:right="6140" w:hanging="512"/>
        <w:spacing w:after="0" w:line="412" w:lineRule="auto"/>
        <w:tabs>
          <w:tab w:leader="none" w:pos="27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Initial Public Offering of Common Stock </w:t>
      </w:r>
      <w:r>
        <w:rPr>
          <w:rFonts w:ascii="Times New Roman" w:cs="Times New Roman" w:eastAsia="Times New Roman" w:hAnsi="Times New Roman"/>
          <w:sz w:val="18"/>
          <w:szCs w:val="18"/>
          <w:color w:val="auto"/>
        </w:rPr>
        <w:t>Not applicable.</w:t>
      </w:r>
    </w:p>
    <w:p>
      <w:pPr>
        <w:spacing w:after="0" w:line="4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“non-Rule-10b5-1 trading arrangement,” as each term is defined in Item 408(a) of Regulation S-K, during the fiscal quarter ended March 31, 2025.</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hanging="472"/>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560" w:type="dxa"/>
            <w:vAlign w:val="bottom"/>
            <w:gridSpan w:val="6"/>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656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980" w:type="dxa"/>
            <w:vAlign w:val="bottom"/>
            <w:tcBorders>
              <w:bottom w:val="single" w:sz="8" w:color="0000FF"/>
            </w:tcBorders>
            <w:gridSpan w:val="6"/>
          </w:tcPr>
          <w:p>
            <w:pPr>
              <w:ind w:left="20"/>
              <w:spacing w:after="0" w:line="169"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Amended and Restated Certificate of Incorporation of the Company (incorporated herein by reference to Exhibit 3.1 to the Company’s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7"/>
          </w:tcPr>
          <w:p>
            <w:pPr>
              <w:ind w:left="20"/>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Current Report on Form 8-K (File No. 001-39692), filed with the SEC on August 3,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1000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Second Amended and Restated Bylaws of the Company (incorporated herein by reference to Exhibit 3.1 to the Company’s Current Report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60" w:type="dxa"/>
            <w:vAlign w:val="bottom"/>
            <w:tcBorders>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on Form 8-K (File No. 001-39692), filed with the SEC on December 7, 2023).</w:t>
              </w:r>
            </w:hyperlink>
          </w:p>
        </w:tc>
        <w:tc>
          <w:tcPr>
            <w:tcW w:w="20" w:type="dxa"/>
            <w:vAlign w:val="bottom"/>
            <w:tcBorders>
              <w:bottom w:val="single" w:sz="8" w:color="0000EE"/>
            </w:tcBorders>
          </w:tcPr>
          <w:p>
            <w:pPr>
              <w:spacing w:after="0"/>
              <w:rPr>
                <w:sz w:val="17"/>
                <w:szCs w:val="17"/>
                <w:color w:val="auto"/>
              </w:rPr>
            </w:pPr>
          </w:p>
        </w:tc>
        <w:tc>
          <w:tcPr>
            <w:tcW w:w="4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Rule 15d-14(a) of the Securities Exchange Act of 1934, as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 as amended</w:t>
            </w:r>
            <w:r>
              <w:rPr>
                <w:rFonts w:ascii="Times New Roman" w:cs="Times New Roman" w:eastAsia="Times New Roman" w:hAnsi="Times New Roman"/>
                <w:sz w:val="18"/>
                <w:szCs w:val="18"/>
                <w:color w:val="000000"/>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EE"/>
            </w:tcBorders>
            <w:gridSpan w:val="3"/>
            <w:shd w:val="clear" w:color="auto" w:fill="0000FF"/>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998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Rule 15d-14(a) of the Securities Exchange Act of 1934, as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 as amended</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EE"/>
            </w:tcBorders>
            <w:gridSpan w:val="3"/>
            <w:shd w:val="clear" w:color="auto" w:fill="0000FF"/>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r>
              <w:rPr>
                <w:rFonts w:ascii="Times New Roman" w:cs="Times New Roman" w:eastAsia="Times New Roman" w:hAnsi="Times New Roman"/>
                <w:sz w:val="18"/>
                <w:szCs w:val="18"/>
                <w:color w:val="000000"/>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6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460" w:right="20" w:hanging="452"/>
        <w:spacing w:after="0" w:line="266"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9512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7, 2025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IN8bio, Inc.</w:t>
            </w:r>
          </w:p>
        </w:tc>
        <w:tc>
          <w:tcPr>
            <w:tcW w:w="4300" w:type="dxa"/>
            <w:vAlign w:val="bottom"/>
          </w:tcPr>
          <w:p>
            <w:pPr>
              <w:spacing w:after="0"/>
              <w:rPr>
                <w:sz w:val="20"/>
                <w:szCs w:val="20"/>
                <w:color w:val="auto"/>
              </w:rPr>
            </w:pP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/s/ William Ho</w:t>
            </w:r>
          </w:p>
        </w:tc>
      </w:tr>
      <w:tr>
        <w:trPr>
          <w:trHeight w:val="187"/>
        </w:trPr>
        <w:tc>
          <w:tcPr>
            <w:tcW w:w="3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6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William Ho</w:t>
            </w:r>
          </w:p>
        </w:tc>
      </w:tr>
      <w:tr>
        <w:trPr>
          <w:trHeight w:val="218"/>
        </w:trPr>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6"/>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00" w:type="dxa"/>
            <w:vAlign w:val="bottom"/>
          </w:tcPr>
          <w:p>
            <w:pPr>
              <w:jc w:val="center"/>
              <w:ind w:right="6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/s/ Patrick McCall</w:t>
            </w:r>
          </w:p>
        </w:tc>
      </w:tr>
      <w:tr>
        <w:trPr>
          <w:trHeight w:val="187"/>
        </w:trPr>
        <w:tc>
          <w:tcPr>
            <w:tcW w:w="3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6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Patrick McCall</w:t>
            </w:r>
          </w:p>
        </w:tc>
      </w:tr>
      <w:tr>
        <w:trPr>
          <w:trHeight w:val="218"/>
        </w:trPr>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Secretary</w:t>
            </w:r>
          </w:p>
        </w:tc>
      </w:tr>
      <w:tr>
        <w:trPr>
          <w:trHeight w:val="236"/>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00" w:type="dxa"/>
            <w:vAlign w:val="bottom"/>
          </w:tcPr>
          <w:p>
            <w:pPr>
              <w:jc w:val="center"/>
              <w:ind w:right="65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pacing w:after="0" w:line="200" w:lineRule="exact"/>
        <w:rPr>
          <w:sz w:val="20"/>
          <w:szCs w:val="20"/>
          <w:color w:val="auto"/>
        </w:rPr>
      </w:pPr>
    </w:p>
    <w:p>
      <w:pPr>
        <w:sectPr>
          <w:pgSz w:w="11900" w:h="16838" w:orient="portrait"/>
          <w:cols w:equalWidth="0" w:num="2">
            <w:col w:w="5140" w:space="720"/>
            <w:col w:w="5380"/>
          </w:cols>
          <w:pgMar w:left="320" w:top="98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I, William Ho, certify that:</w:t>
      </w:r>
    </w:p>
    <w:p>
      <w:pPr>
        <w:spacing w:after="0" w:line="167"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IN8bio, Inc.;</w:t>
      </w:r>
    </w:p>
    <w:p>
      <w:pPr>
        <w:spacing w:after="0" w:line="167"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ind w:right="100" w:firstLine="8"/>
        <w:spacing w:after="0" w:line="266"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5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IN8bio, Inc.</w:t>
            </w:r>
          </w:p>
        </w:tc>
        <w:tc>
          <w:tcPr>
            <w:tcW w:w="3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7, 2025</w:t>
            </w:r>
          </w:p>
        </w:tc>
        <w:tc>
          <w:tcPr>
            <w:tcW w:w="35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/s/ William Ho</w:t>
            </w:r>
          </w:p>
        </w:tc>
      </w:tr>
      <w:tr>
        <w:trPr>
          <w:trHeight w:val="187"/>
        </w:trPr>
        <w:tc>
          <w:tcPr>
            <w:tcW w:w="37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920" w:type="dxa"/>
            <w:vAlign w:val="bottom"/>
            <w:tcBorders>
              <w:top w:val="single" w:sz="8" w:color="auto"/>
            </w:tcBorders>
          </w:tcPr>
          <w:p>
            <w:pPr>
              <w:jc w:val="center"/>
              <w:ind w:right="810"/>
              <w:spacing w:after="0" w:line="188" w:lineRule="exact"/>
              <w:rPr>
                <w:sz w:val="20"/>
                <w:szCs w:val="20"/>
                <w:color w:val="auto"/>
              </w:rPr>
            </w:pPr>
            <w:r>
              <w:rPr>
                <w:rFonts w:ascii="Times New Roman" w:cs="Times New Roman" w:eastAsia="Times New Roman" w:hAnsi="Times New Roman"/>
                <w:sz w:val="18"/>
                <w:szCs w:val="18"/>
                <w:b w:val="1"/>
                <w:bCs w:val="1"/>
                <w:color w:val="auto"/>
              </w:rPr>
              <w:t>William Ho</w:t>
            </w:r>
          </w:p>
        </w:tc>
        <w:tc>
          <w:tcPr>
            <w:tcW w:w="60" w:type="dxa"/>
            <w:vAlign w:val="bottom"/>
          </w:tcPr>
          <w:p>
            <w:pPr>
              <w:spacing w:after="0"/>
              <w:rPr>
                <w:sz w:val="16"/>
                <w:szCs w:val="16"/>
                <w:color w:val="auto"/>
              </w:rPr>
            </w:pPr>
          </w:p>
        </w:tc>
      </w:tr>
      <w:tr>
        <w:trPr>
          <w:trHeight w:val="218"/>
        </w:trPr>
        <w:tc>
          <w:tcPr>
            <w:tcW w:w="37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6"/>
        </w:trPr>
        <w:tc>
          <w:tcPr>
            <w:tcW w:w="3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2207"/>
        </w:trPr>
        <w:tc>
          <w:tcPr>
            <w:tcW w:w="37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I, Patrick McCall, certify that:</w:t>
      </w:r>
    </w:p>
    <w:p>
      <w:pPr>
        <w:spacing w:after="0" w:line="167"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IN8bio, Inc.;</w:t>
      </w:r>
    </w:p>
    <w:p>
      <w:pPr>
        <w:spacing w:after="0" w:line="167"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ind w:right="100" w:firstLine="8"/>
        <w:spacing w:after="0" w:line="266"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2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IN8bio, Inc.</w:t>
            </w:r>
          </w:p>
        </w:tc>
        <w:tc>
          <w:tcPr>
            <w:tcW w:w="4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7, 2025</w:t>
            </w:r>
          </w:p>
        </w:tc>
        <w:tc>
          <w:tcPr>
            <w:tcW w:w="32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/s/ Patrick McCall</w:t>
            </w:r>
          </w:p>
        </w:tc>
      </w:tr>
      <w:tr>
        <w:trPr>
          <w:trHeight w:val="187"/>
        </w:trPr>
        <w:tc>
          <w:tcPr>
            <w:tcW w:w="37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jc w:val="center"/>
              <w:ind w:right="5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Patrick McCall</w:t>
            </w:r>
          </w:p>
        </w:tc>
        <w:tc>
          <w:tcPr>
            <w:tcW w:w="60" w:type="dxa"/>
            <w:vAlign w:val="bottom"/>
          </w:tcPr>
          <w:p>
            <w:pPr>
              <w:spacing w:after="0"/>
              <w:rPr>
                <w:sz w:val="16"/>
                <w:szCs w:val="16"/>
                <w:color w:val="auto"/>
              </w:rPr>
            </w:pPr>
          </w:p>
        </w:tc>
      </w:tr>
      <w:tr>
        <w:trPr>
          <w:trHeight w:val="218"/>
        </w:trPr>
        <w:tc>
          <w:tcPr>
            <w:tcW w:w="37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Secretary</w:t>
            </w:r>
          </w:p>
        </w:tc>
      </w:tr>
      <w:tr>
        <w:trPr>
          <w:trHeight w:val="236"/>
        </w:trPr>
        <w:tc>
          <w:tcPr>
            <w:tcW w:w="3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r>
        <w:trPr>
          <w:trHeight w:val="2207"/>
        </w:trPr>
        <w:tc>
          <w:tcPr>
            <w:tcW w:w="37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In connection with the Quarterly Report on Form 10-Q of IN8bio, Inc. (the “Company”) for the period ended March 31, 2025 as filed with the Securities and Exchange Commission on the date hereof (the “Report”), I certify, pursuant to 18 U.S.C. §1350, as adopted pursuant to §906 of the Sarbanes-Oxley Act of 2002, that, to the best of my knowledge:</w:t>
      </w:r>
    </w:p>
    <w:p>
      <w:pPr>
        <w:spacing w:after="0" w:line="385" w:lineRule="exact"/>
        <w:rPr>
          <w:sz w:val="20"/>
          <w:szCs w:val="20"/>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92" w:lineRule="exact"/>
        <w:rPr>
          <w:rFonts w:ascii="Arial" w:cs="Arial" w:eastAsia="Arial" w:hAnsi="Arial"/>
          <w:sz w:val="18"/>
          <w:szCs w:val="18"/>
          <w:color w:val="auto"/>
        </w:rPr>
      </w:pPr>
    </w:p>
    <w:p>
      <w:pPr>
        <w:ind w:left="760" w:right="220" w:hanging="378"/>
        <w:spacing w:after="0" w:line="271"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IN8bio, Inc.</w:t>
            </w:r>
          </w:p>
        </w:tc>
        <w:tc>
          <w:tcPr>
            <w:tcW w:w="4000" w:type="dxa"/>
            <w:vAlign w:val="bottom"/>
          </w:tcPr>
          <w:p>
            <w:pPr>
              <w:spacing w:after="0"/>
              <w:rPr>
                <w:sz w:val="20"/>
                <w:szCs w:val="20"/>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7, 2025</w:t>
            </w:r>
          </w:p>
        </w:tc>
        <w:tc>
          <w:tcPr>
            <w:tcW w:w="34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/s/ William Ho</w:t>
            </w:r>
          </w:p>
        </w:tc>
      </w:tr>
      <w:tr>
        <w:trPr>
          <w:trHeight w:val="187"/>
        </w:trPr>
        <w:tc>
          <w:tcPr>
            <w:tcW w:w="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center"/>
              <w:ind w:right="890"/>
              <w:spacing w:after="0" w:line="188" w:lineRule="exact"/>
              <w:rPr>
                <w:sz w:val="20"/>
                <w:szCs w:val="20"/>
                <w:color w:val="auto"/>
              </w:rPr>
            </w:pPr>
            <w:r>
              <w:rPr>
                <w:rFonts w:ascii="Times New Roman" w:cs="Times New Roman" w:eastAsia="Times New Roman" w:hAnsi="Times New Roman"/>
                <w:sz w:val="18"/>
                <w:szCs w:val="18"/>
                <w:b w:val="1"/>
                <w:bCs w:val="1"/>
                <w:color w:val="auto"/>
              </w:rPr>
              <w:t>William Ho</w:t>
            </w:r>
          </w:p>
        </w:tc>
      </w:tr>
      <w:tr>
        <w:trPr>
          <w:trHeight w:val="218"/>
        </w:trPr>
        <w:tc>
          <w:tcPr>
            <w:tcW w:w="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6"/>
        </w:trPr>
        <w:tc>
          <w:tcPr>
            <w:tcW w:w="4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0" w:type="dxa"/>
            <w:vAlign w:val="bottom"/>
          </w:tcPr>
          <w:p>
            <w:pPr>
              <w:jc w:val="center"/>
              <w:ind w:right="89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7, 2025</w:t>
            </w:r>
          </w:p>
        </w:tc>
        <w:tc>
          <w:tcPr>
            <w:tcW w:w="34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/s/ Patrick McCall</w:t>
            </w:r>
          </w:p>
        </w:tc>
      </w:tr>
      <w:tr>
        <w:trPr>
          <w:trHeight w:val="211"/>
        </w:trPr>
        <w:tc>
          <w:tcPr>
            <w:tcW w:w="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Patrick McCall</w:t>
            </w:r>
          </w:p>
        </w:tc>
      </w:tr>
    </w:tbl>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8"/>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lowerLetter"/>
      <w:start w:val="2"/>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decimal"/>
      <w:start w:val="3"/>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06" Type="http://schemas.openxmlformats.org/officeDocument/2006/relationships/hyperlink" Target="https://www.sec.gov/Archives/edgar/data/1740279/000110465921099436/tm2030088d31_ex3-1.htm" TargetMode="External"/><Relationship Id="rId207" Type="http://schemas.openxmlformats.org/officeDocument/2006/relationships/hyperlink" Target="https://www.sec.gov/Archives/edgar/data/1740279/000119312523290707/d63402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2025-05-07T15:19:34Z</dcterms:created>
  <dcterms:modified xsi:type="dcterms:W3CDTF">2025-05-07T15:19:34Z</dcterms:modified>
</cp:coreProperties>
</file>