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333-282984</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173990</wp:posOffset>
            </wp:positionV>
            <wp:extent cx="123444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55,494,910 Shares of Common Stock</w:t>
      </w:r>
    </w:p>
    <w:p>
      <w:pPr>
        <w:spacing w:after="0" w:line="219" w:lineRule="exact"/>
        <w:rPr>
          <w:sz w:val="24"/>
          <w:szCs w:val="24"/>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covers the offer and resale by the selling stockholders identified in this prospectus or their donees, pledgees, assignees, transferees, distributees or other successors-in-interest (the “selling stockholders”) of up to an aggregate of 55,494,910 shares of our common stock, par value $0.0001 per share, issued by us in a private placement on October 4, 2024 consisting of (i) 25,139,345 shares of our common stock (the “PIPE Shares”), (ii) 2,608,110 shares of our common stock issuable upon the exercise of outstanding pre-funded warrants to purchase shares of our common stock held by certain selling stockholders (the “Pre-Funded Warrant Shares”) and (iii) 27,747,455 shares of our common stock issuable upon the exercise of outstanding common warrants to purchase shares of our common stock held by the selling stockholders (the “Series C Warrant Shares” and, together with the Pre-Funded Warrant Shares, the “Warrant Shares”).</w:t>
      </w:r>
    </w:p>
    <w:p>
      <w:pPr>
        <w:spacing w:after="0" w:line="189" w:lineRule="exact"/>
        <w:rPr>
          <w:sz w:val="24"/>
          <w:szCs w:val="24"/>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such shares. We will, however, receive the net proceeds of any warrants exercised for cash.</w:t>
      </w:r>
    </w:p>
    <w:p>
      <w:pPr>
        <w:spacing w:after="0" w:line="162" w:lineRule="exact"/>
        <w:rPr>
          <w:sz w:val="24"/>
          <w:szCs w:val="24"/>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Sales of the shares by the selling stockholders may occur at fixed prices, at market prices prevailing at the time of sale, at prices related to prevailing market prices or at negotiated prices. The selling stockholders may sell shares to or through underwriters, broker-dealers or agents, who may receive compensation in the form of discounts, concessions or commissions from the selling stockholders, the purchasers of the shares, or both.</w:t>
      </w:r>
    </w:p>
    <w:p>
      <w:pPr>
        <w:spacing w:after="0" w:line="176" w:lineRule="exact"/>
        <w:rPr>
          <w:sz w:val="24"/>
          <w:szCs w:val="24"/>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paying the cost of registering the shares of common stock covered by this prospectus as well as various related expenses. The selling stockholders are responsible for all broker or similar commissions related to the offer and sale of their shares.</w:t>
      </w:r>
    </w:p>
    <w:p>
      <w:pPr>
        <w:spacing w:after="0" w:line="162" w:lineRule="exact"/>
        <w:rPr>
          <w:sz w:val="24"/>
          <w:szCs w:val="24"/>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“INAB.” On November 11, 2024, the last reported sale price of our common stock was $0.332 per share.</w:t>
      </w:r>
    </w:p>
    <w:p>
      <w:pPr>
        <w:spacing w:after="0" w:line="162" w:lineRule="exact"/>
        <w:rPr>
          <w:sz w:val="24"/>
          <w:szCs w:val="24"/>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spacing w:after="0" w:line="163" w:lineRule="exact"/>
        <w:rPr>
          <w:sz w:val="24"/>
          <w:szCs w:val="24"/>
          <w:color w:val="auto"/>
        </w:rPr>
      </w:pPr>
    </w:p>
    <w:p>
      <w:pPr>
        <w:ind w:left="120" w:right="1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7 of this prospectus and any similar section contained in any amendment or supplement to this prospectus or in any filing with the Securities and Exchange Commission that is incorporated by reference into this prospectus.</w:t>
      </w:r>
    </w:p>
    <w:p>
      <w:pPr>
        <w:spacing w:after="0" w:line="181"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12,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22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20" w:type="dxa"/>
            <w:vAlign w:val="bottom"/>
            <w:tcBorders>
              <w:top w:val="single" w:sz="8" w:color="0000EE"/>
            </w:tcBorders>
            <w:gridSpan w:val="2"/>
          </w:tcPr>
          <w:p>
            <w:pPr>
              <w:spacing w:after="0"/>
              <w:rPr>
                <w:sz w:val="17"/>
                <w:szCs w:val="17"/>
                <w:color w:val="auto"/>
              </w:rPr>
            </w:pPr>
          </w:p>
        </w:tc>
        <w:tc>
          <w:tcPr>
            <w:tcW w:w="592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4400" w:type="dxa"/>
            <w:vAlign w:val="bottom"/>
            <w:gridSpan w:val="8"/>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(“SEC”). Under this registration statement, the selling stockholders may sell from time to time in one or more offerings the common stock described in this prospectus.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gamma-delta T cell product candidates for solid and liquid tumors. Gamma-delta T cells are a specialized population of T cells that possess unique properties. They are naturally occurring immune cells that can intrinsically differentiate between healthy and diseased tissue. These cells serve as a functional bridge between innate and adaptive immunity to contribute to direct tumor killing, as well as immune cell recruitment and activation to drive deeper and more comprehensive immune responses. The pivotal role of gamma-delta T cells in immune function and activation against diseases such as cancer underscores their therapeutic potential across a wide range of solid and hematologic malignancies. We develop ex vivo-expanded and activated gamma-delta T cell candidates based upon our deep expertise in gamma-delta T cell biology, proprietary genetic engineering, and cell-type specific manufacturing capabilities, which we refer to collectively as our DeltEx platform. Our platform employs allogeneic, autologous, induced pluripotent stem cell, and genetically modified cell therapy approaches that are designed to effectively identify and eradicate tumor cells. We are the most clinically advanced gamma-delta T cell focused cellular therapy company and are utilizing our suite of DeltEx platform technologies as we aspire to eliminate cancer cells to achieve our mission of what we refer to as Cancer Zero — the safe elimination of all cancer cells in every patient battling the disease. We believe this lofty aspiration will one day be achievable and that it is our responsibility to directly contribute to related global health efforts by pursuing scientific research that will advance cancer treatment.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19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“IN8BIO,” “INEIGHTBIO,” the IN8BIO logo, DeltEx and other trademarks, trade names or service marks of IN8bio, Inc. appearing in this prospectus are the property of IN8bio, Inc.</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(“EGC”), as defined in the Jumpstart Our Business Startups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3"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187"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spacing w:after="0" w:line="189" w:lineRule="exact"/>
        <w:rPr>
          <w:sz w:val="20"/>
          <w:szCs w:val="20"/>
          <w:color w:val="auto"/>
        </w:rPr>
      </w:pPr>
    </w:p>
    <w:p>
      <w:pPr>
        <w:ind w:left="300" w:right="180" w:firstLine="426"/>
        <w:spacing w:after="0" w:line="281"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was less than $700 million at the closing of the initial public offering (“IPO”) and our annual revenue for 2021 was less than $100 million.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64"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300" w:right="20" w:firstLine="426"/>
        <w:spacing w:after="0" w:line="274" w:lineRule="auto"/>
        <w:rPr>
          <w:sz w:val="20"/>
          <w:szCs w:val="20"/>
          <w:color w:val="auto"/>
        </w:rPr>
      </w:pPr>
      <w:r>
        <w:rPr>
          <w:rFonts w:ascii="Times New Roman" w:cs="Times New Roman" w:eastAsia="Times New Roman" w:hAnsi="Times New Roman"/>
          <w:sz w:val="17"/>
          <w:szCs w:val="17"/>
          <w:color w:val="auto"/>
        </w:rPr>
        <w:t>On September 30, 2024, we entered into a Securities Purchase Agreement (the “Purchase Agreement”), pursuant to which we agreed to issue and sell the following securities to the selling stockholders in a private placement transaction (the “Private Placement”): (i) 25,696,305 PIPE Shares; (ii) with respect to certain selling stockholders, pre-funded warrants to purchase an aggregate of 5,646,853 Pre-Funded Warrant Shares (the “Pre-Funded Warrants”); and (iii) common warrants to purchase 31,343,158 Series C Warrant Shares (the “Series C Warrants” and, together with the Pre-Funded Warrants, the “Warrants”). Certain of our directors and officers purchased (i) 556,960 shares of our common stock, (ii) Pre-Funded Warrants to purchase 3,038,743 shares of our common stock and (iii) Series C Warrants to purchase 3,595,793 shares of our common stock in the</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99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4899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00"/>
        <w:spacing w:after="0" w:line="282" w:lineRule="auto"/>
        <w:rPr>
          <w:sz w:val="20"/>
          <w:szCs w:val="20"/>
          <w:color w:val="auto"/>
        </w:rPr>
      </w:pPr>
      <w:r>
        <w:rPr>
          <w:rFonts w:ascii="Times New Roman" w:cs="Times New Roman" w:eastAsia="Times New Roman" w:hAnsi="Times New Roman"/>
          <w:sz w:val="18"/>
          <w:szCs w:val="18"/>
          <w:color w:val="auto"/>
        </w:rPr>
        <w:t>Private Placement, none of which are included in this registration statement. The purchase price per share of common stock and accompanying Series C Warrants was $0.3950, and the purchase price per pre-funded warrant was $0.3949.</w:t>
      </w:r>
    </w:p>
    <w:p>
      <w:pPr>
        <w:spacing w:after="0" w:line="162"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Our total net proceeds from the sale of securities in the Private Placement, after deducting commissions to the placement agent and offering expenses, was approximately $11.6 million, which does not include any proceeds that may be received upon exercise of any warrants issued in the Private Placement. The closing of the Private Placement occurred on October 4, 2024.</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Pre-Funded Warrants have an exercise price of $0.0001 per share, are exercisable immediately and are exercisable until the Pre-Funded Warrant is exercised in full. In lieu of making the cash payment upon exercise of a Pre-Funded Warrant, the holder may elect instead to receive upon such exercise (either in whole or in part) the net number of shares of common stock determined according to a formula set forth in the Pre-Funded Warrants.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Series C Warrants have an exercise price of $0.27 per share, are exercisable immediately and will expire on October 4, 2027.</w:t>
      </w:r>
    </w:p>
    <w:p>
      <w:pPr>
        <w:spacing w:after="0" w:line="225"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Under the terms of the Warrants, we may not give effect to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(the “Exchange Act”)) would exceed 4.99% of the number of shares of common stock outstanding immediately after giving effect to such exercise, which percentage may be increased or decreased at the holder’s election upon notice to us, up to 19.99%.</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(the “RRA”) with the selling stockholders, pursuant to which we agreed to register for resale the PIPE Shares and the Warrant Shares (together, the “Registrable Securities”). Under the RRA, we agreed to file a registration statement covering the resale by the selling stockholders of their Registrable Securities no later than 30 days following the closing of the Private Placement, and to use commercially reasonable efforts to cause such registration statement to become effective as soon as reasonably practicable after filing and in any case not more than 30 days following the filing.</w:t>
      </w:r>
    </w:p>
    <w:p>
      <w:pPr>
        <w:spacing w:after="0" w:line="183"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being filed in part to satisfy the requirements of the Registration Rights Agreement.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880" w:type="dxa"/>
            <w:vAlign w:val="bottom"/>
            <w:tcBorders>
              <w:top w:val="single" w:sz="8" w:color="auto"/>
              <w:left w:val="single" w:sz="8" w:color="auto"/>
            </w:tcBorders>
          </w:tcPr>
          <w:p>
            <w:pPr>
              <w:spacing w:after="0"/>
              <w:rPr>
                <w:sz w:val="24"/>
                <w:szCs w:val="24"/>
                <w:color w:val="auto"/>
              </w:rPr>
            </w:pPr>
          </w:p>
        </w:tc>
        <w:tc>
          <w:tcPr>
            <w:tcW w:w="714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by the selling</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We are registering the resale by the selling stockholders an aggregate of 55,494,910 shares</w:t>
            </w:r>
          </w:p>
        </w:tc>
      </w:tr>
      <w:tr>
        <w:trPr>
          <w:trHeight w:val="234"/>
        </w:trPr>
        <w:tc>
          <w:tcPr>
            <w:tcW w:w="38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stockholders</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common stock, consisting of:</w:t>
            </w:r>
          </w:p>
        </w:tc>
      </w:tr>
      <w:tr>
        <w:trPr>
          <w:trHeight w:val="351"/>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up to 25,139,345 PIPE Shares;</w:t>
            </w:r>
          </w:p>
        </w:tc>
      </w:tr>
      <w:tr>
        <w:trPr>
          <w:trHeight w:val="338"/>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up to 2,608,110 Pre-Funded Warrant Shares; and</w:t>
            </w:r>
          </w:p>
        </w:tc>
      </w:tr>
      <w:tr>
        <w:trPr>
          <w:trHeight w:val="338"/>
        </w:trPr>
        <w:tc>
          <w:tcPr>
            <w:tcW w:w="388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up to 27,747,455 Series C Warrant Shares.</w:t>
            </w:r>
          </w:p>
        </w:tc>
      </w:tr>
      <w:tr>
        <w:trPr>
          <w:trHeight w:val="441"/>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Terms of the offering</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offered in this prospectus, as described in “Plan of Distribution.”</w:t>
            </w:r>
          </w:p>
        </w:tc>
      </w:tr>
      <w:tr>
        <w:trPr>
          <w:trHeight w:val="441"/>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this prospectus. We will, however, receive the exercise price of (i) $0.0001 per share of any</w:t>
            </w:r>
          </w:p>
        </w:tc>
      </w:tr>
      <w:tr>
        <w:trPr>
          <w:trHeight w:val="216"/>
        </w:trPr>
        <w:tc>
          <w:tcPr>
            <w:tcW w:w="388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of the Pre-Funded Warrants and (ii) $0.27 per share of any of the Series C Warrants and, in</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each case exercised for cash.</w:t>
            </w:r>
          </w:p>
        </w:tc>
      </w:tr>
      <w:tr>
        <w:trPr>
          <w:trHeight w:val="441"/>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See “Risk Factors” on page 7 for a discussion of factors you should carefully consider</w:t>
            </w:r>
          </w:p>
        </w:tc>
      </w:tr>
      <w:tr>
        <w:trPr>
          <w:trHeight w:val="234"/>
        </w:trPr>
        <w:tc>
          <w:tcPr>
            <w:tcW w:w="388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before deciding to invest in our common stock.</w:t>
            </w:r>
          </w:p>
        </w:tc>
      </w:tr>
      <w:tr>
        <w:trPr>
          <w:trHeight w:val="459"/>
        </w:trPr>
        <w:tc>
          <w:tcPr>
            <w:tcW w:w="3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ticker symbol</w:t>
            </w:r>
          </w:p>
        </w:tc>
        <w:tc>
          <w:tcPr>
            <w:tcW w:w="71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“INAB”</w:t>
            </w:r>
          </w:p>
        </w:tc>
      </w:tr>
      <w:tr>
        <w:trPr>
          <w:trHeight w:val="186"/>
        </w:trPr>
        <w:tc>
          <w:tcPr>
            <w:tcW w:w="3880" w:type="dxa"/>
            <w:vAlign w:val="bottom"/>
            <w:tcBorders>
              <w:left w:val="single" w:sz="8" w:color="auto"/>
              <w:bottom w:val="single" w:sz="8" w:color="auto"/>
            </w:tcBorders>
          </w:tcPr>
          <w:p>
            <w:pPr>
              <w:spacing w:after="0"/>
              <w:rPr>
                <w:sz w:val="16"/>
                <w:szCs w:val="16"/>
                <w:color w:val="auto"/>
              </w:rPr>
            </w:pPr>
          </w:p>
        </w:tc>
        <w:tc>
          <w:tcPr>
            <w:tcW w:w="7140" w:type="dxa"/>
            <w:vAlign w:val="bottom"/>
            <w:tcBorders>
              <w:bottom w:val="single" w:sz="8" w:color="auto"/>
              <w:right w:val="single" w:sz="8" w:color="auto"/>
            </w:tcBorders>
          </w:tcPr>
          <w:p>
            <w:pPr>
              <w:spacing w:after="0"/>
              <w:rPr>
                <w:sz w:val="16"/>
                <w:szCs w:val="16"/>
                <w:color w:val="auto"/>
              </w:rPr>
            </w:pPr>
          </w:p>
        </w:tc>
      </w:tr>
      <w:tr>
        <w:trPr>
          <w:trHeight w:val="361"/>
        </w:trPr>
        <w:tc>
          <w:tcPr>
            <w:tcW w:w="3880" w:type="dxa"/>
            <w:vAlign w:val="bottom"/>
          </w:tcPr>
          <w:p>
            <w:pPr>
              <w:spacing w:after="0"/>
              <w:rPr>
                <w:sz w:val="24"/>
                <w:szCs w:val="24"/>
                <w:color w:val="auto"/>
              </w:rPr>
            </w:pPr>
          </w:p>
        </w:tc>
        <w:tc>
          <w:tcPr>
            <w:tcW w:w="71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133, as amended (the “Securities Act”) and Section 21E of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substantial doubt to continue as a going concern;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to finance our operations through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abbreviated regulatory pathways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or in-license additional product candidates on reasonable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and future product candidates, including our ability to file investigational new drug applications to commence additional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such product candidates;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serve;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 liabilities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applicable requirements of Nasdaq and maintain the listing of our common stock;</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interest rate volatility, inflation expectations, bank closures, the U.S. federal elections, public health crises and geopolitical tensions, such as the Russia-Ukraine and Israel-Hamas wars, on our business, our industry and the economy;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contribute to eliminate cancer and achieve cancer-free status in any or all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any offering of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forward-looking statements by words 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below section “Where You Can Find Additional Information.” Please also read carefully the above section “Special Note Regarding Forward-Looking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 and Warrants</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of our common stock may be sold in the market following the effective date of the registration statement of which this prospectus form a part, which may depress the market price for our common stock.</w:t>
      </w:r>
    </w:p>
    <w:p>
      <w:pPr>
        <w:spacing w:after="0" w:line="5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the effective date of the registration statement of which this prospectus forms a part could cause the market price of our common stock to decline. A substantial majority of our outstanding common stock is, and the common stock offered hereby will be, freely tradable without restriction or further registration under the Securities Act.</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the net proceeds from the exercise of any Pre-Funded Warrants or Series C Warrants for cash and may use them in ways with which you do not agree and in ways that may not enhance our operating results or the price of our common stock.</w:t>
      </w:r>
    </w:p>
    <w:p>
      <w:pPr>
        <w:spacing w:after="0" w:line="5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board of directors and management will have broad discretion over the application of the net proceeds that we receive from any exercise of Pre-Funded Warrants or Series C Warrants for cash. We may spend or invest these proceeds in ways with which our stockholders disagree or that do not yield a favorable return, if at all. We intend to use the net proceeds from any exercise of Pre-Funded Warrants or Series C Warrants for cash, together with our existing cash resources as described in “Use of Proceeds.” However, our use of these proceeds may differ substantially from our current plans. Failure by our management to apply these funds effectively could harm our business, results of operations, cash flows, financial condition and/or prospects. Pending use, we may invest the net proceeds from the offering in a manner that does not produce income or that loses value.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 being offered in this offering.</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being offered under this prospectus, and we do not expect a market to develop. In addition, we do not intend to apply to list either the Pre-Funded Warrants or the Series C Warrants on any securities exchange or nationally recognized trading system, including Nasdaq. Without an active market, the liquidity of the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Warrants that they hold.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Warrants, we may not give effect to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Section 13(d) or Section 16 of the Exchange Act) would exceed 4.99% of the number of shares of common stock outstanding immediately after giving effect to such exercise, which percentage may be increased or decreased at the holder’s election upon notice to us, up to 19.99%. Such increase or decrease will not be effective until the sixty-first (61st) day after such notice is delivered to us. As a result, you may not be able to exercise your Warrants for shares of our common stock at a time when it would be financially beneficial for you to do so. In such circumstance you could seek to sell your Warrants to realize value, but you may be unable to do so in the absence of an established trading market for the Warrants.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Warrants received in this offering will have no rights as common stockholders until such holders exercise their Warrants and acquire our common stock.</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Until holders of Warrants acquire shares of our common stock upon exercise of such warrants, holders of Warrants will have no rights with respect to the shares of our common stock underlying such Warrants. Upon exercise of the Warrants, the holders will be entitled to exercise the rights of a common stockholder only as to matters for which the record date occurs after the exercise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shares of our common stock beneficially owned by the selling stockholders pursuant to this prospectus. Upon any exercise of the Warrants for cash, the applicable selling stockholder would pay us the exercise price set forth in the applicable Warrant.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Pre-Funded Warrant has an exercise price equal to $0.0001 per share, and if all 2,608,110 Pre-Funded Warrants registered hereunder are exercised on a cash basis, we will receive proceeds of approximately $261. Each Series C Warrant has an exercise price equal to $0.27 per share, and if all 27,747,455 Series C Warrants registered hereunder are exercised on a cash basis, we will receive proceeds of approximately $7.5 million. We expect to use any such proceeds primarily to fund the clinical development of INB-100 and future product candidates and for working capital and other general corporate purposes. The Pre-Funded Warrants are exercisable at any time after their original issuance on October 4, 2024 and will not expire until exercised in full. The Series C Warrants are exercisable at any time after their original issuance on October 4, 2024 and expire on October 4, 2027.</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on a net exercise cashless basis. The Series C Warrants are only exercisable on a net exercise cashless basis if there is no effective registration statement registering, or the prospectus contained therein is not available for the issuance of, the shares issuable upon exercise of such warrants. If any of the Warrants are exercised on a cashless basis, we would not receive any cash payment from the applicable selling stockholder upon any such exercise.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include shares of common stock issued by us in the Private Placement consisting of (i) the PIPE Shares, (ii) the Pre-Funded Warrant Shares and (iii) the Series C Warrant Shares. For additional information regarding the issuance of the PIPE Shares and Warrants in connection with the Private Placement, see the section “Prospectus Summary—Private Placement” above. We are registering the resale of shares of common stock issued to the selling stockholders and issuable upon exercise of the Warrants in order to permit such selling stockholders to offer the shares for resale from time to time.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or other successors-in-interest that receive shares in any non-sale transfer after the date of this prospectus.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This information has been obtained from the selling stockholders or in Schedules 13G or 13D and other public documents filed with the SEC. The first column lists the number of shares of common stock beneficially owned by each selling stockholder, based on its ownership of shares of common stock, PIPE Shares and Warrants, as of October 31, 2024, assuming exercise of the Warrants held by the selling stockholders on that date, without regard to any limitations on exercises. The percentage of shares owned prior to and after the offering in the second and fifth columns are based on 72,483,253 shares of common stock outstanding as of October 31, 2024. The third column assumes the sale of all of the shares offered by the selling stockholders pursuant to this prospectus.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RRA, this prospectus covers the resale of the sum of (i) the PIPE Shares and (ii) the maximum number of shares of common stock issuable upon exercise of the Warrants issued in the Private Placement. This maximum amount is determined as if the outstanding warrants were exercised in full as of the trading day immediately preceding the date this registration statement was initially filed with the SEC, subject to adjustment as provided in the RRA and without regard to any limitations on the exercise of the Warrants. 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19.99%, as applicable to each holder, of the number of shares of our common stock outstanding following such exercise (for purposes of the denominator, immediately after giving effect to the issuance of shares of common stock to be issued upon the applicable exercise of such warrant). The number of shares in the first and fourth columns do not reflect this limitation. The selling stockholders may sell all, some or none of their shares in this offering. See the section “Plan of Distribution.”</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9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500" w:type="dxa"/>
            <w:vAlign w:val="bottom"/>
          </w:tcPr>
          <w:p>
            <w:pPr>
              <w:spacing w:after="0"/>
              <w:rPr>
                <w:sz w:val="15"/>
                <w:szCs w:val="15"/>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9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5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Bios Equity Entities</w:t>
            </w:r>
            <w:r>
              <w:rPr>
                <w:rFonts w:ascii="Times New Roman" w:cs="Times New Roman" w:eastAsia="Times New Roman" w:hAnsi="Times New Roman"/>
                <w:sz w:val="24"/>
                <w:szCs w:val="24"/>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11,740,804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1,418,080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10,322,724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AIGH Investment Partners, LP</w:t>
            </w:r>
            <w:r>
              <w:rPr>
                <w:rFonts w:ascii="Times New Roman" w:cs="Times New Roman" w:eastAsia="Times New Roman" w:hAnsi="Times New Roman"/>
                <w:sz w:val="25"/>
                <w:szCs w:val="25"/>
                <w:color w:val="auto"/>
                <w:vertAlign w:val="superscript"/>
              </w:rPr>
              <w:t>(2)</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15,009,386</w:t>
            </w:r>
          </w:p>
        </w:tc>
        <w:tc>
          <w:tcPr>
            <w:tcW w:w="12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7,609,084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7,400,302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WVP Emerging Manager Onshore Fund, LLC – AIGH Series</w:t>
            </w:r>
            <w:r>
              <w:rPr>
                <w:rFonts w:ascii="Times New Roman" w:cs="Times New Roman" w:eastAsia="Times New Roman" w:hAnsi="Times New Roman"/>
                <w:sz w:val="25"/>
                <w:szCs w:val="25"/>
                <w:color w:val="auto"/>
                <w:vertAlign w:val="superscript"/>
              </w:rPr>
              <w:t>(3)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3,915,320</w:t>
            </w:r>
          </w:p>
        </w:tc>
        <w:tc>
          <w:tcPr>
            <w:tcW w:w="12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1,977,828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1,937,492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WVP Emerging Manager Onshore Fund, LLC – Optimized Equity</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Series</w:t>
            </w:r>
            <w:r>
              <w:rPr>
                <w:rFonts w:ascii="Times New Roman" w:cs="Times New Roman" w:eastAsia="Times New Roman" w:hAnsi="Times New Roman"/>
                <w:sz w:val="26"/>
                <w:szCs w:val="26"/>
                <w:color w:val="auto"/>
                <w:vertAlign w:val="superscript"/>
              </w:rPr>
              <w:t>(4)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1,073,242</w:t>
            </w:r>
          </w:p>
        </w:tc>
        <w:tc>
          <w:tcPr>
            <w:tcW w:w="12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539,676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533,566</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Puffin Partners, LP</w:t>
            </w:r>
            <w:r>
              <w:rPr>
                <w:rFonts w:ascii="Times New Roman" w:cs="Times New Roman" w:eastAsia="Times New Roman" w:hAnsi="Times New Roman"/>
                <w:sz w:val="25"/>
                <w:szCs w:val="25"/>
                <w:color w:val="auto"/>
                <w:vertAlign w:val="superscript"/>
              </w:rPr>
              <w:t>(5)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8,314,482</w:t>
            </w:r>
          </w:p>
        </w:tc>
        <w:tc>
          <w:tcPr>
            <w:tcW w:w="12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4,304,758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4,009,724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Montrose Investments Fund I, LP</w:t>
            </w:r>
            <w:r>
              <w:rPr>
                <w:rFonts w:ascii="Times New Roman" w:cs="Times New Roman" w:eastAsia="Times New Roman" w:hAnsi="Times New Roman"/>
                <w:sz w:val="25"/>
                <w:szCs w:val="25"/>
                <w:color w:val="auto"/>
                <w:vertAlign w:val="superscript"/>
              </w:rPr>
              <w:t>(6)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3,992,530</w:t>
            </w:r>
          </w:p>
        </w:tc>
        <w:tc>
          <w:tcPr>
            <w:tcW w:w="12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2,025,316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1,967,214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Hewlett Fund LP</w:t>
            </w:r>
            <w:r>
              <w:rPr>
                <w:rFonts w:ascii="Times New Roman" w:cs="Times New Roman" w:eastAsia="Times New Roman" w:hAnsi="Times New Roman"/>
                <w:sz w:val="25"/>
                <w:szCs w:val="25"/>
                <w:color w:val="auto"/>
                <w:vertAlign w:val="superscript"/>
              </w:rPr>
              <w:t>(7)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3,644,660</w:t>
            </w:r>
          </w:p>
        </w:tc>
        <w:tc>
          <w:tcPr>
            <w:tcW w:w="12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4.9%</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2,025,316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1,619,344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12,120,735</w:t>
            </w:r>
          </w:p>
        </w:tc>
        <w:tc>
          <w:tcPr>
            <w:tcW w:w="12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15.3%</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10,126,582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2,074,153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683 Capital Partners, LP</w:t>
            </w:r>
            <w:r>
              <w:rPr>
                <w:rFonts w:ascii="Times New Roman" w:cs="Times New Roman" w:eastAsia="Times New Roman" w:hAnsi="Times New Roman"/>
                <w:sz w:val="25"/>
                <w:szCs w:val="25"/>
                <w:color w:val="auto"/>
                <w:vertAlign w:val="superscript"/>
              </w:rPr>
              <w:t>(9)</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3,173,494</w:t>
            </w:r>
          </w:p>
        </w:tc>
        <w:tc>
          <w:tcPr>
            <w:tcW w:w="12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1,518,986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1,654,508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Franklin Biotechnology</w:t>
            </w:r>
            <w:r>
              <w:rPr>
                <w:rFonts w:ascii="Times New Roman" w:cs="Times New Roman" w:eastAsia="Times New Roman" w:hAnsi="Times New Roman"/>
                <w:sz w:val="25"/>
                <w:szCs w:val="25"/>
                <w:color w:val="auto"/>
                <w:vertAlign w:val="superscript"/>
              </w:rPr>
              <w:t>(10)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11,392,404</w:t>
            </w:r>
          </w:p>
        </w:tc>
        <w:tc>
          <w:tcPr>
            <w:tcW w:w="12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14.6%</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11,392,404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associated with Warberg Asset Management LLC</w:t>
            </w:r>
            <w:r>
              <w:rPr>
                <w:rFonts w:ascii="Times New Roman" w:cs="Times New Roman" w:eastAsia="Times New Roman" w:hAnsi="Times New Roman"/>
                <w:sz w:val="25"/>
                <w:szCs w:val="25"/>
                <w:color w:val="auto"/>
                <w:vertAlign w:val="superscript"/>
              </w:rPr>
              <w:t>(11)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759,492</w:t>
            </w:r>
          </w:p>
        </w:tc>
        <w:tc>
          <w:tcPr>
            <w:tcW w:w="124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759,492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Carlo Alberici</w:t>
            </w:r>
            <w:r>
              <w:rPr>
                <w:rFonts w:ascii="Times New Roman" w:cs="Times New Roman" w:eastAsia="Times New Roman" w:hAnsi="Times New Roman"/>
                <w:sz w:val="25"/>
                <w:szCs w:val="25"/>
                <w:color w:val="auto"/>
                <w:vertAlign w:val="superscript"/>
              </w:rPr>
              <w:t>(12)</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55,632</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Jonathan E. Ansbacher</w:t>
            </w:r>
            <w:r>
              <w:rPr>
                <w:rFonts w:ascii="Times New Roman" w:cs="Times New Roman" w:eastAsia="Times New Roman" w:hAnsi="Times New Roman"/>
                <w:sz w:val="25"/>
                <w:szCs w:val="25"/>
                <w:color w:val="auto"/>
                <w:vertAlign w:val="superscript"/>
              </w:rPr>
              <w:t>(13)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58,526</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7,894</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Peter Appel</w:t>
            </w:r>
            <w:r>
              <w:rPr>
                <w:rFonts w:ascii="Times New Roman" w:cs="Times New Roman" w:eastAsia="Times New Roman" w:hAnsi="Times New Roman"/>
                <w:sz w:val="25"/>
                <w:szCs w:val="25"/>
                <w:color w:val="auto"/>
                <w:vertAlign w:val="superscript"/>
              </w:rPr>
              <w:t>(14)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2,531,644</w:t>
            </w:r>
          </w:p>
        </w:tc>
        <w:tc>
          <w:tcPr>
            <w:tcW w:w="12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2,531,644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Thomas Wiseman Archer</w:t>
            </w:r>
            <w:r>
              <w:rPr>
                <w:rFonts w:ascii="Times New Roman" w:cs="Times New Roman" w:eastAsia="Times New Roman" w:hAnsi="Times New Roman"/>
                <w:sz w:val="25"/>
                <w:szCs w:val="25"/>
                <w:color w:val="auto"/>
                <w:vertAlign w:val="superscript"/>
              </w:rPr>
              <w:t>(15)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55,895</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5,263</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Joseph C. Atkinson</w:t>
            </w:r>
            <w:r>
              <w:rPr>
                <w:rFonts w:ascii="Times New Roman" w:cs="Times New Roman" w:eastAsia="Times New Roman" w:hAnsi="Times New Roman"/>
                <w:sz w:val="25"/>
                <w:szCs w:val="25"/>
                <w:color w:val="auto"/>
                <w:vertAlign w:val="superscript"/>
              </w:rPr>
              <w:t>(16)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119,421</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101,264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18,157</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J. Calabro &amp; Jennifer D. Calabro</w:t>
            </w:r>
            <w:r>
              <w:rPr>
                <w:rFonts w:ascii="Times New Roman" w:cs="Times New Roman" w:eastAsia="Times New Roman" w:hAnsi="Times New Roman"/>
                <w:sz w:val="25"/>
                <w:szCs w:val="25"/>
                <w:color w:val="auto"/>
                <w:vertAlign w:val="superscript"/>
              </w:rPr>
              <w:t>(17)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67,132</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16,500</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Timothy L. Carpenter &amp; Julie L. Carpenter JTWROS</w:t>
            </w:r>
            <w:r>
              <w:rPr>
                <w:rFonts w:ascii="Times New Roman" w:cs="Times New Roman" w:eastAsia="Times New Roman" w:hAnsi="Times New Roman"/>
                <w:sz w:val="25"/>
                <w:szCs w:val="25"/>
                <w:color w:val="auto"/>
                <w:vertAlign w:val="superscript"/>
              </w:rPr>
              <w:t>(18)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158,659</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151,896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6,763</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Gerardo Cerese</w:t>
            </w:r>
            <w:r>
              <w:rPr>
                <w:rFonts w:ascii="Times New Roman" w:cs="Times New Roman" w:eastAsia="Times New Roman" w:hAnsi="Times New Roman"/>
                <w:sz w:val="25"/>
                <w:szCs w:val="25"/>
                <w:color w:val="auto"/>
                <w:vertAlign w:val="superscript"/>
              </w:rPr>
              <w:t>(19)</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33,079</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25,316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7,763</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Steven &amp; Kristin Chapin Family Trust DTD 3-10-2015</w:t>
            </w:r>
            <w:r>
              <w:rPr>
                <w:rFonts w:ascii="Times New Roman" w:cs="Times New Roman" w:eastAsia="Times New Roman" w:hAnsi="Times New Roman"/>
                <w:sz w:val="25"/>
                <w:szCs w:val="25"/>
                <w:color w:val="auto"/>
                <w:vertAlign w:val="superscript"/>
              </w:rPr>
              <w:t>(20)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506,328</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Ronald J. Ciasulli</w:t>
            </w:r>
            <w:r>
              <w:rPr>
                <w:rFonts w:ascii="Times New Roman" w:cs="Times New Roman" w:eastAsia="Times New Roman" w:hAnsi="Times New Roman"/>
                <w:sz w:val="25"/>
                <w:szCs w:val="25"/>
                <w:color w:val="auto"/>
                <w:vertAlign w:val="superscript"/>
              </w:rPr>
              <w:t>(21)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253,164</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253,164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Louis A. Defalco Trust DTD 5-1-2017</w:t>
            </w:r>
            <w:r>
              <w:rPr>
                <w:rFonts w:ascii="Times New Roman" w:cs="Times New Roman" w:eastAsia="Times New Roman" w:hAnsi="Times New Roman"/>
                <w:sz w:val="25"/>
                <w:szCs w:val="25"/>
                <w:color w:val="auto"/>
                <w:vertAlign w:val="superscript"/>
              </w:rPr>
              <w:t>(22)</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75,948</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75,948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Mario Dell’Aera</w:t>
            </w:r>
            <w:r>
              <w:rPr>
                <w:rFonts w:ascii="Times New Roman" w:cs="Times New Roman" w:eastAsia="Times New Roman" w:hAnsi="Times New Roman"/>
                <w:sz w:val="25"/>
                <w:szCs w:val="25"/>
                <w:color w:val="auto"/>
                <w:vertAlign w:val="superscript"/>
              </w:rPr>
              <w:t>(23)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265,214</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253,164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12,050</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Mark R. Demich</w:t>
            </w:r>
            <w:r>
              <w:rPr>
                <w:rFonts w:ascii="Times New Roman" w:cs="Times New Roman" w:eastAsia="Times New Roman" w:hAnsi="Times New Roman"/>
                <w:sz w:val="25"/>
                <w:szCs w:val="25"/>
                <w:color w:val="auto"/>
                <w:vertAlign w:val="superscript"/>
              </w:rPr>
              <w:t>(24)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28,816</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25,316</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3,500</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Daniel DiFilippo</w:t>
            </w:r>
            <w:r>
              <w:rPr>
                <w:rFonts w:ascii="Times New Roman" w:cs="Times New Roman" w:eastAsia="Times New Roman" w:hAnsi="Times New Roman"/>
                <w:sz w:val="25"/>
                <w:szCs w:val="25"/>
                <w:color w:val="auto"/>
                <w:vertAlign w:val="superscript"/>
              </w:rPr>
              <w:t>(25)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141,106</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14,526</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Boardwalk Properties LLC</w:t>
            </w:r>
            <w:r>
              <w:rPr>
                <w:rFonts w:ascii="Times New Roman" w:cs="Times New Roman" w:eastAsia="Times New Roman" w:hAnsi="Times New Roman"/>
                <w:sz w:val="25"/>
                <w:szCs w:val="25"/>
                <w:color w:val="auto"/>
                <w:vertAlign w:val="superscript"/>
              </w:rPr>
              <w:t>(26)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61,621</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10,989</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F. Dougherty III</w:t>
            </w:r>
            <w:r>
              <w:rPr>
                <w:rFonts w:ascii="Times New Roman" w:cs="Times New Roman" w:eastAsia="Times New Roman" w:hAnsi="Times New Roman"/>
                <w:sz w:val="25"/>
                <w:szCs w:val="25"/>
                <w:color w:val="auto"/>
                <w:vertAlign w:val="superscript"/>
              </w:rPr>
              <w:t>(27)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27,916</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25,316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2,600</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Paul G. Elie</w:t>
            </w:r>
            <w:r>
              <w:rPr>
                <w:rFonts w:ascii="Times New Roman" w:cs="Times New Roman" w:eastAsia="Times New Roman" w:hAnsi="Times New Roman"/>
                <w:sz w:val="25"/>
                <w:szCs w:val="25"/>
                <w:color w:val="auto"/>
                <w:vertAlign w:val="superscript"/>
              </w:rPr>
              <w:t>(28)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63,789</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13,157</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Clinton Elliott</w:t>
            </w:r>
            <w:r>
              <w:rPr>
                <w:rFonts w:ascii="Times New Roman" w:cs="Times New Roman" w:eastAsia="Times New Roman" w:hAnsi="Times New Roman"/>
                <w:sz w:val="25"/>
                <w:szCs w:val="25"/>
                <w:color w:val="auto"/>
                <w:vertAlign w:val="superscript"/>
              </w:rPr>
              <w:t>(29)</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71,684</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21,052</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Michael Fahey</w:t>
            </w:r>
            <w:r>
              <w:rPr>
                <w:rFonts w:ascii="Times New Roman" w:cs="Times New Roman" w:eastAsia="Times New Roman" w:hAnsi="Times New Roman"/>
                <w:sz w:val="25"/>
                <w:szCs w:val="25"/>
                <w:color w:val="auto"/>
                <w:vertAlign w:val="superscript"/>
              </w:rPr>
              <w:t>(30)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144,737</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18,157</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Keith Fleischmann</w:t>
            </w:r>
            <w:r>
              <w:rPr>
                <w:rFonts w:ascii="Times New Roman" w:cs="Times New Roman" w:eastAsia="Times New Roman" w:hAnsi="Times New Roman"/>
                <w:sz w:val="25"/>
                <w:szCs w:val="25"/>
                <w:color w:val="auto"/>
                <w:vertAlign w:val="superscript"/>
              </w:rPr>
              <w:t>(31)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Gerald M. Flynn &amp; Lynn A. Flynn JTWROS</w:t>
            </w:r>
            <w:r>
              <w:rPr>
                <w:rFonts w:ascii="Times New Roman" w:cs="Times New Roman" w:eastAsia="Times New Roman" w:hAnsi="Times New Roman"/>
                <w:sz w:val="25"/>
                <w:szCs w:val="25"/>
                <w:color w:val="auto"/>
                <w:vertAlign w:val="superscript"/>
              </w:rPr>
              <w:t>(32)</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273,164</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253,164</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20,000</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Paul P. Frank III &amp; Colleen B. Frank Joint Tenants by Entirety</w:t>
            </w:r>
            <w:r>
              <w:rPr>
                <w:rFonts w:ascii="Times New Roman" w:cs="Times New Roman" w:eastAsia="Times New Roman" w:hAnsi="Times New Roman"/>
                <w:sz w:val="25"/>
                <w:szCs w:val="25"/>
                <w:color w:val="auto"/>
                <w:vertAlign w:val="superscript"/>
              </w:rPr>
              <w:t>(33)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145,000</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18,420</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Ergun Genc</w:t>
            </w:r>
            <w:r>
              <w:rPr>
                <w:rFonts w:ascii="Times New Roman" w:cs="Times New Roman" w:eastAsia="Times New Roman" w:hAnsi="Times New Roman"/>
                <w:sz w:val="25"/>
                <w:szCs w:val="25"/>
                <w:color w:val="auto"/>
                <w:vertAlign w:val="superscript"/>
              </w:rPr>
              <w:t>(34)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50,632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Kevin A. Healy</w:t>
            </w:r>
            <w:r>
              <w:rPr>
                <w:rFonts w:ascii="Times New Roman" w:cs="Times New Roman" w:eastAsia="Times New Roman" w:hAnsi="Times New Roman"/>
                <w:sz w:val="25"/>
                <w:szCs w:val="25"/>
                <w:color w:val="auto"/>
                <w:vertAlign w:val="superscript"/>
              </w:rPr>
              <w:t>(35)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137,106</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10,526</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Brain L. Heckler Revocable Trust DTD 3-4-2005</w:t>
            </w:r>
            <w:r>
              <w:rPr>
                <w:rFonts w:ascii="Times New Roman" w:cs="Times New Roman" w:eastAsia="Times New Roman" w:hAnsi="Times New Roman"/>
                <w:sz w:val="25"/>
                <w:szCs w:val="25"/>
                <w:color w:val="auto"/>
                <w:vertAlign w:val="superscript"/>
              </w:rPr>
              <w:t>(36)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139,737</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13,157</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M. Jeanneret</w:t>
            </w:r>
            <w:r>
              <w:rPr>
                <w:rFonts w:ascii="Times New Roman" w:cs="Times New Roman" w:eastAsia="Times New Roman" w:hAnsi="Times New Roman"/>
                <w:sz w:val="25"/>
                <w:szCs w:val="25"/>
                <w:color w:val="auto"/>
                <w:vertAlign w:val="superscript"/>
              </w:rPr>
              <w:t>(37)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289,479</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253,164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36,315</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4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Frederick M. Kelso</w:t>
            </w:r>
            <w:r>
              <w:rPr>
                <w:rFonts w:ascii="Times New Roman" w:cs="Times New Roman" w:eastAsia="Times New Roman" w:hAnsi="Times New Roman"/>
                <w:sz w:val="26"/>
                <w:szCs w:val="26"/>
                <w:color w:val="auto"/>
                <w:vertAlign w:val="superscript"/>
              </w:rPr>
              <w:t>(38)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139,606</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126,580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13,026</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540" w:type="dxa"/>
            <w:vAlign w:val="bottom"/>
          </w:tcPr>
          <w:p>
            <w:pPr>
              <w:spacing w:after="0"/>
              <w:rPr>
                <w:sz w:val="15"/>
                <w:szCs w:val="15"/>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8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5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vMerge w:val="continue"/>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4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James M. Koch</w:t>
            </w:r>
            <w:r>
              <w:rPr>
                <w:rFonts w:ascii="Times New Roman" w:cs="Times New Roman" w:eastAsia="Times New Roman" w:hAnsi="Times New Roman"/>
                <w:sz w:val="24"/>
                <w:szCs w:val="24"/>
                <w:color w:val="auto"/>
                <w:vertAlign w:val="superscript"/>
              </w:rPr>
              <w:t>(39)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137,080</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126,580</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Kurtis Krentz</w:t>
            </w:r>
            <w:r>
              <w:rPr>
                <w:rFonts w:ascii="Times New Roman" w:cs="Times New Roman" w:eastAsia="Times New Roman" w:hAnsi="Times New Roman"/>
                <w:sz w:val="25"/>
                <w:szCs w:val="25"/>
                <w:color w:val="auto"/>
                <w:vertAlign w:val="superscript"/>
              </w:rPr>
              <w:t>(40)</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156,580</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30,000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Brian Michael Levy</w:t>
            </w:r>
            <w:r>
              <w:rPr>
                <w:rFonts w:ascii="Times New Roman" w:cs="Times New Roman" w:eastAsia="Times New Roman" w:hAnsi="Times New Roman"/>
                <w:sz w:val="25"/>
                <w:szCs w:val="25"/>
                <w:color w:val="auto"/>
                <w:vertAlign w:val="superscript"/>
              </w:rPr>
              <w:t>(41)</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294,479</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253,164</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41,315</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Jedidiah Marshall</w:t>
            </w:r>
            <w:r>
              <w:rPr>
                <w:rFonts w:ascii="Times New Roman" w:cs="Times New Roman" w:eastAsia="Times New Roman" w:hAnsi="Times New Roman"/>
                <w:sz w:val="25"/>
                <w:szCs w:val="25"/>
                <w:color w:val="auto"/>
                <w:vertAlign w:val="superscript"/>
              </w:rPr>
              <w:t>(42)</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29,316</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25,316</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Marvin Family Trust DTD 3-11-1993</w:t>
            </w:r>
            <w:r>
              <w:rPr>
                <w:rFonts w:ascii="Times New Roman" w:cs="Times New Roman" w:eastAsia="Times New Roman" w:hAnsi="Times New Roman"/>
                <w:sz w:val="25"/>
                <w:szCs w:val="25"/>
                <w:color w:val="auto"/>
                <w:vertAlign w:val="superscript"/>
              </w:rPr>
              <w:t>(43)</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1,518,984</w:t>
            </w:r>
          </w:p>
        </w:tc>
        <w:tc>
          <w:tcPr>
            <w:tcW w:w="12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1,518,984</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Jeffery L. Miller &amp; Khristen N. Zar JTWROS</w:t>
            </w:r>
            <w:r>
              <w:rPr>
                <w:rFonts w:ascii="Times New Roman" w:cs="Times New Roman" w:eastAsia="Times New Roman" w:hAnsi="Times New Roman"/>
                <w:sz w:val="25"/>
                <w:szCs w:val="25"/>
                <w:color w:val="auto"/>
                <w:vertAlign w:val="superscript"/>
              </w:rPr>
              <w:t>(44)</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119,821</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101,264</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18,557</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Chad F. Mueller</w:t>
            </w:r>
            <w:r>
              <w:rPr>
                <w:rFonts w:ascii="Times New Roman" w:cs="Times New Roman" w:eastAsia="Times New Roman" w:hAnsi="Times New Roman"/>
                <w:sz w:val="25"/>
                <w:szCs w:val="25"/>
                <w:color w:val="auto"/>
                <w:vertAlign w:val="superscript"/>
              </w:rPr>
              <w:t>(45)</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268,953</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253,164</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15,789</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Michael P. Niland &amp; Jill Kathleen Niland JTWROS</w:t>
            </w:r>
            <w:r>
              <w:rPr>
                <w:rFonts w:ascii="Times New Roman" w:cs="Times New Roman" w:eastAsia="Times New Roman" w:hAnsi="Times New Roman"/>
                <w:sz w:val="25"/>
                <w:szCs w:val="25"/>
                <w:color w:val="auto"/>
                <w:vertAlign w:val="superscript"/>
              </w:rPr>
              <w:t>(46)</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131,580</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Cornel Leonard Nolte</w:t>
            </w:r>
            <w:r>
              <w:rPr>
                <w:rFonts w:ascii="Times New Roman" w:cs="Times New Roman" w:eastAsia="Times New Roman" w:hAnsi="Times New Roman"/>
                <w:sz w:val="25"/>
                <w:szCs w:val="25"/>
                <w:color w:val="auto"/>
                <w:vertAlign w:val="superscript"/>
              </w:rPr>
              <w:t>(47)</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610,143</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506,328</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103,815</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Padinha Management Trust DTD 8-12-2021</w:t>
            </w:r>
            <w:r>
              <w:rPr>
                <w:rFonts w:ascii="Times New Roman" w:cs="Times New Roman" w:eastAsia="Times New Roman" w:hAnsi="Times New Roman"/>
                <w:sz w:val="25"/>
                <w:szCs w:val="25"/>
                <w:color w:val="auto"/>
                <w:vertAlign w:val="superscript"/>
              </w:rPr>
              <w:t>(48)</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158,080</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Alan W. Page</w:t>
            </w:r>
            <w:r>
              <w:rPr>
                <w:rFonts w:ascii="Times New Roman" w:cs="Times New Roman" w:eastAsia="Times New Roman" w:hAnsi="Times New Roman"/>
                <w:sz w:val="25"/>
                <w:szCs w:val="25"/>
                <w:color w:val="auto"/>
                <w:vertAlign w:val="superscript"/>
              </w:rPr>
              <w:t>(49)</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87,342</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75,948</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11,394</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Michael F. Quinlan</w:t>
            </w:r>
            <w:r>
              <w:rPr>
                <w:rFonts w:ascii="Times New Roman" w:cs="Times New Roman" w:eastAsia="Times New Roman" w:hAnsi="Times New Roman"/>
                <w:sz w:val="25"/>
                <w:szCs w:val="25"/>
                <w:color w:val="auto"/>
                <w:vertAlign w:val="superscript"/>
              </w:rPr>
              <w:t>(50)</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58,932</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50,632</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Thomas Michael Rooney</w:t>
            </w:r>
            <w:r>
              <w:rPr>
                <w:rFonts w:ascii="Times New Roman" w:cs="Times New Roman" w:eastAsia="Times New Roman" w:hAnsi="Times New Roman"/>
                <w:sz w:val="25"/>
                <w:szCs w:val="25"/>
                <w:color w:val="auto"/>
                <w:vertAlign w:val="superscript"/>
              </w:rPr>
              <w:t>(51)</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30,816</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25,316</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5,500</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Derek Jorge Santana &amp; Samantha Michelle Santana JTWROS</w:t>
            </w:r>
            <w:r>
              <w:rPr>
                <w:rFonts w:ascii="Times New Roman" w:cs="Times New Roman" w:eastAsia="Times New Roman" w:hAnsi="Times New Roman"/>
                <w:sz w:val="25"/>
                <w:szCs w:val="25"/>
                <w:color w:val="auto"/>
                <w:vertAlign w:val="superscript"/>
              </w:rPr>
              <w:t>(52)</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53,132</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50,632</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Jeremy William Schlee</w:t>
            </w:r>
            <w:r>
              <w:rPr>
                <w:rFonts w:ascii="Times New Roman" w:cs="Times New Roman" w:eastAsia="Times New Roman" w:hAnsi="Times New Roman"/>
                <w:sz w:val="25"/>
                <w:szCs w:val="25"/>
                <w:color w:val="auto"/>
                <w:vertAlign w:val="superscript"/>
              </w:rPr>
              <w:t>(53)</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141,284</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14,704</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Andrew Schwartzberg</w:t>
            </w:r>
            <w:r>
              <w:rPr>
                <w:rFonts w:ascii="Times New Roman" w:cs="Times New Roman" w:eastAsia="Times New Roman" w:hAnsi="Times New Roman"/>
                <w:sz w:val="25"/>
                <w:szCs w:val="25"/>
                <w:color w:val="auto"/>
                <w:vertAlign w:val="superscript"/>
              </w:rPr>
              <w:t>(54)</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1,012,656</w:t>
            </w: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1,012,656</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Dennis Scullin</w:t>
            </w:r>
            <w:r>
              <w:rPr>
                <w:rFonts w:ascii="Times New Roman" w:cs="Times New Roman" w:eastAsia="Times New Roman" w:hAnsi="Times New Roman"/>
                <w:sz w:val="25"/>
                <w:szCs w:val="25"/>
                <w:color w:val="auto"/>
                <w:vertAlign w:val="superscript"/>
              </w:rPr>
              <w:t>(55)</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168,553</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151,896</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16,657</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Richard Edward Sleigh</w:t>
            </w:r>
            <w:r>
              <w:rPr>
                <w:rFonts w:ascii="Times New Roman" w:cs="Times New Roman" w:eastAsia="Times New Roman" w:hAnsi="Times New Roman"/>
                <w:sz w:val="25"/>
                <w:szCs w:val="25"/>
                <w:color w:val="auto"/>
                <w:vertAlign w:val="superscript"/>
              </w:rPr>
              <w:t>(56)</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86,474</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75,948</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10,526</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Somers</w:t>
            </w:r>
            <w:r>
              <w:rPr>
                <w:rFonts w:ascii="Times New Roman" w:cs="Times New Roman" w:eastAsia="Times New Roman" w:hAnsi="Times New Roman"/>
                <w:sz w:val="25"/>
                <w:szCs w:val="25"/>
                <w:color w:val="auto"/>
                <w:vertAlign w:val="superscript"/>
              </w:rPr>
              <w:t>(57)</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81,421</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50,632</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30,789</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John W. Stadtler</w:t>
            </w:r>
            <w:r>
              <w:rPr>
                <w:rFonts w:ascii="Times New Roman" w:cs="Times New Roman" w:eastAsia="Times New Roman" w:hAnsi="Times New Roman"/>
                <w:sz w:val="25"/>
                <w:szCs w:val="25"/>
                <w:color w:val="auto"/>
                <w:vertAlign w:val="superscript"/>
              </w:rPr>
              <w:t>(58)</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111,264</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101,264</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Oscar Teunissen</w:t>
            </w:r>
            <w:r>
              <w:rPr>
                <w:rFonts w:ascii="Times New Roman" w:cs="Times New Roman" w:eastAsia="Times New Roman" w:hAnsi="Times New Roman"/>
                <w:sz w:val="25"/>
                <w:szCs w:val="25"/>
                <w:color w:val="auto"/>
                <w:vertAlign w:val="superscript"/>
              </w:rPr>
              <w:t>(59)</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390,270</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379,744</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10,526</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Chetan R. Vagholkar</w:t>
            </w:r>
            <w:r>
              <w:rPr>
                <w:rFonts w:ascii="Times New Roman" w:cs="Times New Roman" w:eastAsia="Times New Roman" w:hAnsi="Times New Roman"/>
                <w:sz w:val="25"/>
                <w:szCs w:val="25"/>
                <w:color w:val="auto"/>
                <w:vertAlign w:val="superscript"/>
              </w:rPr>
              <w:t>(60)</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136,580</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Candlestick Lane Investments LP</w:t>
            </w:r>
            <w:r>
              <w:rPr>
                <w:rFonts w:ascii="Times New Roman" w:cs="Times New Roman" w:eastAsia="Times New Roman" w:hAnsi="Times New Roman"/>
                <w:sz w:val="25"/>
                <w:szCs w:val="25"/>
                <w:color w:val="auto"/>
                <w:vertAlign w:val="superscript"/>
              </w:rPr>
              <w:t>(61)</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253,164</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253,164</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Timothy S. Vitale</w:t>
            </w:r>
            <w:r>
              <w:rPr>
                <w:rFonts w:ascii="Times New Roman" w:cs="Times New Roman" w:eastAsia="Times New Roman" w:hAnsi="Times New Roman"/>
                <w:sz w:val="25"/>
                <w:szCs w:val="25"/>
                <w:color w:val="auto"/>
                <w:vertAlign w:val="superscript"/>
              </w:rPr>
              <w:t>(62)</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61,026</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50,632</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10,394</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Roger Wery &amp; Rolf De Vegt Revocable Trust 9-22-2019</w:t>
            </w:r>
            <w:r>
              <w:rPr>
                <w:rFonts w:ascii="Times New Roman" w:cs="Times New Roman" w:eastAsia="Times New Roman" w:hAnsi="Times New Roman"/>
                <w:sz w:val="25"/>
                <w:szCs w:val="25"/>
                <w:color w:val="auto"/>
                <w:vertAlign w:val="superscript"/>
              </w:rPr>
              <w:t>(63)</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79,448</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75,948</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3,500</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Rocco Brescia</w:t>
            </w:r>
            <w:r>
              <w:rPr>
                <w:rFonts w:ascii="Times New Roman" w:cs="Times New Roman" w:eastAsia="Times New Roman" w:hAnsi="Times New Roman"/>
                <w:sz w:val="25"/>
                <w:szCs w:val="25"/>
                <w:color w:val="auto"/>
                <w:vertAlign w:val="superscript"/>
              </w:rPr>
              <w:t>(64)</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126,580</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Keith Guenther</w:t>
            </w:r>
            <w:r>
              <w:rPr>
                <w:rFonts w:ascii="Times New Roman" w:cs="Times New Roman" w:eastAsia="Times New Roman" w:hAnsi="Times New Roman"/>
                <w:sz w:val="25"/>
                <w:szCs w:val="25"/>
                <w:color w:val="auto"/>
                <w:vertAlign w:val="superscript"/>
              </w:rPr>
              <w:t>(65)</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151,896</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151,896</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rFonts w:ascii="Times New Roman" w:cs="Times New Roman" w:eastAsia="Times New Roman" w:hAnsi="Times New Roman"/>
          <w:sz w:val="18"/>
          <w:szCs w:val="18"/>
          <w:color w:val="auto"/>
        </w:rPr>
      </w:pPr>
    </w:p>
    <w:p>
      <w:pPr>
        <w:ind w:left="1080" w:hanging="532"/>
        <w:spacing w:after="0" w:line="251"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574,432 shares of common stock directly held by Bios Fund II, LP (“Bios Fund II”), (b) 1,876,624 shares of common stock directly held by Bios Fund II QP, LP (“Bios Fund II QP”), (c) 251,211 shares of common stock directly held by Bios Fund II NT, LP (“Bios Fund II NT”), (d) 997,433 shares of common stock directly held by BIOS Incysus Co-Invest I, LP (“BIOS Incysus”), (e) 570,724 shares of common stock directly held by Bios Fund III, LP (“Bios Fund III”), (f) 3,727,597 shares of common stock directly held by Bios Fund III QP, LP (“Bios Fund III QP”), (g) 601,980 shares of common stock directly held by Bios Fund III NT, LP (“Bios Fund III NT”) and (ii) (a) 1,283,281 Pre-Funded Warrants, (b) 574,241 Series A Warrant Shares, (c) 574,241 Series B Warrant Shares and (d) 709,040 Series C Warrant Shares held by Bios Clinical Opportunity Fund, LP (“Bios COF Fund” and together with Bios Fund II, Bios Fund II QP, Bios Fund II NT, BIOS Incysus, Bios Fund III, Bios Fund III QP and Bios Fund III NT the “Bios Equity Entities”). Bios Equity Partners II, LP is the general partner of Bios Fund II, Bios Fund II QP and Bios Fund II NT (collectively, “Bios Equity II Entities”). Bios Equity Partners III, LP is the general partner of Bios Fund III, Bios Fund III QP and Bios Fund III NT (collectively, “Bios Equity III Entities”). Bios Equity COF, LP (“Bios Equity</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COF”) is the general partner of Bios COF Fund. Cavu Management, LP (“Cavu Management”) and Bios Capital Management, LP (“Bios Management”) are the general partners of Bios Equity I, Bios Equity II and Bios Equity III and Bios Management is the general partner of Bios Equity COF. Cavu Advisors, LLC (“Cavu Advisors”) an entity controlled by Leslie Wayne Kreis, Jr. is the general partner of Cavu Management. Bios Advisors GP, LLC, an entity controlled by Aaron Glenn Louis Fletcher, Ph.D., is the general partner of Bios Management. Due to the foregoing relationships, Bios Equity I, Bios Equity II, Bios Equity III, Bios Equity COF, Cavu Management, Bios Management, Cavu Advisors, Bios Advisors, Mr. Kreis and Dr. Fletcher may be deemed to have shared voting and/or dispositive power with respect to Shares directly or indirectly held by the Bios Equity II Entities, the Bios Equity III and Bios COF Fund. The address of each of the Bios Equity Entities is 1751 River Run, Suite 400, Fort Worth, Texas 76107.</w:t>
      </w:r>
    </w:p>
    <w:p>
      <w:pPr>
        <w:spacing w:after="0" w:line="1" w:lineRule="exact"/>
        <w:rPr>
          <w:sz w:val="20"/>
          <w:szCs w:val="20"/>
          <w:color w:val="auto"/>
        </w:rPr>
      </w:pPr>
    </w:p>
    <w:p>
      <w:pPr>
        <w:ind w:left="1080" w:right="40" w:hanging="532"/>
        <w:spacing w:after="0" w:line="250"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5,045,852 shares of common stock (including 3,804,542 PIPE Shares), (ii) 3,079,496 Series A Warrant Shares, (iii) 3,079,496 Series B Warrant Shares and (iv) 3,804,542 Series C Warrant Shares. The warrants held by AIGH Investment Partners, LP prohibit the exercise thereof if, after giving effect to such exercise, the beneficial ownership of AIGH Investment Partners, LP and its affiliates and any person whose beneficial ownership would be attributable to such entities, would exceed 9.99%. Mr. Orin Hirschman is the managing member of AIGH Capital Management, LLC, a Maryland limited liability company (“AIGH CM”), who is an advisor with respect to the securities held by AIGH Investment Partners, L.P. (“AIGH LP”). Mr. Hirschman has voting and investment control over the securities indirectly held by AIGH CM, directly held by AIGH IP and directly held by Mr. Hirschman and his family. The address for AIGH CM, AIGH LP and Mr. Hirschman is 6006 Berkeley Avenue, Baltimore, Maryland 21209.</w:t>
      </w:r>
    </w:p>
    <w:p>
      <w:pPr>
        <w:spacing w:after="0" w:line="3" w:lineRule="exact"/>
        <w:rPr>
          <w:rFonts w:ascii="Times New Roman" w:cs="Times New Roman" w:eastAsia="Times New Roman" w:hAnsi="Times New Roman"/>
          <w:sz w:val="18"/>
          <w:szCs w:val="18"/>
          <w:color w:val="auto"/>
        </w:rPr>
      </w:pPr>
    </w:p>
    <w:p>
      <w:pPr>
        <w:ind w:left="1080" w:right="20" w:hanging="532"/>
        <w:spacing w:after="0" w:line="250"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1,325,502 shares of common stock (including 988,914 PIPE Shares), (ii) 800,452 Series A Warrant Shares, (iii) 800,452 Series B Warrant Shares and (iv) 988,914 Series C Warrant Shares. The warrants held by WVP Emerging Manager Onshore Fund, LLC – AIGH Series prohibit the exercise thereof if, after giving effect to such exercise, the beneficial ownership of WVP Emerging Manager Onshore Fund, LLC – AIGH Series and its affiliates and any person whose beneficial ownership would be attributable to such entities, would exceed 9.99%. Mr. Orin Hirschman is the managing member of AIGH CM, who is a sub-advisor with respect to the securities held by WVP Emerging Manager Onshore Fund, LLC—AIGH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3" w:lineRule="exact"/>
        <w:rPr>
          <w:rFonts w:ascii="Times New Roman" w:cs="Times New Roman" w:eastAsia="Times New Roman" w:hAnsi="Times New Roman"/>
          <w:sz w:val="18"/>
          <w:szCs w:val="18"/>
          <w:color w:val="auto"/>
        </w:rPr>
      </w:pPr>
    </w:p>
    <w:p>
      <w:pPr>
        <w:ind w:left="1080" w:hanging="532"/>
        <w:spacing w:after="0" w:line="250"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366,578 shares of common stock (including 269,838 PIPE Shares), (ii) 218,413 Series A Warrant Shares, (iii) 218,413 Series B Warrant Shares and (iv) 269,838 Series C Warrant Shares. The warrants held by WVP Emerging Manager Onshore Fund, LLC – Optimized Equity Series prohibit the exercise thereof if, after giving effect to such exercise, the beneficial ownership of WVP Emerging Manager Onshore Fund, LLC – Optimized Equity Series and its affiliates and any person whose beneficial ownership would be attributable to such entities, would exceed 9.99%. Mr. Orin Hirschman is the managing member of AIGH CM, who is a sub-advisor with respect to the securities held by WVP Emerging Manager Onshore Fund, LLC—Optimized Equity Series. Mr. Hirschman has voting and investment control over the securities indirectly held by AIGH CM and directly held by Mr. Hirschman and his family directly. The address for AIGH CM and Mr. Hirschman is 6006 Berkeley Avenue, Baltimore, Maryland 21209.</w:t>
      </w:r>
    </w:p>
    <w:p>
      <w:pPr>
        <w:spacing w:after="0" w:line="3" w:lineRule="exact"/>
        <w:rPr>
          <w:rFonts w:ascii="Times New Roman" w:cs="Times New Roman" w:eastAsia="Times New Roman" w:hAnsi="Times New Roman"/>
          <w:sz w:val="18"/>
          <w:szCs w:val="18"/>
          <w:color w:val="auto"/>
        </w:rPr>
      </w:pPr>
    </w:p>
    <w:p>
      <w:pPr>
        <w:ind w:left="1080" w:right="40" w:hanging="532"/>
        <w:spacing w:after="0" w:line="25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1,476,149 shares of common stock (including 253,309 PIPE Shares), (ii) 1,393,442 Series A Warrant Shares, (iii) 1,393,442 Series B Warrant Shares, (iv) 1,899,070 Pre-Funded Warrants purchased in the Private Placement and (v) 2,152,379 Series C Warrant Shares. The warrants held by Puffin Partners, LP prohibit the exercise thereof if, after giving effect to such exercise, the beneficial ownership of Puffin Partners, LP and its affiliates and any person whose beneficial ownership would be attributable to such entities, would exceed 4.99%. Charles E. Gale and William E. Rose are the co-managers of Puffin Partners, LP and have shared voting and dispositive power with respect to the PIPE Shares and Warrants held by Puffin Partners, LP. The address of Puffin Partners, LP is 4215 W Lovers Lane, Suite 200, Dallas, TX 75209.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8"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1,668,396 shares of common stock (including 1,012,658 PIPE Shares), (ii) 655,738 Series A Warrant Shares, (iii) 655,738 Series B Warrant Shares and (iv) 1,012,658 Series C Warrant Shares. The warrants held by Montrose Investments Fund I, LP prohibit the exercise thereof if, after giving effect to such exercise, the beneficial ownership of Montrose Investments Fund I, LP and its affiliates and any person whose beneficial ownership would be attributable to such entities, would exceed 4.99%. William E. Rose is the sole manager of Montrose Investments Fund I, LP and has voting and dispositive power with respect to the shares of common stock and Warrants held by Montrose Investments Fund I, LP. The address of Montrose Investments Fund I, LP is 4215 W Lovers Lane, Suite 200, Dallas, TX 75209.</w:t>
      </w:r>
    </w:p>
    <w:p>
      <w:pPr>
        <w:spacing w:after="0" w:line="4" w:lineRule="exact"/>
        <w:rPr>
          <w:rFonts w:ascii="Times New Roman" w:cs="Times New Roman" w:eastAsia="Times New Roman" w:hAnsi="Times New Roman"/>
          <w:sz w:val="17"/>
          <w:szCs w:val="17"/>
          <w:color w:val="auto"/>
        </w:rPr>
      </w:pPr>
    </w:p>
    <w:p>
      <w:pPr>
        <w:ind w:left="1080" w:right="120" w:hanging="532"/>
        <w:spacing w:after="0" w:line="250"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1,012,658 PIPE Shares, (ii) 799,672 Series A Warrant Shares, (iii) 819,672 Series B Warrant Shares and (iv) 1,012,658 Series C Warrant Shares. Martin Chopp has voting and investment control over the securities held by The Hewlett Fund LP. The address of The Hewlett Fund LP is 100 Merrick Road, Suite 400W, Rockville Centre, NY 11570.</w:t>
      </w:r>
    </w:p>
    <w:p>
      <w:pPr>
        <w:spacing w:after="0" w:line="1" w:lineRule="exact"/>
        <w:rPr>
          <w:rFonts w:ascii="Times New Roman" w:cs="Times New Roman" w:eastAsia="Times New Roman" w:hAnsi="Times New Roman"/>
          <w:sz w:val="18"/>
          <w:szCs w:val="18"/>
          <w:color w:val="auto"/>
        </w:rPr>
      </w:pPr>
    </w:p>
    <w:p>
      <w:pPr>
        <w:ind w:left="1080" w:right="80" w:hanging="532"/>
        <w:spacing w:after="0" w:line="250"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5,458,100 shares of common stock (including 5,023,291 PIPE Shares), (ii) 819,672 Series A Warrant Shares, (iii) 819,672 Series B Warrant Shares and (iv) 5,023,291 Series C Warrant Shares.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2" w:lineRule="exact"/>
        <w:rPr>
          <w:rFonts w:ascii="Times New Roman" w:cs="Times New Roman" w:eastAsia="Times New Roman" w:hAnsi="Times New Roman"/>
          <w:sz w:val="18"/>
          <w:szCs w:val="18"/>
          <w:color w:val="auto"/>
        </w:rPr>
      </w:pPr>
    </w:p>
    <w:p>
      <w:pPr>
        <w:ind w:left="1080" w:right="40" w:hanging="532"/>
        <w:spacing w:after="0" w:line="250"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1,184,493 shares of common stock (including 759,493 PIPE Shares), (ii) 614,754 Series A Warrant Shares, (iii) 614,754 Series B Warrant Shares and (iii) 759,493 Series C Warrant Shares. The shares and warrants held by 683 Capital Partners, LP are indirectly held by 683 Capital Management, LLC and Ari Zweiman, the managing member of 683 Capital Management, LLC. 683 Capital Management, LLC, 683 Capital Partners, LP and Mr. Zweiman share voting and dispositive power with respect to the shares and warrants held by 683 Capital Partners, LP. The address of 683 Capital Partners, LP is 1700 Broadway, Suite 4200, New York, NY 10019.</w:t>
      </w:r>
    </w:p>
    <w:p>
      <w:pPr>
        <w:spacing w:after="0" w:line="1" w:lineRule="exact"/>
        <w:rPr>
          <w:rFonts w:ascii="Times New Roman" w:cs="Times New Roman" w:eastAsia="Times New Roman" w:hAnsi="Times New Roman"/>
          <w:sz w:val="18"/>
          <w:szCs w:val="18"/>
          <w:color w:val="auto"/>
        </w:rPr>
      </w:pPr>
    </w:p>
    <w:p>
      <w:pPr>
        <w:ind w:left="1080" w:right="40" w:hanging="532"/>
        <w:spacing w:after="0" w:line="250"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2,090,200 shares of common stock and (b) 2,090,200 Series C Warrants held by Franklin Strategic Series—Franklin Biotechnology Discovery Fund (“Franklin Strategic”) and (ii) (a) 3,606,002 shares of common stock and (b) 3,606,002 Series C Warrants held by Franklin Templeton Investment Funds—Franklin Biotechnology Discovery Fund (“Franklin Templeton”). Franklin Advisers, Inc., a SEC registered broker-dealer, is the investment adviser to both Franklin Strategic and Franklin Templeton. Evan McCulloch is the portfolio manager for both Franklin Strategic and Franklin Templeton. Mr. McCulloch may be deemed to have voting and investment power over the common stock held by Franklin Strategic and Franklin Templeton. Mr. McCulloch disclaims beneficial ownership of such shares, except to the extent of any pecuniary interest therein. The address of Franklin Strategic is c/o Franklin Advisers, Inc., One Franklin Parkway, San Mateo, CA 94403. The address of Franklin Templeton is 8A Rue Albert Borschette, 1246 Kirchberg, Luxembourg.</w:t>
      </w:r>
    </w:p>
    <w:p>
      <w:pPr>
        <w:spacing w:after="0" w:line="3" w:lineRule="exact"/>
        <w:rPr>
          <w:rFonts w:ascii="Times New Roman" w:cs="Times New Roman" w:eastAsia="Times New Roman" w:hAnsi="Times New Roman"/>
          <w:sz w:val="18"/>
          <w:szCs w:val="18"/>
          <w:color w:val="auto"/>
        </w:rPr>
      </w:pPr>
    </w:p>
    <w:p>
      <w:pPr>
        <w:ind w:left="1080" w:right="120" w:hanging="532"/>
        <w:spacing w:after="0" w:line="250"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189,873 shares of common stock and (b) 189,873 Series C Warrants held by Warberg WF XI LP and (ii) (a) 189,873 shares of common stock and (b) 189,873 Series C Warrants held by Warberg WF XII LP (together with Warberg WF XI LP, the “Warberg Entities”). Daniel Warsh, as the Manager of each of the Warberg Entities, has voting and investment power over the securities held by the Warberg Entities. The principal business address of the Warberg Entities is 716 Oak Street, Winnetka, IL 60093.</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30,316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33,210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1,265,822 PIPE Shares and (ii) 1,265,822 Series C Warrant Shares.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30,579 shares of common stock (including 25,316 PIPE Shares) and (ii) 25,316 Series C Warrant Shares.</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68,789 shares of common stock (including 50,632 PIPE Shares) and (ii) 50,632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41,816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82,711 shares of common stock (including 75,948 PIPE Shares) and (ii) 75,948 Series C Warrant Shares. Timothy L. Carpenter and Julie L. Carpenter have voting and investment power with respect to the shares held by the Timothy L. Carpenter &amp; Julie L. Carpenter JTWROS and may be deemed to be the beneficial owners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20,421 shares of common stock (including 12,658 PIPE Shares) and (ii) 12,658 Series C Warrant Shares.</w:t>
      </w:r>
    </w:p>
    <w:p>
      <w:pPr>
        <w:spacing w:after="0" w:line="9" w:lineRule="exact"/>
        <w:rPr>
          <w:rFonts w:ascii="Times New Roman" w:cs="Times New Roman" w:eastAsia="Times New Roman" w:hAnsi="Times New Roman"/>
          <w:sz w:val="18"/>
          <w:szCs w:val="18"/>
          <w:color w:val="auto"/>
        </w:rPr>
      </w:pPr>
    </w:p>
    <w:p>
      <w:pPr>
        <w:ind w:left="1080" w:right="80" w:hanging="532"/>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253,164 PIPE Shares and (ii) 253,164 Series C Warrant Shares. Steven Chapin has voting and investment power with respect to the shares held by the Steven &amp; Kristin Chapin Family Trust DTD 3-10-2015 and may be deemed to be the beneficial owner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126,582 PIPE Shares and (ii) 126,582 Series C Warrant Shares.</w:t>
      </w:r>
    </w:p>
    <w:p>
      <w:pPr>
        <w:spacing w:after="0" w:line="9" w:lineRule="exact"/>
        <w:rPr>
          <w:rFonts w:ascii="Times New Roman" w:cs="Times New Roman" w:eastAsia="Times New Roman" w:hAnsi="Times New Roman"/>
          <w:sz w:val="18"/>
          <w:szCs w:val="18"/>
          <w:color w:val="auto"/>
        </w:rPr>
      </w:pPr>
    </w:p>
    <w:p>
      <w:pPr>
        <w:jc w:val="both"/>
        <w:ind w:left="1080" w:right="400" w:hanging="532"/>
        <w:spacing w:after="0" w:line="265"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37,974 PIPE Shares and (ii) 37,974 Series C Warrant Shares. Louis A. Defalco has voting and investment power with respect to the shares held by the Louis A. Defalco Trust DTD 5-1-2017 and may be deemed to be the beneficial owner of such shares</w:t>
      </w: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138,632 shares of common stock (including 126,582 PIPE Shares) and (ii) 126,582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16,158 shares of common stock (including 12,658 PIPE Shares) and (ii) 12,658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77,816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right="80" w:hanging="532"/>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36,305 shares of common stock (including 25,316 PIPE Shares) and (ii) 25,316 Series C Warrant Shares. Emilio DiMatteo has voting and investment power with respect to the shares held by Boardwalk Properties LLC and may be deemed to be the beneficial owner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27,916 shares of common stock (including 12,658 PIPE Shares) and (ii) 12,658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38,473 shares of common stock (including 25,316 PIPE Shares) and (ii) 126,582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46,368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81,447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63,290 PIPE Shares and (ii) 63,290 Series C Warrant Shares.</w:t>
      </w:r>
    </w:p>
    <w:p>
      <w:pPr>
        <w:spacing w:after="0" w:line="9" w:lineRule="exact"/>
        <w:rPr>
          <w:rFonts w:ascii="Times New Roman" w:cs="Times New Roman" w:eastAsia="Times New Roman" w:hAnsi="Times New Roman"/>
          <w:sz w:val="18"/>
          <w:szCs w:val="18"/>
          <w:color w:val="auto"/>
        </w:rPr>
      </w:pPr>
    </w:p>
    <w:p>
      <w:pPr>
        <w:jc w:val="both"/>
        <w:ind w:left="1080" w:right="300" w:hanging="532"/>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146,582 shares of common stock (including 126,582 PIPE Shares) and (ii) 126,582 Series C Warrant Shares. Gerald M. Flynn and Lynn M. Flynn have voting and investment power with respect to the shares held by the Gerald M. Flynn &amp; Lynn M. Flynn JTWROS and may be deemed to be the beneficial owners of such shares.</w:t>
      </w:r>
    </w:p>
    <w:p>
      <w:pPr>
        <w:spacing w:after="0" w:line="1" w:lineRule="exact"/>
        <w:rPr>
          <w:rFonts w:ascii="Times New Roman" w:cs="Times New Roman" w:eastAsia="Times New Roman" w:hAnsi="Times New Roman"/>
          <w:sz w:val="18"/>
          <w:szCs w:val="18"/>
          <w:color w:val="auto"/>
        </w:rPr>
      </w:pPr>
    </w:p>
    <w:p>
      <w:pPr>
        <w:jc w:val="both"/>
        <w:ind w:left="1080" w:right="120" w:hanging="532"/>
        <w:spacing w:after="0" w:line="250"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81,710 shares of common stock (including 63,290 PIPE Shares) and (ii) 63,290 Series C Warrant Shares. Paul P. Frank III and Colleen B. Frank have voting and investment power with respect to the shares held by the Paul P. Frank III &amp; Colleen B. Frank Joint Tenants by Entirety and may be deemed to be the beneficial owners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73,816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76,447 shares of common stock (including 63,290 PIPE Shares) and (ii) 63,290 Series C Warrant Shares. Brian L. Heckler has voting and investment power with respect to the shares held by the Brain L. Heckler Revocable Trust DTD 3-4-2005 and may be deemed to be the beneficial owner of such shares.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162,897 shares of common stock (including 126,582 PIPE Shares) and (ii) 126,582 Series C Warrant Shares.</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76,316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73,790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93,290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167,897 shares of common stock (including 126,582 PIPE Shares) and (ii) 126,582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16,658 shares of common stock (including 12,658 PIPE Shares) and (ii) 12,658 Series C Warrant Shares.</w:t>
      </w:r>
    </w:p>
    <w:p>
      <w:pPr>
        <w:spacing w:after="0" w:line="9" w:lineRule="exact"/>
        <w:rPr>
          <w:rFonts w:ascii="Times New Roman" w:cs="Times New Roman" w:eastAsia="Times New Roman" w:hAnsi="Times New Roman"/>
          <w:sz w:val="18"/>
          <w:szCs w:val="18"/>
          <w:color w:val="auto"/>
        </w:rPr>
      </w:pPr>
    </w:p>
    <w:p>
      <w:pPr>
        <w:ind w:left="1080" w:right="340" w:hanging="532"/>
        <w:spacing w:after="0" w:line="265"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759,492 PIPE Shares and (ii) 759,492 Series C Warrant Shares. David A. Marvin has voting and investment power with respect to the shares held by the Marvin Family Trust DTD 3-11-1993 and may be deemed to be the beneficial owner of such shares.</w:t>
      </w:r>
    </w:p>
    <w:p>
      <w:pPr>
        <w:ind w:left="1080" w:right="20" w:hanging="532"/>
        <w:spacing w:after="0" w:line="250"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69,189 shares of common stock (including 50,632 PIPE Shares) and (ii) 50,632 Series C Warrant Shares. Jeffrey L. Miller and Khristen N. Zar have voting and investment power with respect to the shares held by the Jeffery L. Miller &amp; Khristen N. Zar JTWROS and may be deemed to be the beneficial owners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142,371 shares of common stock (including 126,582 PIPE Shares) and (ii) 126,582 Series C Warrant Shares.</w:t>
      </w:r>
    </w:p>
    <w:p>
      <w:pPr>
        <w:spacing w:after="0" w:line="9" w:lineRule="exact"/>
        <w:rPr>
          <w:rFonts w:ascii="Times New Roman" w:cs="Times New Roman" w:eastAsia="Times New Roman" w:hAnsi="Times New Roman"/>
          <w:sz w:val="18"/>
          <w:szCs w:val="18"/>
          <w:color w:val="auto"/>
        </w:rPr>
      </w:pPr>
    </w:p>
    <w:p>
      <w:pPr>
        <w:ind w:left="1080" w:right="80" w:hanging="532"/>
        <w:spacing w:after="0" w:line="250"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68,290 shares of common stock (including 63,290 PIPE Shares) and (ii) 63,290 Series C Warrant Shares. Michael P. Niland and Jill K. Niland have voting and investment power with respect to the shares held by the Michael P. Niland &amp; Jill Kathleen Niland JTWROS and may be deemed to be the beneficial owners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356,979 shares of common stock (including 253,164 PIPE Shares) and (ii) 253,164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line="250"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94,790 shares of common stock (including 63,290 PIPE Shares) and (ii) 63,290 Series C Warrant Shares. Henry Padinha has voting and investment power with respect to the shares held by the Padinha Management Trust DTD 8-12-2021 and may be deemed to be the beneficial owner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49,368 shares of common stock (including 37,974 PIPE Shares) and (ii) 37,974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33,616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18,158 shares of common stock (including 12,658 PIPE Shares) and (ii) 12,658 Series C Warrant Shares.</w:t>
      </w:r>
    </w:p>
    <w:p>
      <w:pPr>
        <w:spacing w:after="0" w:line="9" w:lineRule="exact"/>
        <w:rPr>
          <w:rFonts w:ascii="Times New Roman" w:cs="Times New Roman" w:eastAsia="Times New Roman" w:hAnsi="Times New Roman"/>
          <w:sz w:val="18"/>
          <w:szCs w:val="18"/>
          <w:color w:val="auto"/>
        </w:rPr>
      </w:pPr>
    </w:p>
    <w:p>
      <w:pPr>
        <w:ind w:left="1080" w:right="160" w:hanging="532"/>
        <w:spacing w:after="0" w:line="250"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27,816 shares of common stock (including 25,316 PIPE Shares) and (ii) 25,316 Series C Warrant Shares. Derek J. Santana and Samantha M. Santana have voting and investment power with respect to the shares held by the Derek Jorge Santana &amp; Samantha Michelle Santana JTWROS and may be deemed to be the beneficial owners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77,994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506,328 PIPE Shares and (ii) 506,328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92,605 shares of common stock (including 75,948 PIPE Shares) and (ii) 75,948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48,500 shares of common stock (including 37,974 PIPE Shares) and (ii) 37,974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56,105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60,632 shares of common stock (including 50,632 PIPE Shares) and (ii) 50,632 Series C Warrant Shares.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200,398 shares of common stock (including 189,872 PIPE Shares) and (ii) 189,872 Series C Warrant Shares.</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73,290 shares of common stock (including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line="265" w:lineRule="auto"/>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126,582 PIPE Shares and (ii) 126,582 Series C Warrant Shares. Daniel Verret, President of Candlestick Lane Investments, LP, has voting and investment power with respect to its shares and may be deemed to be the beneficial owner of such shares.</w:t>
      </w: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35,710 shares of common stock (including 25,316 PIPE Shares) and (ii) 25,316 Series C Warrant Shares.</w:t>
      </w:r>
    </w:p>
    <w:p>
      <w:pPr>
        <w:spacing w:after="0" w:line="9" w:lineRule="exact"/>
        <w:rPr>
          <w:rFonts w:ascii="Times New Roman" w:cs="Times New Roman" w:eastAsia="Times New Roman" w:hAnsi="Times New Roman"/>
          <w:sz w:val="18"/>
          <w:szCs w:val="18"/>
          <w:color w:val="auto"/>
        </w:rPr>
      </w:pPr>
    </w:p>
    <w:p>
      <w:pPr>
        <w:jc w:val="both"/>
        <w:ind w:left="1080" w:right="40" w:hanging="532"/>
        <w:spacing w:after="0" w:line="250"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41,474 shares of common stock (including 37,974 PIPE Shares) and (ii) 37,974 Series C Warrant Shares. Roger Wery has voting and investment power with respect to the shares held by the Roger Wery &amp; Rolf De Vegt Revocable Trust 9-22-2019 and may be deemed to be the beneficial owner of such shares.</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63,290 PIPE Shares and (ii) 63,290 Series C Warrant Shares.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75,948 PIPE Shares and (ii) 75,948 Series C Warrant Shares.</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of their pledgees, donees, transferees, assignees or other successors-in- 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securityholders may use one or more of the following methods when disposing of the shares or interests therein:</w:t>
      </w:r>
    </w:p>
    <w:p>
      <w:pPr>
        <w:spacing w:after="0" w:line="8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or dealers that may act solely as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disposition;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shares under Rule 144 or Rule 904 under the Securities Act of 1933, as amended, or Securities Act, if available, or Section 4(a)(1) under the Securities Act, rather than under this prospectus.</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The selling securityholders do not expect these commissions and discounts to exceed what is customary in the types of transactions involved.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securityholders to include the pledgee, transferee or other successors in interest as selling securityholders under this prospectus.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Upon being notified in writing by a selling securityholder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securityholder and of the participating broker-dealer(s), (ii) the number of shares involved, (iii) the price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securityholder that a donee or pledgee intends to sell more than 500 shares of common stock, we will file a supplement to this prospectus if then required in accordance with applicable securities law.</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also may transfer the shares of common stock in other circumstances, in which case the transferees, pledgees or other successors in interest will be the selling beneficial owners for purposes of this prospectus.</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of common stock or interests in shares of common stock, the selling securityholders may enter into hedging transactions with broker-dealers or other financial institutions, which may in turn engage in short sales of the common stock in the course of hedging the positions they assume. The selling securityholders may also sell shares of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shares may be deemed to be “underwriters” within the meaning of the Securities Act in connection with such sales. In such event, any profits realized by such selling securityholders or compensation received by such broker-dealers or agents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advised the selling securityholders that they are required to comply with Regulation M promulgated under the Securities Exchange Act of 1934, as amended, during such time as they may be engaged in a distribution of the shares. The foregoing may affect the marketability of the common stock.</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shares. We have agreed to indemnify the selling securityholders against certain losses, claims, damages and liabilities, including liabilities under the Securities Act or otherwise.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agreed with the selling securityholders to keep the registration statement of which this prospectus constitutes a part effective until the earlier of (a) such time as all of the shares covered by this prospectus have been disposed of pursuant to and in accordance with the registration statement and (b) such time as none of the shares covered by this prospectus constitute “registrable securities,” as such term is defined in the registration rights agreement by and among us and the selling securityholders.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Cooley LLP, Washington, D.C., will pass upon the validity of the securities offered by this prospectus and any supplement thereto. As of the date of this prospectus, partners of Cooley LLP and GC&amp;H Investments and GC&amp;H Investments, LLC, each an entity that is comprised of partners and associates of Cooley LLP, beneficially own an aggregate of 173,937 shares of our common stock.</w:t>
      </w: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IN8bio, Inc. for the years ended December 31, 2022 and 2023 have been audited by CohnReznick LLP, independent registered public accounting firm, as forth in their report thereon appearing in IN8bio Inc.’s Annual Report on Form 10-K for the year ended December 31, 2023,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320" w:top="455" w:right="5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9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14,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26, 2024 (excluding those portions that are not incorporated by reference into our Annual Report on Form 10-K for the fiscal year ended December 31, 2023);</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39">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0">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filed with the SEC on May 19, 2024 and August 8, 2024, respectively;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June 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6,</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 xml:space="preserve">September 11, 2024 </w:t>
        </w:r>
      </w:hyperlink>
      <w:hyperlink r:id="rId4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October 1, 2024</w:t>
        </w:r>
      </w:hyperlink>
      <w:hyperlink r:id="rId41">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4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November 10, 2020,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0000EE"/>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5th Avenue, Suite 5330, New York, New York 10118; telephone: (646) 600-6438.</w:t>
      </w:r>
    </w:p>
    <w:p>
      <w:pPr>
        <w:spacing w:after="0" w:line="112"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1921510</wp:posOffset>
            </wp:positionV>
            <wp:extent cx="2545715" cy="986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545715" cy="9861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55,494,910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1614170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1682750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2)"/>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6"/>
    </w:lvl>
  </w:abstractNum>
  <w:abstractNum w:abstractNumId="4">
    <w:nsid w:val="41B71EFB"/>
    <w:multiLevelType w:val="hybridMultilevel"/>
    <w:lvl w:ilvl="0">
      <w:lvlJc w:val="left"/>
      <w:lvlText w:val="(%1)"/>
      <w:numFmt w:val="decimal"/>
      <w:start w:val="15"/>
    </w:lvl>
  </w:abstractNum>
  <w:abstractNum w:abstractNumId="5">
    <w:nsid w:val="79E2A9E3"/>
    <w:multiLevelType w:val="hybridMultilevel"/>
    <w:lvl w:ilvl="0">
      <w:lvlJc w:val="left"/>
      <w:lvlText w:val="(%1)"/>
      <w:numFmt w:val="decimal"/>
      <w:start w:val="37"/>
    </w:lvl>
  </w:abstractNum>
  <w:abstractNum w:abstractNumId="6">
    <w:nsid w:val="7545E146"/>
    <w:multiLevelType w:val="hybridMultilevel"/>
    <w:lvl w:ilvl="0">
      <w:lvlJc w:val="left"/>
      <w:lvlText w:val="(%1)"/>
      <w:numFmt w:val="decimal"/>
      <w:start w:val="59"/>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jpe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37" Type="http://schemas.openxmlformats.org/officeDocument/2006/relationships/hyperlink" Target="http://www.sec.gov/Archives/edgar/data/1740279/000095017024031486/inab-20231231.htm" TargetMode="External"/><Relationship Id="rId38" Type="http://schemas.openxmlformats.org/officeDocument/2006/relationships/hyperlink" Target="http://www.sec.gov/Archives/edgar/data/1740279/000119312524117939/d631189ddef14a.htm" TargetMode="External"/><Relationship Id="rId39" Type="http://schemas.openxmlformats.org/officeDocument/2006/relationships/hyperlink" Target="http://www.sec.gov/Archives/edgar/data/1740279/000095017024056910/inab-20240331.htm" TargetMode="External"/><Relationship Id="rId40" Type="http://schemas.openxmlformats.org/officeDocument/2006/relationships/hyperlink" Target="http://www.sec.gov/Archives/edgar/data/1740279/000095017024093943/inab-20240630.htm" TargetMode="External"/><Relationship Id="rId41" Type="http://schemas.openxmlformats.org/officeDocument/2006/relationships/hyperlink" Target="http://www.sec.gov/Archives/edgar/data/1740279/000119312524215154/d806767d8k.htm" TargetMode="External"/><Relationship Id="rId42" Type="http://schemas.openxmlformats.org/officeDocument/2006/relationships/hyperlink" Target="http://www.sec.gov/Archives/edgar/data/1740279/000119312524217229/d853919d8k.htm" TargetMode="External"/><Relationship Id="rId43" Type="http://schemas.openxmlformats.org/officeDocument/2006/relationships/hyperlink" Target="http://www.sec.gov/Archives/edgar/data/1740279/000119312524230283/d895981d8k.htm" TargetMode="External"/><Relationship Id="rId44" Type="http://schemas.openxmlformats.org/officeDocument/2006/relationships/hyperlink" Target="http://www.sec.gov/Archives/edgar/data/1740279/000110465920123356/tm2030088d15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2024-11-12T16:25:22Z</dcterms:created>
  <dcterms:modified xsi:type="dcterms:W3CDTF">2024-11-12T16:25:22Z</dcterms:modified>
</cp:coreProperties>
</file>