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7048500" cy="4792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79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FAIRBAIRN EMILY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IN8BIO,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10/04/2024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 5TH AVENUE, SUITE 5330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10/04/2024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3,038,743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10/04/2027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3,038,743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3,038,743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Funded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3,038,743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10/04/2024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3,038,743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3,038,743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(right to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Fully vested and exercisable.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660" w:hanging="3"/>
        <w:spacing w:after="0" w:line="282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securities are included within 3,038,743 Issuer Units purchased by the Reporting Person for $0.395 per Unit. Each Unit consists of one share Pre-funded warrant and one Series C warrant each representing the right to purchase 3,038,743 shares of common stock.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securities are held by the Malcolm and Emily Charitable Remainder Unitrust 2010 (the "Trust"). The Reporting Person is the trustee of the Trust.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80" w:hanging="3"/>
        <w:spacing w:after="0" w:line="28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Pre-funded warrants have no expiration date and are exercisable at any time after the date of issuance. A holder of Pre-Funded Warrants may not exercise the Pre-Funded Warrant if the holder would beneficially own more than 4.99% of the number of shares of common stock outstanding immediately after giving effect to such exercise.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2638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2024-10-08T15:19:25Z</dcterms:created>
  <dcterms:modified xsi:type="dcterms:W3CDTF">2024-10-08T15:19:25Z</dcterms:modified>
</cp:coreProperties>
</file>