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inab-20240930.htm"/>
      <w:bookmarkStart w:id="1" w:name="ksinab20240930"/>
      <w:bookmarkEnd w:id="0"/>
      <w:bookmarkEnd w:id="1"/>
      <w:r>
        <w:rPr/>
        <w:t> </w: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2560320" cy="457200"/>
                <wp:effectExtent l="0" t="0" r="0" b="0"/>
                <wp:wrapNone/>
                <wp:docPr id="1" name="Frame3"/>
                <a:graphic xmlns:a="http://schemas.openxmlformats.org/drawingml/2006/main">
                  <a:graphicData uri="http://schemas.microsoft.com/office/word/2010/wordprocessingShape">
                    <wps:wsp>
                      <wps:cNvSpPr txBox="1"/>
                      <wps:spPr>
                        <a:xfrm>
                          <a:off x="0" y="0"/>
                          <a:ext cx="2560320" cy="457200"/>
                        </a:xfrm>
                        <a:prstGeom prst="rect"/>
                        <a:solidFill>
                          <a:srgbClr val="FFFFFF"/>
                        </a:solidFill>
                      </wps:spPr>
                      <wps:txbx>
                        <w:txbxContent>
                          <w:p>
                            <w:pPr>
                              <w:pStyle w:val="TextBody"/>
                              <w:bidi w:val="0"/>
                              <w:jc w:val="left"/>
                              <w:rPr>
                                <w:rFonts w:ascii="Arial" w:hAnsi="Arial"/>
                                <w:color w:val="000000"/>
                                <w:sz w:val="14"/>
                              </w:rPr>
                            </w:pPr>
                            <w:r>
                              <w:rPr>
                                <w:rFonts w:ascii="Arial" w:hAnsi="Arial"/>
                                <w:color w:val="000000"/>
                                <w:sz w:val="14"/>
                              </w:rPr>
                              <w:t>294993051 v2</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6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Arial" w:hAnsi="Arial"/>
                          <w:color w:val="000000"/>
                          <w:sz w:val="14"/>
                        </w:rPr>
                      </w:pPr>
                      <w:r>
                        <w:rPr>
                          <w:rFonts w:ascii="Arial" w:hAnsi="Arial"/>
                          <w:color w:val="000000"/>
                          <w:sz w:val="14"/>
                        </w:rPr>
                        <w:t>294993051 v2</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0</wp:posOffset>
                </wp:positionV>
                <wp:extent cx="2560320" cy="457200"/>
                <wp:effectExtent l="0" t="0" r="0" b="0"/>
                <wp:wrapNone/>
                <wp:docPr id="2" name="Frame2"/>
                <a:graphic xmlns:a="http://schemas.openxmlformats.org/drawingml/2006/main">
                  <a:graphicData uri="http://schemas.microsoft.com/office/word/2010/wordprocessingShape">
                    <wps:wsp>
                      <wps:cNvSpPr txBox="1"/>
                      <wps:spPr>
                        <a:xfrm>
                          <a:off x="0" y="0"/>
                          <a:ext cx="2560320" cy="457200"/>
                        </a:xfrm>
                        <a:prstGeom prst="rect"/>
                        <a:solidFill>
                          <a:srgbClr val="FFFFFF"/>
                        </a:solidFill>
                      </wps:spPr>
                      <wps:txbx>
                        <w:txbxContent>
                          <w:p>
                            <w:pPr>
                              <w:pStyle w:val="TextBody"/>
                              <w:bidi w:val="0"/>
                              <w:jc w:val="left"/>
                              <w:rPr>
                                <w:rFonts w:ascii="Arial" w:hAnsi="Arial"/>
                                <w:color w:val="000000"/>
                                <w:sz w:val="14"/>
                              </w:rPr>
                            </w:pPr>
                            <w:r>
                              <w:rPr>
                                <w:rFonts w:ascii="Arial" w:hAnsi="Arial"/>
                                <w:color w:val="000000"/>
                                <w:sz w:val="14"/>
                              </w:rPr>
                              <w:t>294993051 v2</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6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Arial" w:hAnsi="Arial"/>
                          <w:color w:val="000000"/>
                          <w:sz w:val="14"/>
                        </w:rPr>
                      </w:pPr>
                      <w:r>
                        <w:rPr>
                          <w:rFonts w:ascii="Arial" w:hAnsi="Arial"/>
                          <w:color w:val="000000"/>
                          <w:sz w:val="14"/>
                        </w:rPr>
                        <w:t>294993051 v2</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0</wp:posOffset>
                </wp:positionV>
                <wp:extent cx="2560320" cy="457200"/>
                <wp:effectExtent l="0" t="0" r="0" b="0"/>
                <wp:wrapNone/>
                <wp:docPr id="3" name="Frame1"/>
                <a:graphic xmlns:a="http://schemas.openxmlformats.org/drawingml/2006/main">
                  <a:graphicData uri="http://schemas.microsoft.com/office/word/2010/wordprocessingShape">
                    <wps:wsp>
                      <wps:cNvSpPr txBox="1"/>
                      <wps:spPr>
                        <a:xfrm>
                          <a:off x="0" y="0"/>
                          <a:ext cx="2560320" cy="457200"/>
                        </a:xfrm>
                        <a:prstGeom prst="rect"/>
                        <a:solidFill>
                          <a:srgbClr val="FFFFFF"/>
                        </a:solidFill>
                      </wps:spPr>
                      <wps:txbx>
                        <w:txbxContent>
                          <w:p>
                            <w:pPr>
                              <w:pStyle w:val="TextBody"/>
                              <w:bidi w:val="0"/>
                              <w:jc w:val="left"/>
                              <w:rPr>
                                <w:rFonts w:ascii="Arial" w:hAnsi="Arial"/>
                                <w:color w:val="000000"/>
                                <w:sz w:val="14"/>
                              </w:rPr>
                            </w:pPr>
                            <w:r>
                              <w:rPr>
                                <w:rFonts w:ascii="Arial" w:hAnsi="Arial"/>
                                <w:color w:val="000000"/>
                                <w:sz w:val="14"/>
                              </w:rPr>
                              <w:t>294993051 v2</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6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Arial" w:hAnsi="Arial"/>
                          <w:color w:val="000000"/>
                          <w:sz w:val="14"/>
                        </w:rPr>
                      </w:pPr>
                      <w:r>
                        <w:rPr>
                          <w:rFonts w:ascii="Arial" w:hAnsi="Arial"/>
                          <w:color w:val="000000"/>
                          <w:sz w:val="14"/>
                        </w:rPr>
                        <w:t>294993051 v2</w:t>
                      </w:r>
                    </w:p>
                    <w:p>
                      <w:pPr>
                        <w:pStyle w:val="TextBody"/>
                        <w:bidi w:val="0"/>
                        <w:spacing w:before="0" w:after="283"/>
                        <w:jc w:val="left"/>
                        <w:rPr/>
                      </w:pPr>
                      <w:r>
                        <w:rPr/>
                        <w:t> </w:t>
                      </w:r>
                    </w:p>
                  </w:txbxContent>
                </v:textbox>
                <w10:wrap type="none"/>
              </v:rect>
            </w:pict>
          </mc:Fallback>
        </mc:AlternateConten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001-39692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82-5462585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350 5th Avenue, Suite 5330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10118</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(646) 600-6438</w:t>
      </w:r>
    </w:p>
    <w:p>
      <w:pPr>
        <w:pStyle w:val="TextBody"/>
        <w:pBdr>
          <w:bottom w:val="single" w:sz="4" w:space="1" w:color="000000"/>
        </w:pBdr>
        <w:bidi w:val="0"/>
        <w:jc w:val="center"/>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INAB</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The number of shares of Registrant’s Common Stock outstanding as of November 11, 2024 was 72,483,253.</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nver">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_financial_statement_sche">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both"/>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34"/>
        <w:gridCol w:w="146"/>
        <w:gridCol w:w="216"/>
        <w:gridCol w:w="862"/>
        <w:gridCol w:w="166"/>
        <w:gridCol w:w="146"/>
        <w:gridCol w:w="217"/>
        <w:gridCol w:w="805"/>
        <w:gridCol w:w="413"/>
      </w:tblGrid>
      <w:tr>
        <w:trPr/>
        <w:tc>
          <w:tcPr>
            <w:tcW w:w="7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72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vAlign w:val="center"/>
          </w:tcPr>
          <w:p>
            <w:pPr>
              <w:pStyle w:val="TableContents"/>
              <w:bidi w:val="0"/>
              <w:spacing w:before="0" w:after="283"/>
              <w:jc w:val="center"/>
              <w:rPr/>
            </w:pPr>
            <w:r>
              <w:rPr/>
              <w:t> </w:t>
            </w:r>
          </w:p>
        </w:tc>
      </w:tr>
      <w:tr>
        <w:trPr/>
        <w:tc>
          <w:tcPr>
            <w:tcW w:w="72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(Note 2)</w:t>
            </w:r>
          </w:p>
        </w:tc>
        <w:tc>
          <w:tcPr>
            <w:tcW w:w="413" w:type="dxa"/>
            <w:tcBorders/>
            <w:shd w:fill="CFF0FC" w:val="clear"/>
            <w:vAlign w:val="center"/>
          </w:tcPr>
          <w:p>
            <w:pPr>
              <w:pStyle w:val="TableContents"/>
              <w:bidi w:val="0"/>
              <w:spacing w:before="0" w:after="283"/>
              <w:jc w:val="center"/>
              <w:rPr/>
            </w:pPr>
            <w:r>
              <w:rPr/>
              <w:t> </w:t>
            </w:r>
          </w:p>
        </w:tc>
      </w:tr>
      <w:tr>
        <w:trPr/>
        <w:tc>
          <w:tcPr>
            <w:tcW w:w="7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issuance costs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723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7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September 30, 2024 and December 31, 2023, respectively. No shares issued and outstanding</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September 30, 2024 and December 31, 2023; 46,786,948 and 43,287,325 shares issued and outstanding at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116,152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4"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0"/>
        <w:gridCol w:w="211"/>
        <w:gridCol w:w="1036"/>
        <w:gridCol w:w="346"/>
        <w:gridCol w:w="346"/>
        <w:gridCol w:w="211"/>
        <w:gridCol w:w="1036"/>
        <w:gridCol w:w="346"/>
        <w:gridCol w:w="346"/>
        <w:gridCol w:w="211"/>
        <w:gridCol w:w="1036"/>
        <w:gridCol w:w="346"/>
        <w:gridCol w:w="346"/>
        <w:gridCol w:w="211"/>
        <w:gridCol w:w="1036"/>
        <w:gridCol w:w="391"/>
      </w:tblGrid>
      <w:tr>
        <w:trPr/>
        <w:tc>
          <w:tcPr>
            <w:tcW w:w="2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0" w:type="dxa"/>
            <w:tcBorders/>
            <w:shd w:fill="FFFFFF" w:val="clear"/>
            <w:vAlign w:val="center"/>
          </w:tcPr>
          <w:p>
            <w:pPr>
              <w:pStyle w:val="TableContents"/>
              <w:bidi w:val="0"/>
              <w:spacing w:before="0" w:after="283"/>
              <w:jc w:val="center"/>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34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10,007</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w:t>
            </w:r>
          </w:p>
        </w:tc>
        <w:tc>
          <w:tcPr>
            <w:tcW w:w="391" w:type="dxa"/>
            <w:tcBorders/>
            <w:shd w:fill="CFF0FC"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7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47,321,394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31,545,783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45,690,587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28,275,193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3"/>
        <w:gridCol w:w="146"/>
        <w:gridCol w:w="146"/>
        <w:gridCol w:w="916"/>
        <w:gridCol w:w="146"/>
        <w:gridCol w:w="146"/>
        <w:gridCol w:w="249"/>
        <w:gridCol w:w="442"/>
        <w:gridCol w:w="146"/>
        <w:gridCol w:w="146"/>
        <w:gridCol w:w="196"/>
        <w:gridCol w:w="691"/>
        <w:gridCol w:w="166"/>
        <w:gridCol w:w="146"/>
        <w:gridCol w:w="217"/>
        <w:gridCol w:w="834"/>
        <w:gridCol w:w="166"/>
        <w:gridCol w:w="146"/>
        <w:gridCol w:w="322"/>
        <w:gridCol w:w="993"/>
        <w:gridCol w:w="412"/>
      </w:tblGrid>
      <w:tr>
        <w:trPr/>
        <w:tc>
          <w:tcPr>
            <w:tcW w:w="3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4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shd w:fill="FFFFFF" w:val="clear"/>
            <w:vAlign w:val="center"/>
          </w:tcPr>
          <w:p>
            <w:pPr>
              <w:pStyle w:val="TableContents"/>
              <w:bidi w:val="0"/>
              <w:spacing w:before="0" w:after="283"/>
              <w:jc w:val="center"/>
              <w:rPr/>
            </w:pPr>
            <w:r>
              <w:rPr/>
              <w:t> </w:t>
            </w:r>
          </w:p>
        </w:tc>
      </w:tr>
      <w:tr>
        <w:trPr/>
        <w:tc>
          <w:tcPr>
            <w:tcW w:w="34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24,545,157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(61,212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22,732</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24,960,869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16,788</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5,645,250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11,707</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30,606,119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(76,452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31,975,929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17,758</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15"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r>
        <w:trPr/>
        <w:tc>
          <w:tcPr>
            <w:tcW w:w="34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43,287,325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(91,219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24,937</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43,287,325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(99,781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3,127,331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3,528</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upon exercise of Series A warrants,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46,434,656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(108,410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2"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34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34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46,786,948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8,588</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87" w:type="dxa"/>
        <w:jc w:val="left"/>
        <w:tblInd w:w="0" w:type="dxa"/>
        <w:tblLayout w:type="fixed"/>
        <w:tblCellMar>
          <w:top w:w="28" w:type="dxa"/>
          <w:left w:w="28" w:type="dxa"/>
          <w:bottom w:w="28" w:type="dxa"/>
          <w:right w:w="28" w:type="dxa"/>
        </w:tblCellMar>
      </w:tblPr>
      <w:tblGrid>
        <w:gridCol w:w="6336"/>
        <w:gridCol w:w="146"/>
        <w:gridCol w:w="248"/>
        <w:gridCol w:w="866"/>
        <w:gridCol w:w="195"/>
        <w:gridCol w:w="171"/>
        <w:gridCol w:w="248"/>
        <w:gridCol w:w="866"/>
        <w:gridCol w:w="611"/>
      </w:tblGrid>
      <w:tr>
        <w:trPr/>
        <w:tc>
          <w:tcPr>
            <w:tcW w:w="6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construction in progress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3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3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3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3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3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deferred issuance costs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issuance costs from December 2023 issuance of common stock</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Series A warrants, net of issuance costs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Principal payments on finance leases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611" w:type="dxa"/>
            <w:tcBorders/>
            <w:shd w:fill="FFFFFF" w:val="clear"/>
            <w:vAlign w:val="center"/>
          </w:tcPr>
          <w:p>
            <w:pPr>
              <w:pStyle w:val="TableContents"/>
              <w:bidi w:val="0"/>
              <w:spacing w:before="0" w:after="283"/>
              <w:jc w:val="left"/>
              <w:rPr/>
            </w:pPr>
            <w:r>
              <w:rPr/>
              <w:t> </w:t>
            </w:r>
          </w:p>
        </w:tc>
      </w:tr>
      <w:tr>
        <w:trPr/>
        <w:tc>
          <w:tcPr>
            <w:tcW w:w="6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period</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end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vAlign w:val="center"/>
          </w:tcPr>
          <w:p>
            <w:pPr>
              <w:pStyle w:val="TableContents"/>
              <w:bidi w:val="0"/>
              <w:spacing w:before="0" w:after="283"/>
              <w:jc w:val="left"/>
              <w:rPr>
                <w:sz w:val="4"/>
                <w:szCs w:val="4"/>
              </w:rPr>
            </w:pPr>
            <w:r>
              <w:rPr>
                <w:sz w:val="4"/>
                <w:szCs w:val="4"/>
              </w:rPr>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sz w:val="4"/>
                <w:szCs w:val="4"/>
              </w:rPr>
            </w:pPr>
            <w:r>
              <w:rPr>
                <w:sz w:val="4"/>
                <w:szCs w:val="4"/>
              </w:rPr>
            </w:r>
          </w:p>
        </w:tc>
        <w:tc>
          <w:tcPr>
            <w:tcW w:w="1114"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Initial measurement of operating lease right-of-use assets and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Initial measurement of finance lease right-of-use assets and liabilities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modification of operating lease right-of-use assets and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3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 of construction in progress to property and equipment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3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in progress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
      <w:bookmarkEnd w:id="8"/>
      <w:r>
        <w:rPr>
          <w:rFonts w:ascii="Times New Roman" w:hAnsi="Times New Roman"/>
          <w:b/>
          <w:caps/>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IN8bio, Inc. (the "Company", "our" or "we") is a clinical-stage biopharmaceutical company focused on the discovery, development and commercialization of gamma-delta T cell product candidates for solid and liquid tumors. The Company’s lead product candidate, INB-100, is currently in an ongoing investigator-sponsored Phase 1 clinical trial of acute myeloid leukemia ("AML"). In addition, the Company’s DeltEx platform has yielded a broad portfolio of preclinical programs, including INB-300 and INB-500, focused on addressing AML and other solid and hematological cancers.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Pipeline Prioritization and Workforce Reduction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2024, the Company announced a plan to optimize its resource allocation through a pipeline prioritization by suspending further development on INB-400 and focusing on development of INB-100 and a workforce reduction of approximately 49%, across all functions. The Company incurred one-time costs of $1.1 million, including stock-based compensation expense of $0.8 million resulting from acceleration in full of outstanding unvested stock options at the separation date for the impacted employees, and $0.3 million related to severance payments during the three months ended September 30, 2024. In combination with this reduction, the executive management team and the Board agreed to a 11% reduction in their cash compensation, effective as of September 1, 2024.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sz w:val="20"/>
        </w:rPr>
      </w:pPr>
      <w:r>
        <w:rPr>
          <w:rFonts w:ascii="Times New Roman" w:hAnsi="Times New Roman"/>
          <w:color w:val="000000"/>
          <w:sz w:val="20"/>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$24.3 million and $22.4 million for the nine months ended September 30, 2024 and 2023, respectively. As of September 30, 2024, the Company had an accumulated deficit of $115.5 million. 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This includes our ability to achieve the anticipated milestones and the timing of data releases and/or regulatory filings for our preclinical and clinical programs</w:t>
      </w:r>
      <w:r>
        <w:rPr>
          <w:rFonts w:ascii="Times New Roman" w:hAnsi="Times New Roman"/>
          <w:color w:val="000000"/>
          <w:sz w:val="24"/>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not yet generated product sales and as a result has experienced operating losses since inception. The Company expects to incur additional losses in the future as it advances its product candidates through clinical trials, seeks to 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revised business strategy, which was announced in September 2024, the Company expects that its existing cash of $4.0 million as of September 30, 2024 plus the net proceeds of $11.6 million from the 2024 Private Placement (as described in Note 14, Subsequent Events) will fund the Company’s projected operating expenses and capital expenditure requirements through December 2025. Accordingly, there is substantial doubt about the Company’s ability to continue to operate as a going concern for a period of 12 months from the date of issuance of these condensed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continue to fund the operations of the Company beyond this time period, management has developed plans, which primarily consist of raising additional capital through some combination of equity and/or debt offerings, including through at-the-market program ("ATM") offerings and/or private placements of securities, and identifying strategic collaborations, licensing or other arrangements to support development of the Company’s product candidates. During the nine months ended September 30, 2024, the Company sold an aggregate of 3,479,623 shares of its common stock under the ATM program, resulting in net proceeds of approximately $3.8 million after deducting commissions and offering expenses.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the Company may receive up to $5.4 million from the exercise of its outstanding Series A ordinary warrants ("Series A warrants") and up to $12.4 million from the exercise of its outstanding Series C common stock purchase warrants (“Series C warrants”). Further, if not otherwise redeemed by the Company, the Company may also receive aggregate proceeds of up to $17.7 million from the exercise of its outstanding Series B ordinary warrants ("Series B warrants"). See Note 8, Warrants, and Note 14, Subsequent Events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information. There is no assurance, however, that the Company will receive any additional proceeds from these warrants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our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condensed financial statements. These actions may cause the Company’s stockholders to lose all or part of their investment in the Company’s common stock. The accompanying condensed financial statements have been prepared on the basis that the Company will continue as a going concern and do not include adjustments that might result from the outcome of this uncertainty.</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which are disclosed in the audited financial statements for the year ended December 31, 2023 and the notes thereto, are included in the Company’s Annual Report on Form 10-K (the "Annual Report") that was filed with the Securities and Exchange Commission ("SEC") on March 14, 2024. Since the date of that filing, there have been no material changes to the Company’s significant accounting policies.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prepared the accompanying condensed financial statements in conformity with generally accepted accounting principles in the United States ("U.S. GAAP").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Company's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pStyle w:val="TextBody"/>
        <w:bidi w:val="0"/>
        <w:spacing w:before="36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financial statements in conformity with U.S. GAAP requires management to make estimates and assumptions that affect the reported amounts of assets and liabilities, disclosure of contingent assets and liabilities at the date of the condensed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expose the Company to significant concentrations of credit risk consist primarily of cash. All of the Company’s cash and restricted cash is deposited in accounts with major financial institutions. Such deposits are in excess of the federally insured limits.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and amortization of property and equipment is calculated using the straight-line method over the estimated useful lives of the assets. Significant replacements and improvements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capitalized, while maintenance and repairs, which do not improve or extend the life of the respective assets, are charged to expense as incurred. The estimated useful lives of the Company’s respective assets are as follows:</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92" w:type="dxa"/>
            <w:tcBorders/>
            <w:vAlign w:val="center"/>
          </w:tcPr>
          <w:p>
            <w:pPr>
              <w:pStyle w:val="TableContents"/>
              <w:bidi w:val="0"/>
              <w:spacing w:before="0" w:after="283"/>
              <w:jc w:val="left"/>
              <w:rPr/>
            </w:pPr>
            <w:r>
              <w:rPr/>
              <w:t> </w:t>
            </w:r>
          </w:p>
        </w:tc>
      </w:tr>
      <w:tr>
        <w:trPr/>
        <w:tc>
          <w:tcPr>
            <w:tcW w:w="22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7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shorter of the useful life of the leasehold improvement or the remaining term of the lease </w:t>
            </w:r>
          </w:p>
        </w:tc>
        <w:tc>
          <w:tcPr>
            <w:tcW w:w="192" w:type="dxa"/>
            <w:tcBorders/>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condensed balance sheets and any gain or loss is reflected in the statements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capitalizes the application development phase costs of internal use software in accordance with Accounting Standards Codification ("ASC") 350-40, </w:t>
      </w:r>
      <w:r>
        <w:rPr>
          <w:rFonts w:ascii="Times New Roman" w:hAnsi="Times New Roman"/>
          <w:i/>
          <w:color w:val="000000"/>
          <w:sz w:val="20"/>
        </w:rPr>
        <w:t>Intangibles-Goodwill and Other-Internal Use Software</w:t>
      </w:r>
      <w:r>
        <w:rPr>
          <w:rFonts w:ascii="Times New Roman" w:hAnsi="Times New Roman"/>
          <w:color w:val="000000"/>
          <w:sz w:val="20"/>
        </w:rPr>
        <w:t>. Capitalized costs will be amortized on a straight-line basis over the estimated useful life of the asset upon completion.</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Issued Accounting Standards Updates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requires disclosure of incremental segment information on an annual and interim basis. This ASU is effective for fiscal years beginning after December 15, 2023, and interim periods within fiscal years beginning after December 15, 2024 on a retrospective basis. The Company does not expect the adoption of this ASU to have a material impact on the Company's disclosures.</w:t>
      </w:r>
    </w:p>
    <w:p>
      <w:pPr>
        <w:pStyle w:val="TextBody"/>
        <w:bidi w:val="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expands the disclosures required for income taxes. This ASU is effective for fiscal years beginning after December 15, 2024, with early adoption permitted. The amendment should be applied on a prospective basis while retrospective application is permitted. The Company is currently evaluating the effect of this pronouncement on its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evaluated all other issued and unadopted Accounting Standard Updates and believes the adoption of these standards will not have a material impact on the condensed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Prepaid expenses and other current assets consist of the following (in thousands): </w:t>
      </w:r>
    </w:p>
    <w:p>
      <w:pPr>
        <w:pStyle w:val="TextBody"/>
        <w:bidi w:val="0"/>
        <w:spacing w:before="120" w:after="283"/>
        <w:jc w:val="both"/>
        <w:rPr/>
      </w:pPr>
      <w:r>
        <w:rPr/>
        <w:t> </w:t>
      </w:r>
    </w:p>
    <w:tbl>
      <w:tblPr>
        <w:tblW w:w="6645" w:type="dxa"/>
        <w:jc w:val="left"/>
        <w:tblInd w:w="0" w:type="dxa"/>
        <w:tblLayout w:type="fixed"/>
        <w:tblCellMar>
          <w:top w:w="28" w:type="dxa"/>
          <w:left w:w="28" w:type="dxa"/>
          <w:bottom w:w="28" w:type="dxa"/>
          <w:right w:w="28" w:type="dxa"/>
        </w:tblCellMar>
      </w:tblPr>
      <w:tblGrid>
        <w:gridCol w:w="3451"/>
        <w:gridCol w:w="146"/>
        <w:gridCol w:w="351"/>
        <w:gridCol w:w="954"/>
        <w:gridCol w:w="146"/>
        <w:gridCol w:w="146"/>
        <w:gridCol w:w="339"/>
        <w:gridCol w:w="92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professional and consulting fees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both"/>
        <w:rPr/>
      </w:pPr>
      <w:r>
        <w:rPr/>
        <w:t> </w:t>
      </w:r>
    </w:p>
    <w:tbl>
      <w:tblPr>
        <w:tblW w:w="7285" w:type="dxa"/>
        <w:jc w:val="left"/>
        <w:tblInd w:w="0" w:type="dxa"/>
        <w:tblLayout w:type="fixed"/>
        <w:tblCellMar>
          <w:top w:w="28" w:type="dxa"/>
          <w:left w:w="28" w:type="dxa"/>
          <w:bottom w:w="28" w:type="dxa"/>
          <w:right w:w="28" w:type="dxa"/>
        </w:tblCellMar>
      </w:tblPr>
      <w:tblGrid>
        <w:gridCol w:w="4051"/>
        <w:gridCol w:w="146"/>
        <w:gridCol w:w="327"/>
        <w:gridCol w:w="978"/>
        <w:gridCol w:w="166"/>
        <w:gridCol w:w="146"/>
        <w:gridCol w:w="314"/>
        <w:gridCol w:w="94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$0.3 million for the three months ended September 30, 2024 and 2023 and was $0.7 million for the nine months ended September 30, 2024 and 2023.</w:t>
      </w:r>
    </w:p>
    <w:p>
      <w:pPr>
        <w:pStyle w:val="TextBody"/>
        <w:bidi w:val="0"/>
        <w:spacing w:before="360" w:after="283"/>
        <w:jc w:val="both"/>
        <w:rPr>
          <w:rFonts w:ascii="Times New Roman" w:hAnsi="Times New Roman"/>
          <w:sz w:val="20"/>
        </w:rPr>
      </w:pPr>
      <w:r>
        <w:rPr>
          <w:rFonts w:ascii="Times New Roman" w:hAnsi="Times New Roman"/>
          <w:b/>
          <w:caps/>
          <w:color w:val="000000"/>
          <w:sz w:val="20"/>
        </w:rPr>
        <w:t>5. CONSTRUCTION IN PROGRESS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Construction in progress consists of the following (in thousands):</w:t>
      </w:r>
    </w:p>
    <w:p>
      <w:pPr>
        <w:pStyle w:val="TextBody"/>
        <w:bidi w:val="0"/>
        <w:jc w:val="both"/>
        <w:rPr/>
      </w:pPr>
      <w:r>
        <w:rPr/>
        <w:t> </w:t>
      </w:r>
    </w:p>
    <w:tbl>
      <w:tblPr>
        <w:tblW w:w="6420" w:type="dxa"/>
        <w:jc w:val="left"/>
        <w:tblInd w:w="0" w:type="dxa"/>
        <w:tblLayout w:type="fixed"/>
        <w:tblCellMar>
          <w:top w:w="28" w:type="dxa"/>
          <w:left w:w="28" w:type="dxa"/>
          <w:bottom w:w="28" w:type="dxa"/>
          <w:right w:w="28" w:type="dxa"/>
        </w:tblCellMar>
      </w:tblPr>
      <w:tblGrid>
        <w:gridCol w:w="3226"/>
        <w:gridCol w:w="146"/>
        <w:gridCol w:w="494"/>
        <w:gridCol w:w="811"/>
        <w:gridCol w:w="146"/>
        <w:gridCol w:w="146"/>
        <w:gridCol w:w="419"/>
        <w:gridCol w:w="84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 not yet in service</w:t>
            </w:r>
          </w:p>
        </w:tc>
        <w:tc>
          <w:tcPr>
            <w:tcW w:w="146" w:type="dxa"/>
            <w:tcBorders/>
            <w:shd w:fill="CFF0FC" w:val="cle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aps/>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both"/>
        <w:rPr/>
      </w:pPr>
      <w:r>
        <w:rPr/>
        <w:t> </w:t>
      </w:r>
    </w:p>
    <w:tbl>
      <w:tblPr>
        <w:tblW w:w="7020" w:type="dxa"/>
        <w:jc w:val="left"/>
        <w:tblInd w:w="0" w:type="dxa"/>
        <w:tblLayout w:type="fixed"/>
        <w:tblCellMar>
          <w:top w:w="28" w:type="dxa"/>
          <w:left w:w="28" w:type="dxa"/>
          <w:bottom w:w="28" w:type="dxa"/>
          <w:right w:w="28" w:type="dxa"/>
        </w:tblCellMar>
      </w:tblPr>
      <w:tblGrid>
        <w:gridCol w:w="3826"/>
        <w:gridCol w:w="146"/>
        <w:gridCol w:w="434"/>
        <w:gridCol w:w="871"/>
        <w:gridCol w:w="146"/>
        <w:gridCol w:w="146"/>
        <w:gridCol w:w="339"/>
        <w:gridCol w:w="92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trials</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7.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authorized capital stock consists of 500,000,000 shares, all with a par value of $0.0001 per share, of which 490,000,000 shares are designated as common stock and 10,000,000 shares are designated as preferred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the Company filed a shelf registration statement on Form S-3 (File No. 333-268288) (the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ATM.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During the year ended December 31, 2023, the Company sold an aggregate of 7,492,580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its common stock under the ATM program, resulting in net proceeds of approximately $14.4 million after deducting underwriting discounts and offering expenses. During the nine months ended September 30, 2024, the Company sold an aggregate of 3,479,623 shares of its common stock under the ATM program, resulting in net proceeds of approximately $3.8 million after deducting underwriting discounts and offering expenses. As of September 30, 2024, $14.7 million remained available for the sale of our common stock under the ATM program.</w:t>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8. 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Series A warrants had an initial exercise price of $1.25 per share. The Series A warrants are exercisable immediately and were initially set to expire on June 13, 2025. </w:t>
      </w:r>
      <w:r>
        <w:rPr>
          <w:rFonts w:ascii="Times New Roman" w:hAnsi="Times New Roman"/>
          <w:color w:val="212529"/>
          <w:sz w:val="20"/>
        </w:rPr>
        <w:t xml:space="preserve">In connection with the closing of the 2024 Private Placement, the Company amended certain of the Company’s outstanding Series A warrants, representing approximately 11,734,076 shares of the Company’s Common Stock, to (i) reduce the exercise price from $1.25 to $0.45 per share and (ii) extend the termination date of the Series A Warrants to October 4, 2025 (collectively, "Amendment No. 1"). Refer to Footnote 14 "Subsequent Events" for further information. </w:t>
      </w:r>
      <w:r>
        <w:rPr>
          <w:rFonts w:ascii="Times New Roman" w:hAnsi="Times New Roman"/>
          <w:color w:val="000000"/>
          <w:sz w:val="20"/>
        </w:rPr>
        <w:t>The Series A warrants meet the criteria for permanent equity classification. As of September 30, 2024, 11,803,829 Series A warrants were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B warrants have an exercise price of $1.50 per share. The Series B warrants are exercisable immediately and expire on December 13, 2028. The Series B warrants allow the Company to redeem such warrants at a price of $0.01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$1.50 per share prior to such redemption. The Series B warrants meet the criteria for permanent equity classification. As of September 30, 2024, 11,823,829 Series B warrants were issued and outstanding.</w:t>
      </w:r>
    </w:p>
    <w:p>
      <w:pPr>
        <w:pStyle w:val="TextBody"/>
        <w:bidi w:val="0"/>
        <w:spacing w:before="360" w:after="283"/>
        <w:jc w:val="both"/>
        <w:rPr>
          <w:rFonts w:ascii="Times New Roman" w:hAnsi="Times New Roman"/>
          <w:sz w:val="20"/>
        </w:rPr>
      </w:pPr>
      <w:r>
        <w:rPr>
          <w:rFonts w:ascii="Times New Roman" w:hAnsi="Times New Roman"/>
          <w:b/>
          <w:caps/>
          <w:color w:val="000000"/>
          <w:sz w:val="20"/>
        </w:rPr>
        <w:t>9. STOCK-BASED COMPENSATION</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Amended and Restated 2023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7,400,000,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41,000,000 shares. Pursuant to the terms of the 2023 Plan, the number of shares available under the 2023 Plan was increased by 2,164,366 shares effective January 1, 2024. As of September 30, 2024, 4,939,565 shares were available for grant pursuant to the 2023 Plan, including the increase effective January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2020 Employee Stock Purchase Plan (the "ESPP") was approved by the Company’s Board of Directors and the Company’s stockholders and became effective on July 29, 2021. A total of 200,000 shares of common stock were initially reserved for issuance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this plan, which automatically increases on January 1 of each year by the lesser of (i) 1% of the outstanding number of shares of common stock on the immediately preceding December 31 and (ii) 400,000, or such lesser number of shares as determined by the Board of Directors. As of September 30, 2024, no shares of common stock had been issued under the ESPP and 387,812 shares remained available for future issuance under the ESPP. The Company’s Board of Directors or designated committee has not set an offering period. Pursuant to the terms of the ESPP, the number of shares available under the ESPP increased by 400,000 shares, effective January 1,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stock option award activity during the nine months ended September 30, 2024: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13"/>
        <w:gridCol w:w="146"/>
        <w:gridCol w:w="146"/>
        <w:gridCol w:w="1036"/>
        <w:gridCol w:w="166"/>
        <w:gridCol w:w="146"/>
        <w:gridCol w:w="304"/>
        <w:gridCol w:w="672"/>
        <w:gridCol w:w="146"/>
        <w:gridCol w:w="146"/>
        <w:gridCol w:w="268"/>
        <w:gridCol w:w="858"/>
        <w:gridCol w:w="146"/>
        <w:gridCol w:w="146"/>
        <w:gridCol w:w="423"/>
        <w:gridCol w:w="850"/>
        <w:gridCol w:w="393"/>
      </w:tblGrid>
      <w:tr>
        <w:trPr/>
        <w:tc>
          <w:tcPr>
            <w:tcW w:w="4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2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4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42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4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4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10,062,191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r>
        <w:trPr/>
        <w:tc>
          <w:tcPr>
            <w:tcW w:w="4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jc w:val="left"/>
              <w:rPr/>
            </w:pPr>
            <w:r>
              <w:rPr/>
              <w:t> </w:t>
            </w:r>
          </w:p>
        </w:tc>
      </w:tr>
      <w:tr>
        <w:trPr/>
        <w:tc>
          <w:tcPr>
            <w:tcW w:w="4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options granted during the nine months ended September 30, 2024 and 2023 was $0.89 and $1.59, respectively. The aggregate intrinsic value is calculated as the difference between the exercise price and the market price of the Company’s common stock at September 30, 2024 and December 31,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nine months ended September 30, 2024 and 2023,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both"/>
        <w:rPr/>
      </w:pPr>
      <w:r>
        <w:rPr/>
        <w:t> </w:t>
      </w:r>
    </w:p>
    <w:tbl>
      <w:tblPr>
        <w:tblW w:w="5320" w:type="dxa"/>
        <w:jc w:val="left"/>
        <w:tblInd w:w="0" w:type="dxa"/>
        <w:tblLayout w:type="fixed"/>
        <w:tblCellMar>
          <w:top w:w="28" w:type="dxa"/>
          <w:left w:w="28" w:type="dxa"/>
          <w:bottom w:w="28" w:type="dxa"/>
          <w:right w:w="28" w:type="dxa"/>
        </w:tblCellMar>
      </w:tblPr>
      <w:tblGrid>
        <w:gridCol w:w="1846"/>
        <w:gridCol w:w="146"/>
        <w:gridCol w:w="1621"/>
        <w:gridCol w:w="146"/>
        <w:gridCol w:w="15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90.31% - 104.93%</w:t>
            </w:r>
          </w:p>
        </w:tc>
        <w:tc>
          <w:tcPr>
            <w:tcW w:w="14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91.91% - 95.08%</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3.61% - 4.65%</w:t>
            </w:r>
          </w:p>
        </w:tc>
        <w:tc>
          <w:tcPr>
            <w:tcW w:w="14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3.58% - 4.43%</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September 30, 2024, we recorded additional stock-based compensation expense of $0.8 million related to the modification and acceleration of vesting of certain stock option awards in connection with the Company's workforce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reduction. Stock-based compensation expense was recorded in the following line items in the condensed statements of operations for the three and nine months ended September 30, 2024 and 2023 (in thousands): </w:t>
      </w:r>
    </w:p>
    <w:p>
      <w:pPr>
        <w:pStyle w:val="TextBody"/>
        <w:bidi w:val="0"/>
        <w:jc w:val="both"/>
        <w:rPr/>
      </w:pPr>
      <w:r>
        <w:rPr/>
        <w:t> </w:t>
      </w:r>
    </w:p>
    <w:tbl>
      <w:tblPr>
        <w:tblW w:w="7810" w:type="dxa"/>
        <w:jc w:val="left"/>
        <w:tblInd w:w="0" w:type="dxa"/>
        <w:tblLayout w:type="fixed"/>
        <w:tblCellMar>
          <w:top w:w="28" w:type="dxa"/>
          <w:left w:w="28" w:type="dxa"/>
          <w:bottom w:w="28" w:type="dxa"/>
          <w:right w:w="28" w:type="dxa"/>
        </w:tblCellMar>
      </w:tblPr>
      <w:tblGrid>
        <w:gridCol w:w="3451"/>
        <w:gridCol w:w="146"/>
        <w:gridCol w:w="213"/>
        <w:gridCol w:w="577"/>
        <w:gridCol w:w="147"/>
        <w:gridCol w:w="147"/>
        <w:gridCol w:w="213"/>
        <w:gridCol w:w="577"/>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related tax benefits from stock-based compensation expense were recognized for the three and nine months ended September 30, 2024 and 2023. As of September 30, 2024, there was $5.0 million in unrecognized stock-based compensation expense, which is expected to be recognized over a weighted-average period of 1.99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LICENSE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Emory License Agreement, the Company paid Emory University a nominal upfront payment. In addition, the Company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UABRF License Agreement, the Company paid UABRF a nominal upfront payment and issued 91,250 shares of common stock to UABRF, which were subject to certain antidilution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receive, including from any sublicenses. The UABRF License Agreement also requires the Company to reimburse UABRF for the cost of the prosecution and maintenance of the licensed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UABRF License Agreement, the Company is required to use good faith reasonable commercial efforts to develop, manufacture and commercialize the licensed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pStyle w:val="TextBody"/>
        <w:bidi w:val="0"/>
        <w:spacing w:before="360" w:after="283"/>
        <w:jc w:val="both"/>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is calculated as follows (in thousands, except share and per share amounts):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w:t>
              <w:br/>
              <w:t>   per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47,321,394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31,545,783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45,690,587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28,275,193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p>
      <w:pPr>
        <w:pStyle w:val="TextBody"/>
        <w:bidi w:val="0"/>
        <w:jc w:val="both"/>
        <w:rPr/>
      </w:pPr>
      <w:r>
        <w:rPr/>
        <w:t> </w:t>
      </w:r>
    </w:p>
    <w:tbl>
      <w:tblPr>
        <w:tblW w:w="8890" w:type="dxa"/>
        <w:jc w:val="left"/>
        <w:tblInd w:w="0" w:type="dxa"/>
        <w:tblLayout w:type="fixed"/>
        <w:tblCellMar>
          <w:top w:w="28" w:type="dxa"/>
          <w:left w:w="28" w:type="dxa"/>
          <w:bottom w:w="28" w:type="dxa"/>
          <w:right w:w="28" w:type="dxa"/>
        </w:tblCellMar>
      </w:tblPr>
      <w:tblGrid>
        <w:gridCol w:w="3451"/>
        <w:gridCol w:w="146"/>
        <w:gridCol w:w="146"/>
        <w:gridCol w:w="1036"/>
        <w:gridCol w:w="146"/>
        <w:gridCol w:w="146"/>
        <w:gridCol w:w="931"/>
        <w:gridCol w:w="146"/>
        <w:gridCol w:w="146"/>
        <w:gridCol w:w="146"/>
        <w:gridCol w:w="1036"/>
        <w:gridCol w:w="146"/>
        <w:gridCol w:w="146"/>
        <w:gridCol w:w="9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8,512,574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5,351,910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32,857,010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32,147,458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5,351,910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aps/>
          <w:color w:val="000000"/>
          <w:sz w:val="20"/>
        </w:rPr>
        <w:t>12.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aps/>
          <w:color w:val="000000"/>
          <w:sz w:val="20"/>
        </w:rPr>
        <w:t>13. EQUIPMENT AND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lease arrangements for its facilities. As of September 30, 2024,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 equipment leasing company in 2018, which provided up to $2.5 million for equipment purchases in the form of sale and leasebacks or direct leases. As of September 30, 2024, the Company has 11 active leases from the leasing company. The terms of the leases are three years and afterwards provide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another equipment leasing company in the second quarter of 2023. As of September 30, 2024, the Company has one active lease from this leasing company. In June 2024, the Company entered into two new finance lease agreements with another leasing company. The terms of these lease are three years and afterwards provide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equipment leases require three advance rental payments to be held as security deposits. The security deposits held amounted to approximately $0.3 million as of September 30, 2024 and December 31, 2023, and are included in other non-current assets on the condensed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Birmingham, Alabama, which was modified and expanded in March 2024 for a 60-month term ending in March 2029, with an option to extend five years, resulting in an increase to both the right of use assets and operating lease liabilities.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operating leases require security deposits at the inception of each lease. The security deposits amounted to approximately $0.3 million as of September 30, 2024 and December 31, 2023. As of September 30, 2024 and December 31, 2023, approximately $259,000 was included in restricted cash and $10,000 was included in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and other information pertaining to the Company’s finance and operating leases for the three and nine months ended September 30, 2024 and 2023 (in thousands):</w:t>
      </w:r>
    </w:p>
    <w:p>
      <w:pPr>
        <w:pStyle w:val="TextBody"/>
        <w:bidi w:val="0"/>
        <w:jc w:val="both"/>
        <w:rPr/>
      </w:pPr>
      <w:r>
        <w:rPr/>
        <w:t> </w:t>
      </w:r>
    </w:p>
    <w:tbl>
      <w:tblPr>
        <w:tblW w:w="7943" w:type="dxa"/>
        <w:jc w:val="left"/>
        <w:tblInd w:w="0" w:type="dxa"/>
        <w:tblLayout w:type="fixed"/>
        <w:tblCellMar>
          <w:top w:w="28" w:type="dxa"/>
          <w:left w:w="28" w:type="dxa"/>
          <w:bottom w:w="28" w:type="dxa"/>
          <w:right w:w="28" w:type="dxa"/>
        </w:tblCellMar>
      </w:tblPr>
      <w:tblGrid>
        <w:gridCol w:w="3656"/>
        <w:gridCol w:w="146"/>
        <w:gridCol w:w="217"/>
        <w:gridCol w:w="434"/>
        <w:gridCol w:w="150"/>
        <w:gridCol w:w="150"/>
        <w:gridCol w:w="217"/>
        <w:gridCol w:w="434"/>
        <w:gridCol w:w="146"/>
        <w:gridCol w:w="146"/>
        <w:gridCol w:w="211"/>
        <w:gridCol w:w="571"/>
        <w:gridCol w:w="146"/>
        <w:gridCol w:w="146"/>
        <w:gridCol w:w="211"/>
        <w:gridCol w:w="571"/>
        <w:gridCol w:w="3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6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finance right-of-use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6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6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6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65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788" w:type="dxa"/>
        <w:jc w:val="left"/>
        <w:tblInd w:w="0" w:type="dxa"/>
        <w:tblLayout w:type="fixed"/>
        <w:tblCellMar>
          <w:top w:w="28" w:type="dxa"/>
          <w:left w:w="28" w:type="dxa"/>
          <w:bottom w:w="28" w:type="dxa"/>
          <w:right w:w="28" w:type="dxa"/>
        </w:tblCellMar>
      </w:tblPr>
      <w:tblGrid>
        <w:gridCol w:w="7186"/>
        <w:gridCol w:w="146"/>
        <w:gridCol w:w="307"/>
        <w:gridCol w:w="833"/>
        <w:gridCol w:w="316"/>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finance leases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operating leases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316"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(years)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6" w:type="dxa"/>
            <w:tcBorders/>
            <w:shd w:fill="FFFFFF" w:val="cle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6"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undiscounted cash flows to the operating and finance lease liabilities at September 30, 2024 (in thousands):</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566"/>
        <w:gridCol w:w="146"/>
        <w:gridCol w:w="320"/>
        <w:gridCol w:w="865"/>
        <w:gridCol w:w="146"/>
        <w:gridCol w:w="146"/>
        <w:gridCol w:w="367"/>
        <w:gridCol w:w="99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2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2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lease liability</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14. subsequent events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2024 Private Placement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October 2024, the Company issued and sold units, comprised of an aggregate of 25,696,305 shares of Common Stock (the “Shares”), 5,646,853 pre-funded warrants to purchase one share of Common Stock (the “2024 Pre-Funded Warrants”) and 31,343,158 Series C warrants (the “Series C Warrants” and, together with the 2024 Pre-Funded Warrants, the “2024 Warrants”), for net proceeds of $11.6 million after deducting placement agent fees and other estimated private placement expenses (collectively, the “2024 Private Placement”). The 2024 Pre-Funded Warrants have an exercise price of $0.0001 and the Series C Warrants have an exercise price of $0.27 per share. Each 2024 Pre-Funded Warrant is exercisable immediately and remains exercisable until the 2024 Pre-Funded Warrant is exercised in full. </w:t>
      </w:r>
      <w:r>
        <w:rPr>
          <w:rFonts w:ascii="Times New Roman" w:hAnsi="Times New Roman"/>
          <w:color w:val="212529"/>
          <w:sz w:val="20"/>
        </w:rPr>
        <w:t>In lieu of a cash payment to the Company in payment of the aggregate exercise price upon exercise of a 2024 Pre-Funded Warrant, the holder may elect instead to receive upon such exercise (either in whole or in part) the net number of shares of Common Stock determined according to a formula set forth in the 2024 Pre-Funded Warrants. Each Series C Warrant is exercisable immediately and will expire on October 4, 2027. Both the 2024 Pre-Funded Warrants and Series C Warrants meet the criteria for permanent equity classification.</w:t>
      </w:r>
    </w:p>
    <w:p>
      <w:pPr>
        <w:pStyle w:val="TextBody"/>
        <w:bidi w:val="0"/>
        <w:spacing w:before="120" w:after="283"/>
        <w:jc w:val="both"/>
        <w:rPr>
          <w:rFonts w:ascii="Times New Roman" w:hAnsi="Times New Roman"/>
          <w:color w:val="212529"/>
          <w:sz w:val="20"/>
        </w:rPr>
      </w:pPr>
      <w:r>
        <w:rPr>
          <w:rFonts w:ascii="Times New Roman" w:hAnsi="Times New Roman"/>
          <w:color w:val="212529"/>
          <w:sz w:val="20"/>
        </w:rPr>
        <w:t>In connection with the 2024 Private Placement, we also entered into a registration rights agreement (the “Registration Rights Agreement”), with the investors who participated in the 2024 Private Placement, pursuant to which the Company agreed to register for resale the Shares and the common stock underlying the 2024 Warrants (the “Registrable Securities”). Under the Registration Rights Agreement, the Company agreed to file a registration statement covering the resale of the Registrable Securities no later than 30 days following the closing of the 2024 Private Placement. We filed such registration statement on Form S-3 on November 4, 2024.</w:t>
      </w:r>
    </w:p>
    <w:p>
      <w:pPr>
        <w:pStyle w:val="TextBody"/>
        <w:bidi w:val="0"/>
        <w:spacing w:before="120" w:after="283"/>
        <w:jc w:val="both"/>
        <w:rPr>
          <w:rFonts w:ascii="Times New Roman" w:hAnsi="Times New Roman"/>
          <w:b/>
          <w:color w:val="212529"/>
          <w:sz w:val="20"/>
          <w:u w:val="single"/>
        </w:rPr>
      </w:pPr>
      <w:r>
        <w:rPr>
          <w:rFonts w:ascii="Times New Roman" w:hAnsi="Times New Roman"/>
          <w:b/>
          <w:color w:val="212529"/>
          <w:sz w:val="20"/>
          <w:u w:val="single"/>
        </w:rPr>
        <w:t>Series A Warrant Amendment</w:t>
      </w:r>
    </w:p>
    <w:p>
      <w:pPr>
        <w:pStyle w:val="TextBody"/>
        <w:bidi w:val="0"/>
        <w:spacing w:before="120" w:after="283"/>
        <w:jc w:val="both"/>
        <w:rPr>
          <w:rFonts w:ascii="Times New Roman" w:hAnsi="Times New Roman"/>
          <w:color w:val="212529"/>
          <w:sz w:val="20"/>
        </w:rPr>
      </w:pPr>
      <w:r>
        <w:rPr>
          <w:rFonts w:ascii="Times New Roman" w:hAnsi="Times New Roman"/>
          <w:color w:val="212529"/>
          <w:sz w:val="20"/>
        </w:rPr>
        <w:t>In connection with the closing of the 2024 Private Placement, the Company amended certain of the Company’s outstanding Series A warrants, representing approximately 11,734,076 shares of the Company’s Common Stock, to (i) reduce the exercise price from $1.25 to $0.45 per share and (ii) extend the termination date of the Series A Warrants to October 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(this "Quarterly Report") contains statements that may constitute "forward-looking statements" within the meaning of Section 27A of the Securities Act of 1933, as amended, (the "Securities Act"), and Section 21E of the Securities Exchange Act of 1934, as amended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2023 in our Annual Report on Form 10-K for the fiscal year ended December 31, 2023 (the "Annual Report").</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biopharmaceutical company focused on the discovery, development and commercialization of gamma-delta T cell product candidates for solid and liquid tumors. Gamma-delta T cells are a specialized population of T cells that possess unique properties. They are naturally occurring immune cells that can intrinsically differentiate between healthy and diseased tissue. These cells serve as a functional bridge between innate and adaptive immunity to contribute to direct tumor killing, as well as immune cell recruitment and activation to drive deeper and more comprehensive immune responses. The pivotal role of gamma-delta T cells in immune function and activation, against diseases such as cancer, underscores their therapeutic potential across a wide range of solid and hematologic malignancies. We develop ex vivo expanded and activated gamma-delta T cell candidates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 cell engagers that are designed to effectively identify and eradicate tumor cells. We are the most clinically advanced gamma-delta T cell-focused company and are utilizing our suite of DeltEx platform technologies as we aspire to eliminate cancer cells to achieve our mission of what we refer to as Cancer Zero ─ the safe elimination of all cancer cells in every patient battling the disease. We believe this lofty aspiration will one day be achievable, and that it is our responsibility to directly contribute to related global health efforts by pursuing scientific research that will advance cancer treatment.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investigator-initiated Phase 1 trial of INB-100 for treatment of patients with high-risk leukemias undergoing hematopoietic stem cell transplantation has completed primary enrollment, and a recommended Phase 2 dose ("RP2D") has been determined. We believe the relapse free survival data to date, combined with the benefit/risk profile of INB-100, are encouraging for the treatment of hematological malignancies, and the trial is being expanded by additional patients at Dose Level 2, the RP2D. Enrollment in the expansion cohort is on-going, and we expect to present updated data at the American Society of Hematology Annual Meeting in December 2024 and other medical meetings throughout 2025. In June 2024, updated data were presented at the European Hematological Association Congress. These data demonstrated that 100% of evaluable leukemia patients (n=10) remained alive, progression-free, and in durable complete remission through one year as of May 31, 2024. As of August 30, 2024, 100% of patients with acute myeloid leukemia ("AML") remain relapse-free after receiving their dose of INB-100 after a median follow-up of 18.7 months. The two previously reported patients with other leukemic diagnoses (ALL and MDS/MPN overlap with concurrent TP53 mutations), both excluded from future pivotal trials, have since relapsed and died due to disease progression. There have been no new relapses reported since the update in June 2024. Further, across these 10 patients, gamma-delta T cells demonstrated </w:t>
      </w:r>
      <w:r>
        <w:rPr>
          <w:rFonts w:ascii="Times New Roman" w:hAnsi="Times New Roman"/>
          <w:i/>
          <w:color w:val="000000"/>
          <w:sz w:val="20"/>
        </w:rPr>
        <w:t>in vivo</w:t>
      </w:r>
      <w:r>
        <w:rPr>
          <w:rFonts w:ascii="Times New Roman" w:hAnsi="Times New Roman"/>
          <w:color w:val="000000"/>
          <w:sz w:val="20"/>
        </w:rPr>
        <w:t xml:space="preserve"> expansion and long-term persistence through 365 days, a first for any donor-derived, allogeneic cellular therapy product. The INB-100 trial will continue to enroll patients in the expansion cohort with a new target total enrollment of up to approximately 25 patients at the RP2D. Additional long-term follow-up results are expected in late 2024 and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received regulatory guidance from the FDA in a Type B meeting on advancing INB-100 for the treatment of AML as a post-transplant maintenance therapy, with relapse-free survival as the primary endpoint. To affirm the improvements in relapse free and overall survival observed to date, we will also seek to add a parallel cohort as a control to prospectively assess leukemia patients and enable comparison between patients receiving INB-100 to those who only receive standard haplotransplantation. We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investigators believe patient outcomes in its trial to date are surpassing that of similar leukemia patients, including those with AML undergoing haploidentical transplantation without receiving INB-100. We expect to complete this additional enrollment in 2025, with long-term follow-up results anticipated in late 2025 and in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2024, we suspended further enrollment of patients in our Phase 2 multi-center clinical trial of INB-400, for the treatment of newly diagnosed glioblastoma ("GBM"). This trial sought to expand the assessment of genetically modified, drug-resistant immunotherapy (“DRI”) gamma-delta T cells in newly diagnosed GBM patients in specialized brain tumor centers across the United States. We will continue to follow these patients for safety, progression-free and overall survival. We have completed patient dosing in the investigator-initiated Phase 1 trial of INB-200 (NCT04165941). We will present a Plenary Oral Presentation at the Society of Neuro-Oncology Annual Meeting in November 2024 where we will provide longer-term follow-up and additional data supporting the activity of our DRI gamma-delta T cell approach from the Phase 1 trial of INB-200. In June 2024, preliminary clinical data were presented at the American Society of Clinical Oncology Annual Meeting, demonstrating that 92% of evaluable patients treated in the investigator-initiated trial exceeded the median progression-free survival ("PFS") of 7 typically months achieved by standard-of-care therapy with concomitant temozolomide. We believe our DRI gamma-delta T cell therapeutic approach is applicable to multiple solid tumor types and will seek strategic alternatives and to potentially partner this program. In April 2023, we received Orphan Drug Designation for the autologous and allogeneic INB-400 products from the Food and Drug Administration (“FDA”), covering a broad range of malignant glioma indications, including relapsed and newly diagnosed GBM.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have a portfolio of preclinical programs in development, including INB-300, which focuses on targeting various solid and liquid tumors using a dedicated non-signaling gamma-delta T cell based chimeric antigen receptor ("nsCAR") construct. We presented additional preclinical data demonstrating our proof-of-concept in vitro studies, run in triplicate, against the leukemia antigen targets CD33 and CD123, which demonstrated the ability of our nsCAR constructs to distinguish between tumor and healthy tissue, at the American Association for Cancer Research Annual Meeting in 2024. We plan to continue to optimize the construct for advancement towards animal models, potentially IND enabling studies and opportunities for potential partnership.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2022, we unveiled the expansion of our DeltEx platform capabilities to include iPSC derived gamma-delta T cells. iPSCs represent a significant step toward next generation approaches of cellular manufacturing for true allogeneic and potentially "off-the shelf" innate cell therapies. We provided updates in a presentation at the Society for Immunotherapy of Cancer Annual Meeting in November 2023 whereby to date, hundreds of millions of our iPSC derived iVdelta1+ or iVd1+ gamma-delta T cells have been produced from single iPSC clones at a low passage number. These cells demonstrate a profile associated with a reduced risk for cytokine release syndrome and robust cytotoxic activity across a variety of solid and liquid cancers, including ovarian cancer, GBM, AML and chronic myelogenous leukemia. Furthermore, cryopreservation did not impact the cytotoxic function of iVd1+ gamma-delta T cells with respect to fresh cells, thereby enabling batch manufacturing and storage for on-demand clinical use. These findings highlight our expertise and ability to manufacture multiple gamma-delta T cell populations in a serum and feeder free process that can be scaled for GMP manufacturing and applied as a potentially "off-the-shelf" platform for allogeneic cancer and/or autoimmune cellular therapies. We are currently seeking potential partnership opportunities for these preclinical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both"/>
        <w:rPr/>
      </w:pPr>
      <w:r>
        <w:rPr/>
        <w:drawing>
          <wp:inline distT="0" distB="0" distL="0" distR="0">
            <wp:extent cx="6858000" cy="3857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858000" cy="3857625"/>
                    </a:xfrm>
                    <a:prstGeom prst="rect">
                      <a:avLst/>
                    </a:prstGeom>
                  </pic:spPr>
                </pic:pic>
              </a:graphicData>
            </a:graphic>
          </wp:inline>
        </w:drawing>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condensed financial statements have been prepared in conformity with generally accepted accounting principles which contemplate continuation of the Company on a going concern basis. The going concern basis assumes that assets are realized, and liabilities are extinguished in the ordinary course of business at amounts disclosed in the condensed financial statements. We have not yet generated product sales and, as a result, have experienced operating losses since inception. 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The actual amount of cash that we will need to operate is subject to many factors. Based on our business strategy, we expect that our existing cash of $4.0 million as of September 30, 2024, including the additional net proceeds of $11.6 million from the 2024 Private Placement, will fund the Company’s projected operating expenses and capital expenditure requirements through December 2025. Accordingly, there is substantial doubt about the Company’s ability to continue to operate as a going concern for a period of 12 months from the date of issuance of these condensed financial statements. We have taken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patient enrollment and/or regulatory filings for our preclinical and clinical programs.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continue to fund our operations, management has developed plans, which primarily consist of the pipeline prioritization and workforce reduction, raising additional capital through some combination of equity and/or debt offerings, including through our ATM program, and identifying strategic collaborations, licensing or other arrangements to support development of our product candidates. In addition, we may receive an additional $5.4 million and $12.4 million in aggregate proceeds if the holders of our Series A warrants and Series C warrants exercise their warrants, respectively. Further, if not otherwise redeemed by us, we may also receive aggregate proceeds of up to $17.7 million from the exercise of our outstanding Series B warrants. There is no assurance, however, that we will receive any additional proceeds from these warrants or that any additional financing or any revenue-generating collaboration will be available, when needed. If additional capital is not available to us on a timely basis, or at all, we will be required to take additional actions beyond the cost preservation measures initiated to address our liquidity needs, including exploring other strategic options, continuing to further reduce operating expense by delaying, reducing the scope of, or discontinuing our research and development activities. If the Company becomes unable to continue as a going concern, it may have to terminate its operations and dispose of its assets and might realize significantly less than the values at which they are carried on its condensed financial statements. These actions may cause the Company’s stockholders to lose all or part of their investment in the Company’s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Pipeline Prioritization and Workforce Reduction</w:t>
      </w:r>
    </w:p>
    <w:p>
      <w:pPr>
        <w:pStyle w:val="TextBody"/>
        <w:bidi w:val="0"/>
        <w:jc w:val="both"/>
        <w:rPr>
          <w:rFonts w:ascii="Times New Roman" w:hAnsi="Times New Roman"/>
          <w:color w:val="000000"/>
          <w:sz w:val="20"/>
        </w:rPr>
      </w:pPr>
      <w:r>
        <w:rPr>
          <w:rFonts w:ascii="Times New Roman" w:hAnsi="Times New Roman"/>
          <w:color w:val="000000"/>
          <w:sz w:val="20"/>
        </w:rPr>
        <w:t>In September 2024, we implemented a pipeline prioritization bu suspending further development on INB-400 and focusing on development of INB-100 and reduced our workforce by approximately 49%, across all functions. In combination with this reduction, the executive management team and the Board also agreed to a 11% reduction in their cash compensation, effective as of September 1, 2024. In connection with the pipeline reprioritization, we suspended patient enrollment in the INB-400 Phase 2 clinical trial for newly diagnosed GBM while we explore partnership opportunities for the program. We will continue to monitor patients previously treated in the fully enrolled INB-200 clinical trial as well as any patients that have been enrolled and are undergoing treatment in the INB-400 Phase 2 clinical trial. Please refer to Note 1 "Organization and Operations" to our condensed financial statements included in Item 1 of Part I of this Quarterly Report on Form 10-Q for further details.</w:t>
      </w:r>
    </w:p>
    <w:p>
      <w:pPr>
        <w:pStyle w:val="TextBody"/>
        <w:bidi w:val="0"/>
        <w:jc w:val="both"/>
        <w:rPr>
          <w:rFonts w:ascii="Times New Roman" w:hAnsi="Times New Roman"/>
          <w:i/>
          <w:color w:val="000000"/>
          <w:sz w:val="20"/>
        </w:rPr>
      </w:pPr>
      <w:r>
        <w:rPr>
          <w:rFonts w:ascii="Times New Roman" w:hAnsi="Times New Roman"/>
          <w:i/>
          <w:color w:val="000000"/>
          <w:sz w:val="20"/>
        </w:rPr>
        <w:t>2024 Private Placement</w:t>
      </w:r>
    </w:p>
    <w:p>
      <w:pPr>
        <w:pStyle w:val="TextBody"/>
        <w:bidi w:val="0"/>
        <w:jc w:val="both"/>
        <w:rPr>
          <w:rFonts w:ascii="Times New Roman" w:hAnsi="Times New Roman"/>
          <w:sz w:val="20"/>
        </w:rPr>
      </w:pPr>
      <w:r>
        <w:rPr>
          <w:rFonts w:ascii="Times New Roman" w:hAnsi="Times New Roman"/>
          <w:color w:val="000000"/>
          <w:sz w:val="20"/>
        </w:rPr>
        <w:t xml:space="preserve">In October 2024, we issued and sold units, comprised of an aggregate of 25,696,305 shares of our common stock, 5,646,853 pre-funded warrants to purchase one share of common stock (the “2024 Pre-Funded Warrants”) and 31,343,158 Series C warrants to purchase one share of common stock (the “Series C Warrants” and, together with the 2024 Pre-Funded Warrants, the “2024 Warrants”), for net proceeds of $11.6 million after deducting placement agent fees and other estimated private placement expenses (“2024 Private Placement”). The 2024 Pre-Funded Warrants have an exercise price of $0.0001 and the Series C Warrants have an exercise price of $0.27 per share. Each 2024 Pre-Funded Warrant is exercisable immediately and remains exercisable until exercised in full. </w:t>
      </w:r>
      <w:r>
        <w:rPr>
          <w:rFonts w:ascii="Times New Roman" w:hAnsi="Times New Roman"/>
          <w:color w:val="212529"/>
          <w:sz w:val="20"/>
        </w:rPr>
        <w:t xml:space="preserve">In lieu of a cash payment to the Company in payment of the aggregate exercise price upon exercise of a </w:t>
      </w:r>
      <w:r>
        <w:rPr>
          <w:rFonts w:ascii="Times New Roman" w:hAnsi="Times New Roman"/>
          <w:color w:val="000000"/>
          <w:sz w:val="20"/>
        </w:rPr>
        <w:t>2024 Pre-Funded Warrant</w:t>
      </w:r>
      <w:r>
        <w:rPr>
          <w:rFonts w:ascii="Times New Roman" w:hAnsi="Times New Roman"/>
          <w:color w:val="212529"/>
          <w:sz w:val="20"/>
        </w:rPr>
        <w:t xml:space="preserve">, the holder may elect instead to receive upon such exercise (either in whole or in part) the net number of shares of common stock determined according to a formula set forth in the </w:t>
      </w:r>
      <w:r>
        <w:rPr>
          <w:rFonts w:ascii="Times New Roman" w:hAnsi="Times New Roman"/>
          <w:color w:val="000000"/>
          <w:sz w:val="20"/>
        </w:rPr>
        <w:t>2024 Pre-Funded Warrants</w:t>
      </w:r>
      <w:r>
        <w:rPr>
          <w:rFonts w:ascii="Times New Roman" w:hAnsi="Times New Roman"/>
          <w:color w:val="212529"/>
          <w:sz w:val="20"/>
        </w:rPr>
        <w:t xml:space="preserve"> terms. Each Series C Warrant is exercisable immediately and will expire on October 4, 2027.</w:t>
      </w:r>
    </w:p>
    <w:p>
      <w:pPr>
        <w:pStyle w:val="TextBody"/>
        <w:bidi w:val="0"/>
        <w:jc w:val="both"/>
        <w:rPr>
          <w:rFonts w:ascii="Times New Roman" w:hAnsi="Times New Roman"/>
          <w:color w:val="212529"/>
          <w:sz w:val="20"/>
        </w:rPr>
      </w:pPr>
      <w:r>
        <w:rPr>
          <w:rFonts w:ascii="Times New Roman" w:hAnsi="Times New Roman"/>
          <w:color w:val="212529"/>
          <w:sz w:val="20"/>
        </w:rPr>
        <w:t>In connection with the 2024 Private Placement, we also entered into a registration rights agreement (the “Registration Rights Agreement”), with the investors who participated in the 2024 Private Placement, pursuant to which the Company agreed to register for resale the Shares and the common stock underlying the 2024 Warrants (the “Registrable Securities”). Under the Registration Rights Agreement, we agreed to file a registration statement covering the resale of the Registrable Securities no later than 30 days following the closing of the 2024 Private Placement. We filed such registration statement on Form S-3 on November 4, 2024.</w:t>
      </w:r>
    </w:p>
    <w:p>
      <w:pPr>
        <w:pStyle w:val="TextBody"/>
        <w:bidi w:val="0"/>
        <w:jc w:val="both"/>
        <w:rPr>
          <w:rFonts w:ascii="Times New Roman" w:hAnsi="Times New Roman"/>
          <w:i/>
          <w:color w:val="212529"/>
          <w:sz w:val="20"/>
        </w:rPr>
      </w:pPr>
      <w:r>
        <w:rPr>
          <w:rFonts w:ascii="Times New Roman" w:hAnsi="Times New Roman"/>
          <w:i/>
          <w:color w:val="212529"/>
          <w:sz w:val="20"/>
        </w:rPr>
        <w:t>Series A Warrant Amendment</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In connection with the closing of the 2024 Private Placement, we amended certain of our outstanding series A common stock purchase warrants (“Series A Warrants”), representing approximately 11,734,076 shares of our Common Stock, to (i) reduce the exercise price from $1.25 to $0.45 per share and (ii) extend the termination date of the Series A Warrants to October 4, 2025</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related-benefits, severance payments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consultants for services directly related to our product development and regulatory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associated with conducting preclinical studies performed by ourselves, outside vendors or academic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manufacture drug product candidates for use in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preclinical activities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We expect that our research and development expenses will continue to increase for the foreseeable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360" w:after="283"/>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allocated expenses for rent and maintenance of facilities and other operating costs not included in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for the foreseeable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Severance and related charges includes one-time costs related to the September 2024 workforce reduction, including severance payments and stock-based compensation expense resulting from acceleration in full of outstanding unvested stock options at the separation date for the impacted employees.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includes interest earned from certain bank accounts.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 non-recurring contractual arrangement in the first quarter of 2023 with a non-related third party to transfer two lots of our clinical-scale, GMP-grade gamma-delta T cells, which the third party utilized in their research activities.</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 </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three months ended September 30, 2024 and 2023 (in thousands): </w:t>
      </w:r>
    </w:p>
    <w:p>
      <w:pPr>
        <w:pStyle w:val="TextBody"/>
        <w:bidi w:val="0"/>
        <w:jc w:val="left"/>
        <w:rPr/>
      </w:pPr>
      <w:r>
        <w:rPr/>
        <w:t> </w:t>
      </w:r>
    </w:p>
    <w:tbl>
      <w:tblPr>
        <w:tblW w:w="7519" w:type="dxa"/>
        <w:jc w:val="left"/>
        <w:tblInd w:w="0" w:type="dxa"/>
        <w:tblLayout w:type="fixed"/>
        <w:tblCellMar>
          <w:top w:w="28" w:type="dxa"/>
          <w:left w:w="28" w:type="dxa"/>
          <w:bottom w:w="28" w:type="dxa"/>
          <w:right w:w="28" w:type="dxa"/>
        </w:tblCellMar>
      </w:tblPr>
      <w:tblGrid>
        <w:gridCol w:w="2751"/>
        <w:gridCol w:w="146"/>
        <w:gridCol w:w="329"/>
        <w:gridCol w:w="986"/>
        <w:gridCol w:w="259"/>
        <w:gridCol w:w="228"/>
        <w:gridCol w:w="329"/>
        <w:gridCol w:w="986"/>
        <w:gridCol w:w="166"/>
        <w:gridCol w:w="146"/>
        <w:gridCol w:w="211"/>
        <w:gridCol w:w="571"/>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25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259"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259"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CFF0FC" w:val="cle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8"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September 30, 2024 and 2023 (in thousands): </w:t>
      </w:r>
    </w:p>
    <w:p>
      <w:pPr>
        <w:pStyle w:val="TextBody"/>
        <w:bidi w:val="0"/>
        <w:spacing w:before="120" w:after="283"/>
        <w:jc w:val="both"/>
        <w:rPr/>
      </w:pPr>
      <w:r>
        <w:rPr/>
        <w:t> </w:t>
      </w:r>
    </w:p>
    <w:tbl>
      <w:tblPr>
        <w:tblW w:w="9784" w:type="dxa"/>
        <w:jc w:val="left"/>
        <w:tblInd w:w="0" w:type="dxa"/>
        <w:tblLayout w:type="fixed"/>
        <w:tblCellMar>
          <w:top w:w="28" w:type="dxa"/>
          <w:left w:w="28" w:type="dxa"/>
          <w:bottom w:w="28" w:type="dxa"/>
          <w:right w:w="28" w:type="dxa"/>
        </w:tblCellMar>
      </w:tblPr>
      <w:tblGrid>
        <w:gridCol w:w="5046"/>
        <w:gridCol w:w="146"/>
        <w:gridCol w:w="354"/>
        <w:gridCol w:w="960"/>
        <w:gridCol w:w="245"/>
        <w:gridCol w:w="245"/>
        <w:gridCol w:w="354"/>
        <w:gridCol w:w="960"/>
        <w:gridCol w:w="166"/>
        <w:gridCol w:w="146"/>
        <w:gridCol w:w="228"/>
        <w:gridCol w:w="523"/>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411" w:type="dxa"/>
            <w:tcBorders/>
            <w:shd w:fill="FFFFFF" w:val="clear"/>
            <w:vAlign w:val="center"/>
          </w:tcPr>
          <w:p>
            <w:pPr>
              <w:pStyle w:val="TableContents"/>
              <w:bidi w:val="0"/>
              <w:spacing w:before="0" w:after="283"/>
              <w:jc w:val="left"/>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were $3.3 million for the three months ended September 30, 2024, compared to $3.8 million for the comparable prior year period. The decrease of $0.5 million was primarily due to a decrease of $0.6 million in personnel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including salaries and stock-based compensation as a result of our workforce reduction and a decrease of $0.1 million in facility-related and other expenses primarily due to decreases in research and development activities in connection with our pipeline prioritization, partially offset by an increase of $0.2 million in direct costs related to our clinical trials, primarily related to our INB-400 program. As part of the Company's pipeline prioritization announced in September 2024, further clinical development on INB-400 has been suspended.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$2.7 million for the three months ended September 30, 2024, compared to $3.4 million for the comparable prior year period. The decrease of $0.7 million was primarily due to a decrease in salaries and bonus as a result of our workforce reduction and cost savings related to directors' and officers' insurance premiums, partially offset by an increase in professional services.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Severance and related charges were $1.1 million for the three months ended September 30, 2024, compared to zero for the comparable prior year period. The increase of $1.1 million was due to one-time costs related to the September 2024 workforce reduction, including stock-based compensation expense of $0.8 million resulting from acceleration in full of outstanding unvested stock options at the separation date for the impacted employees, and $0.3 million related to severance payments.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$0.1 million for the three months ended September 30, 2024. We did not have interest income for the comparable period in the prior year. The increase was due to interest income earned from cash sweep accounts, which we opened during the first quarter of 2024.</w:t>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nine months ended September 30, 2024 and 2023 (in thousands): </w:t>
      </w:r>
    </w:p>
    <w:p>
      <w:pPr>
        <w:pStyle w:val="TextBody"/>
        <w:bidi w:val="0"/>
        <w:jc w:val="left"/>
        <w:rPr/>
      </w:pPr>
      <w:r>
        <w:rPr/>
        <w:t> </w:t>
      </w:r>
    </w:p>
    <w:tbl>
      <w:tblPr>
        <w:tblW w:w="7461" w:type="dxa"/>
        <w:jc w:val="left"/>
        <w:tblInd w:w="0" w:type="dxa"/>
        <w:tblLayout w:type="fixed"/>
        <w:tblCellMar>
          <w:top w:w="28" w:type="dxa"/>
          <w:left w:w="28" w:type="dxa"/>
          <w:bottom w:w="28" w:type="dxa"/>
          <w:right w:w="28" w:type="dxa"/>
        </w:tblCellMar>
      </w:tblPr>
      <w:tblGrid>
        <w:gridCol w:w="2751"/>
        <w:gridCol w:w="146"/>
        <w:gridCol w:w="287"/>
        <w:gridCol w:w="1001"/>
        <w:gridCol w:w="225"/>
        <w:gridCol w:w="198"/>
        <w:gridCol w:w="287"/>
        <w:gridCol w:w="1001"/>
        <w:gridCol w:w="166"/>
        <w:gridCol w:w="146"/>
        <w:gridCol w:w="211"/>
        <w:gridCol w:w="631"/>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7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10,007</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411" w:type="dxa"/>
            <w:tcBorders/>
            <w:shd w:fill="CFF0FC" w:val="clear"/>
            <w:vAlign w:val="center"/>
          </w:tcPr>
          <w:p>
            <w:pPr>
              <w:pStyle w:val="TableContents"/>
              <w:bidi w:val="0"/>
              <w:spacing w:before="0" w:after="283"/>
              <w:jc w:val="left"/>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411" w:type="dxa"/>
            <w:tcBorders/>
            <w:shd w:fill="FFFFFF" w:val="cle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nine months ended September 30, 2024 and 2023 (in thousands):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92"/>
        <w:gridCol w:w="146"/>
        <w:gridCol w:w="304"/>
        <w:gridCol w:w="975"/>
        <w:gridCol w:w="210"/>
        <w:gridCol w:w="210"/>
        <w:gridCol w:w="304"/>
        <w:gridCol w:w="975"/>
        <w:gridCol w:w="146"/>
        <w:gridCol w:w="146"/>
        <w:gridCol w:w="211"/>
        <w:gridCol w:w="571"/>
        <w:gridCol w:w="415"/>
      </w:tblGrid>
      <w:tr>
        <w:trPr/>
        <w:tc>
          <w:tcPr>
            <w:tcW w:w="5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5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415" w:type="dxa"/>
            <w:tcBorders/>
            <w:shd w:fill="FFFFFF" w:val="clear"/>
            <w:vAlign w:val="center"/>
          </w:tcPr>
          <w:p>
            <w:pPr>
              <w:pStyle w:val="TableContents"/>
              <w:bidi w:val="0"/>
              <w:spacing w:before="0" w:after="283"/>
              <w:jc w:val="center"/>
              <w:rPr/>
            </w:pPr>
            <w:r>
              <w:rPr/>
              <w:t> </w:t>
            </w:r>
          </w:p>
        </w:tc>
      </w:tr>
      <w:tr>
        <w:trPr/>
        <w:tc>
          <w:tcPr>
            <w:tcW w:w="5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ind w:left="0" w:right="0" w:firstLine="200"/>
              <w:jc w:val="right"/>
              <w:rPr/>
            </w:pPr>
            <w:r>
              <w:rPr/>
              <w:t> </w:t>
            </w:r>
          </w:p>
        </w:tc>
      </w:tr>
      <w:tr>
        <w:trPr/>
        <w:tc>
          <w:tcPr>
            <w:tcW w:w="55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55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10"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415" w:type="dxa"/>
            <w:tcBorders/>
            <w:shd w:fill="FFFFFF" w:val="clear"/>
            <w:vAlign w:val="center"/>
          </w:tcPr>
          <w:p>
            <w:pPr>
              <w:pStyle w:val="TableContents"/>
              <w:bidi w:val="0"/>
              <w:spacing w:before="0" w:after="283"/>
              <w:jc w:val="left"/>
              <w:rPr/>
            </w:pPr>
            <w:r>
              <w:rPr/>
              <w:t> </w:t>
            </w:r>
          </w:p>
        </w:tc>
      </w:tr>
      <w:tr>
        <w:trPr/>
        <w:tc>
          <w:tcPr>
            <w:tcW w:w="559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127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ind w:left="0" w:right="0" w:firstLine="200"/>
              <w:jc w:val="right"/>
              <w:rPr/>
            </w:pPr>
            <w:r>
              <w:rPr/>
              <w:t> </w:t>
            </w:r>
          </w:p>
        </w:tc>
      </w:tr>
      <w:tr>
        <w:trPr/>
        <w:tc>
          <w:tcPr>
            <w:tcW w:w="55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55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210"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55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9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were $13.4 million for the nine months ended September 30, 2024, compared to $12.3 million for the comparable prior year period. The increase of $1.1 million was primarily due to an increase of $0.7 million in direct costs related to our clinical trials, primarily related to our INB-100 and INB-400 programs, and an increase of $0.4 million in personnel-related costs, including salaries, benefits and stock-based compensation as a result of the increase in our headcount period over period, partially offset by a decrease in facility-related and other expenses of $0.1 million. As a result of our pipeline prioritization announced in September 2024, future clinical work on INB-400 has been suspended.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$10.0 million for the nine months ended September 30, 2024, compared to $10.4 million for the comparable prior year period. The decrease of $0.4 million was primarily due to a decrease in salaries and bonuses as a result of our workforce reduction.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Severance and related charges were $1.1 million for the nine months ended September 30, 2024, compared to zero for the comparable prior year period. The increase of $1.1 million was due to one-time costs related to the September 2024 workforce reduction, including stock-based compensation expense of $0.8 million resulting from acceleration in full of outstanding unvested stock options at the separation date for the impacted employees, and $0.3 million related to severance payments.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$0.2 million for the nine months ended September 30, 2024. We did not have interest income for the comparable period in the prior year. The increase was due to interest income earned from cash sweep accounts, which we opened during the first quarter of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other income for the three and nine months ended September 30, 2024. The decrease of $0.3 million was due to a non-recurring contractual arrangement with a non-related third party to transfer two lots of our clinical-scale, GMP-grade gamma-delta T cells in the comparable prior year period.</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primarily through the sale of equity and equity-linked securities, including through our IPO, follow-on offerings, private placements and our ATM program. Through the date of this Quarterly Report, we have raised an aggregate of $132.1 million of gross proceeds from the sale of our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2024, we had cash of $4.0 million. Our current plan of operation is to continue to implement our revised business strategy, including clinical development of INB-100, and to seek potential collaborative partners for our GBM program and our earlier stage assets. Based on this business strategy, we expect that our existing cash as of September 30, 2024 plus the net proceeds from the 2024 Private Placement of $11.6 million after deducting placement agent fees and other estimated private placement expenses will fund our projected operating expenses and capital expenditure requirements through December 2025. Accordingly, there is substantial doubt about our ability to continue to operate as a going concern for a period of 12 months from the date of issuance of these condensed financial statements. For additional details, see “—Overview–Going Concern”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2024 Private Placement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October 2024, the Company issued and sold units, comprised of an aggregate of 25,696,305 shares of the Company's common stock, 5,646,853 2024 Pre-Funded Warrants and 31,343,158 Series C Warrants, for net proceeds of $11.6 million after deducting placement agent fees and other estimated private placement expenses. The 2024 Pre-Funded Warrants have an exercise price of $0.0001 and the Series C Warrants have an exercise price of $0.27 per share. Each 2024 Pre-Funded Warrant is exercisable immediately and remains exercisable until exercised in full and </w:t>
      </w:r>
      <w:r>
        <w:rPr>
          <w:rFonts w:ascii="Times New Roman" w:hAnsi="Times New Roman"/>
          <w:color w:val="212529"/>
          <w:sz w:val="20"/>
        </w:rPr>
        <w:t>each Series C warrant is exercisable immediately and will expire on October 4, 2027</w:t>
      </w:r>
      <w:r>
        <w:rPr>
          <w:rFonts w:ascii="Times New Roman" w:hAnsi="Times New Roman"/>
          <w:b/>
          <w:i/>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November 2022, we filed a shelf registration statement on Form S-3 (File No. 333-268288) with the SEC, which permits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or the Sales Agreement, with Cantor Fitzgerald and Truist, under which Cantor Fitzgerald and Truist agreed to act as our sales agents to sell shares of our common stock, from time to time, through the ATM program. On March 8, 2024, we delivered a termination notice to Truist, removing them as a sales agent under the ATM program. Such termination became effective on March 14, 2024. During the nine months ended September 30, 2024, we sold an aggregate of 3,479,623 shares of our common stock under the ATM program, resulting in net proceeds of approximately $3.8 million after deducting commissions and offering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Outstanding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2024, we had issued and outstanding 574,241 pre-funded warrants, 11,803,829 Series A warrants (subject to amendment as described below) and 11,823,829 Series B warrants. The pre-funded warrants have an exercise price of $0.0001 per share. The Series A warrants, as amended, have an exercise price of $0.45 per share. the Series B warrants have an exercise price of $1.50 per share, and the Series C warrants have an exercise price of $0.395 per share. The Series A warrants are exercisable immediately and will expire on October 4, 2025. The Series B warrants are exercisable immediately and expire on December 13, 2028. The Series C warrants are exercisable immediately and will expire on October 4, 2027.</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may receive up to an aggregate of approximately $17.8 million of gross proceeds from the exercise of the Series A and Series C warrants, assuming the exercise in full of all of the warrants for cash. Further, if not otherwise redeemed by us, we may also receive aggregate proceeds of up to $17.7 million from the exercise of our outstanding Series B warrants. There is no assurance, however, that we will receive any additional proceeds from these warrants or that any additional financing or any revenue-generating collaboration will be available, when needed. </w:t>
      </w:r>
      <w:r>
        <w:rPr>
          <w:rFonts w:ascii="Times New Roman" w:hAnsi="Times New Roman"/>
          <w:i/>
          <w:color w:val="000000"/>
          <w:sz w:val="20"/>
        </w:rPr>
        <w:t xml:space="preserve">See </w:t>
      </w:r>
      <w:r>
        <w:rPr>
          <w:rFonts w:ascii="Times New Roman" w:hAnsi="Times New Roman"/>
          <w:color w:val="000000"/>
          <w:sz w:val="20"/>
        </w:rPr>
        <w:t>Note 8, Warrants, to our condensed financial statements for additional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clinical and commercial supplies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interruptions, delays and/or cost increases resulting from public health crises, increased interest rates and geopolitical tensions, such as the Israel-Hamas war and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inflationary factors, such as increases in the cost of our clinical trial materials and supplies, interest rates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 associated with geopolitical tensions such as the Israel-Hamas war and the Russia-Ukraine war, and employee availability and wage increases, which may result in additional stress on our working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increases in inflation expectations and the recent disruptions to, and volatility in, the credit and financial markets in the United States and worldwide resulting from uncertain economic conditions including inflation expectations and interest rates, the upcoming Federal election, bank failures, public health crises such as the COVID-19 pandemic, any potential for avian influenza or similar outbreak and other geopolitical tensions, such as the Israel-Hamas war and the Russia-Ukraine war.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material cash requirements as of September 30, 2024 included operating lease commitments, including the lease of our current headquarters office in New York, New York, laboratory and office space in Birmingham, Alabama and a manufacturing service agreement with a third party to engage in research of cell therapy products. As of September 30, 2024, we had fixed lease payment obligations of $6.7 million, with $3.2 million payable within 12 months. See Note 13, Equipment and Facility Leases to our condensed financial statements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Except as disclosed above, we have no long-term debt and no material non-cancelable purchase commitments with service providers, as we have generally contracted on a cancelable, purchase-order basis. We enter into contracts in the normal course of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left"/>
        <w:rPr/>
      </w:pPr>
      <w:r>
        <w:rPr/>
        <w:t> </w:t>
      </w:r>
    </w:p>
    <w:tbl>
      <w:tblPr>
        <w:tblW w:w="6822" w:type="dxa"/>
        <w:jc w:val="left"/>
        <w:tblInd w:w="0" w:type="dxa"/>
        <w:tblLayout w:type="fixed"/>
        <w:tblCellMar>
          <w:top w:w="28" w:type="dxa"/>
          <w:left w:w="28" w:type="dxa"/>
          <w:bottom w:w="28" w:type="dxa"/>
          <w:right w:w="28" w:type="dxa"/>
        </w:tblCellMar>
      </w:tblPr>
      <w:tblGrid>
        <w:gridCol w:w="3466"/>
        <w:gridCol w:w="146"/>
        <w:gridCol w:w="287"/>
        <w:gridCol w:w="1001"/>
        <w:gridCol w:w="225"/>
        <w:gridCol w:w="198"/>
        <w:gridCol w:w="287"/>
        <w:gridCol w:w="100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$20.1 million during the nine months ended September 30, 2024, primarily due to our net loss of $24.3 million and changes in operating assets and liabilities of $2.2 million, partially offset by an increase in non-cash charges of $6.1 million. Decreases in our operating assets and liabilities consisted primarily of $2.2 million in accrued expenses and other current liabilities relating primarily to accrued compensation, accrued clinical trials, and accrued legal, $0.7 million in long-term operating liabilities, partially offset by an increase of $0.2 million in accounts payable. Increases in our non-cash charges consisted primarily of $4.2 million in stock-based compensation due to the acceleration in full of outstanding unvested stock options as a result of our workforce reduction in September 2024, $1.2 million in amortization of right-of-use assets associated with our operating and finance leases for the period, and $0.7 million of depreciation.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$18.5 million during the nine months ended September 30, 2023, primarily due to our net loss of $22.4 million and changes in operating assets and liabilities of $1.1 million, partially offset by an increase in non-cash charges of $5.0 million. Decreases in our operating assets and liabilities consisted primarily of $1.2 million in accounts payable and $0.6 million in long-term operating liabilities, partially offset by an increase of $0.3 million in prepaid expenses and other current assets, $0.3 million in accrued expenses and other current liabilities relating to accrued leasehold improvements and accrued manufacturing costs and $0.1 million in short-term operating liabilities. Increases in our non-cash charges consisted primarily of $3.1 million in stock-based compensation due to increased employee headcount resulting from growth in our business, $1.2 million in amortization of right-of-use assets associated with our operating and finance leases for the period and $0.7 million of depreciation.</w:t>
      </w:r>
    </w:p>
    <w:p>
      <w:pPr>
        <w:pStyle w:val="TextBody"/>
        <w:bidi w:val="0"/>
        <w:spacing w:before="36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$0.2 million during the nine months ended September 30, 2024, primarily due to purchases of property and equipment and construction in progress activity in relation to capitalized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$0.5 million during the nine months ended September 30, 2023, primarily due to purchases of property and equipment and construction in progress activity in relation to leasehold improvements to the leased space located in Alabama.</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$3.0 million during the nine months ended September 30, 2024, primarily due to proceeds received from the issuance and sale of common stock pursuant to the ATM program of $3.8 million, partially offset by principal payments of $0.6 million on our leases and $0.2 million of deferred issuance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$13.7 million during the nine months ended September 30, 2023, primarily due to proceeds received from the issuance and sale of common stock pursuant to the ATM program of $14.3 million offset by principal payments of $0.6 million on our leases.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is based on our condensed financial statements, which are prepared in accordance with accounting principles generally accepted in the United States of America. The preparation of our condensed financial statements requires us to make estimates, assumptions and judgments that affect the reported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listed below our critical accounting policies that we believe to have the greatest potential impact on our condensed financial statements. Historically, our assumptions, judgments and estimates relative to our critical accounting estimates have not differed materially from actual results.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of preparing our financial statements, we are required to estimate our accrued research and development expenses. We make estimates of our accrued expenses as of each condensed balance sheet date in the condensed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requires disclosure of incremental segment information on an annual and interim basis. This ASU is effective for fiscal years beginning after December 15, 2023, and interim periods within fiscal years beginning after December 15, 2024 on a retrospective basis. The Company does not expect the effect of this pronouncement to have a material impact on its disclosures.</w:t>
      </w:r>
    </w:p>
    <w:p>
      <w:pPr>
        <w:pStyle w:val="TextBody"/>
        <w:bidi w:val="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expands the disclosures required for income taxes. This ASU is effective for fiscal years beginning after December 15, 2024, with early adoption permitted. The amendment should be applied on a prospective basis while retrospective application is permitted. The Company is currently evaluating the effect of this pronouncement on its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evaluated all other issued and unadopted Accounting Standard Updates and believes the adoption of these standards will not have a material impact on the condensed financial statements. </w:t>
      </w:r>
    </w:p>
    <w:p>
      <w:pPr>
        <w:pStyle w:val="TextBody"/>
        <w:bidi w:val="0"/>
        <w:spacing w:before="36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Item 10 of Regulation S-K and are not required to provide the information otherwise required under this item. </w:t>
      </w:r>
    </w:p>
    <w:p>
      <w:pPr>
        <w:pStyle w:val="TextBody"/>
        <w:bidi w:val="0"/>
        <w:spacing w:before="360" w:after="283"/>
        <w:jc w:val="both"/>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September 30, 2024, our disclosure controls and procedures were effective at the reasonable assurance level.</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nine months ended September 30, 2024,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360" w:after="283"/>
        <w:jc w:val="both"/>
        <w:rPr>
          <w:rFonts w:ascii="Times New Roman" w:hAnsi="Times New Roman"/>
          <w:sz w:val="20"/>
        </w:rPr>
      </w:pPr>
      <w:bookmarkStart w:id="14" w:name="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sale of a substantial number of shares of our common stock may cause the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outstanding warrants may not be exercised and we may not receive any cash proceeds from any exercise of warrants.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of our independent registered public accounting firm for the years ended December 31, 2023 and 2022 contains an explanatory paragraph regarding substantial doubt about our 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may be limited by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file investigational new drug ("IND") applications to commence additional clinical trials on the timelines we expect, and even if we are able to, the FDA may not permit us to proceed.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opinion and scrutiny of our competitors, cell-based immunotherapy and genetic modification approaches may impact public perception of our company and product candidates, or may adversely affect our ability to conduct our business, raise additional capital and our business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many of our competitors have substantially greater experience and resources than we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healthcare professionals to procure cells for manufacturing and to administer gamma-delta T cells to patients, and our business could be harmed if these third parties administer these processes and/or cells incorrectly.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failures to comply with applicable data privacy and security obligations, including laws, regulations, standards and other requirements could lead to regulatory investigations or actions, litigation, fines and penalties, disruptions of our business operations, reputational harm, loss of revenue or profits, and other adverse business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satisfy all applicable requirements of Nasdaq and it determines to delist our common stock, the delisting could adversely affect the market liquidity of our common stock and the market price of our common stock could decrease.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as a result of interest rate volatility, inflation expectations, bank closures, the U.S. federal elections, public health crises or geopolitical tensions, such as the Russia-Ukraine and/or the Israel-Hamas wars, may have serious adverse consequences on our business, ability to raise capital, financial condition and share price.</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cash of $4.0 million as of September 30, 2024 plus the net proceeds of $11.6 million from the 2024 Private Placement is expected to fund our operations through December 2025. We continue to deploy cash preservation to defer or reduce costs in the near term in order to preserve capital and increase financial flexibility. These cash preservation measures may impact our ability and the timing to execute our strategy. For example, in September 2024, we announced that we have suspended patient enrollment in the INB-400 Phase 2 clinical trial for newly diagnosed GBM while we explore partnership opportunities for the program. Our ability to continue as a going concern will depend on our ability to obtain additional funding, as to which no assurances can be given. We continue to analyze various alternatives, including additional debt or equity financings or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interest rates, inflation expectations, the U.S. federal election, recent disruptions to and volatility in the credit and financial markets in the United States and worldwide resulting from public health crises and geopolitical tensions, such as the Israel-Hamas war and the Russia-Ukraine war.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Debt and equity financings, if available, may involve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12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outstanding Series A, Series B and Series C warrants may not be exercised and we may not receive any cash proceeds from any exercise of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2024, we had 574,241 pre-funded warrants, 11,803,829 Series A warrants and 11,823,829 Series B warrants outstanding. Additionally, on October 4, 2024, we issued and sold units, comprised of an aggregate of 25,696,305 shares of common stock, an additional 5,646,853 pre-funded warrants and 31,343,158 Series C warrants to purchase one share of Common Stock (“2024 Private Placement”). The pre-funded warrants have an exercise price of $0.0001 per share. The Series A warrants, as amended, have an exercise price of $0.45 per share. The Series B warrants have an exercise price of $1.50 per share. The Series C warrants have an exercise price of $0.395 per share.</w:t>
      </w:r>
    </w:p>
    <w:p>
      <w:pPr>
        <w:pStyle w:val="TextBody"/>
        <w:bidi w:val="0"/>
        <w:jc w:val="both"/>
        <w:rPr>
          <w:rFonts w:ascii="Times New Roman" w:hAnsi="Times New Roman"/>
          <w:color w:val="000000"/>
          <w:sz w:val="20"/>
        </w:rPr>
      </w:pPr>
      <w:r>
        <w:rPr>
          <w:rFonts w:ascii="Times New Roman" w:hAnsi="Times New Roman"/>
          <w:color w:val="000000"/>
          <w:sz w:val="20"/>
        </w:rPr>
        <w:t>The Series A warrants are exercisable immediately and will expire on June 13, 2025. The Series B warrants are exercisable immediately and will expire on December 13, 2028. The Series C warrants are exercisable immediately and will expire on October 4, 2024.</w:t>
      </w:r>
    </w:p>
    <w:p>
      <w:pPr>
        <w:pStyle w:val="TextBody"/>
        <w:bidi w:val="0"/>
        <w:jc w:val="both"/>
        <w:rPr>
          <w:rFonts w:ascii="Times New Roman" w:hAnsi="Times New Roman"/>
          <w:color w:val="212529"/>
          <w:sz w:val="20"/>
        </w:rPr>
      </w:pPr>
      <w:r>
        <w:rPr>
          <w:rFonts w:ascii="Times New Roman" w:hAnsi="Times New Roman"/>
          <w:color w:val="212529"/>
          <w:sz w:val="20"/>
        </w:rPr>
        <w:t>In connection with the 2024 Private Placement, the Company agreed to amend certain of the Company’s outstanding Series A Warrants, to (i) reduce the exercise price from $1.25 to $0.45 per share and (ii) extend the termination date of the Series A Warrants to October 4, 2025.</w:t>
      </w:r>
    </w:p>
    <w:p>
      <w:pPr>
        <w:pStyle w:val="TextBody"/>
        <w:bidi w:val="0"/>
        <w:jc w:val="left"/>
        <w:rPr>
          <w:rFonts w:ascii="Times New Roman" w:hAnsi="Times New Roman"/>
          <w:color w:val="000000"/>
          <w:sz w:val="20"/>
        </w:rPr>
      </w:pPr>
      <w:r>
        <w:rPr>
          <w:rFonts w:ascii="Times New Roman" w:hAnsi="Times New Roman"/>
          <w:color w:val="000000"/>
          <w:sz w:val="20"/>
        </w:rPr>
        <w:t>We may receive up to an aggregate of approximately $31.6 million from the exercise of the Series A, Series B and Series C warrants, assuming the exercise in full of all of the warrants for cash. However, we will only receive proceeds to the extent the holders of warrants elect to exercise or, in the case of the Series A warrants, if the mandatory exercise feature is triggered. We can provide no assurances as to the amount of proceeds we will receive from the exercise of warrants or whether we will receive any proceeds at all. Additionally, the warrants may, in certain circumstances, be exercised by way of a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report of our independent registered public accounting firm for the years ended December 31, 2023 and 2022 contains an explanatory paragraph regarding substantial doubt about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uncertainty of our ability to meet our current operating and capital expenses, in its report on our audited annual financial statements as of and for the years ended December 31, 2023 and 2022,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Our net loss was $24.3 million and $22.4 million for the nine months ended September 30, 2024 and 2023, respectively. As of September 30, 2024, we had an accumulated deficit of $115.5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36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conduct such an offering pursuant to an exemption from registration under the Securities Act or under a Form S-1 registration statement, which would increase the cost of raising additional capital relative to utilizing a Form S-3 registration statement.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partnership opportunities, if any, for the program. We would require substantial additional funds to recommence these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the large number of products in development, only a small percentage successfully complete the FDA or comparable foreign regulatory authorities’ approval processes and are commercialized. The lengthy approval or marketing authorization process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insufficiency of data collected from clinical trials of our product candidates to support the submission and filing of a Biologics License Application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product candidates are in early stages of development, they will require extensive preclinical and clinical testing. INB-200 and INB-100 are our only product candidates currently in clinical trials. In September 2024, we announced that we have suspended patient enrollment in the INB-400 Phase 2 clinical trial for newly diagnosed GBM while we explore partnership opportunities for the program.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although we have undertaken Phase 1 clinical trials for INB-200 and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product candidates represent a novel approach to immunotherapy, including cancer treatment, and we have concentrated significant research and development efforts to date developing our INB-200 and INB-100 product candidates, as well as our additional drug-resistant immunotherapy ("DRI") gamma-delta T cell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we are the first company to advance a genetically modified gamma-delta T cell product candidate, INB-200, which we are currently developing for the treatment of certain solid tumors, into the clinic. The manufacture of our cell therapies involves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difficulties in manufacturing lentiviral vector and/or clinical supply of INB-200, INB-100 or any of our other current or future product candidates would adversely affect our business and operations. For additional details surrounding risks related to our manufacturing process, see the risks highlighted in "Risks Related to Manufacturing and our Dependence on Third Parties," including "— 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 and/or patient’s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how to properly isolate cells, administer our cells and the potential side effect profile of our product candidates, such as cytokine release syndrome, neurotoxicity,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effective and cost-effective means of consistently expanding and manufacturing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demand for manufacturing and its impact on capacity utilization of available infrastructure and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and effective means of genetically modifying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hematological malignancies, and our manufacturing process is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have observed grade 1 and/or 2 GvHD in approximately 60% of patients treated with INB-100 to date.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Recent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INB-200 and INB-100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conduct additional clinical trials or abandon product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risk evaluation and mitigation strategy, or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certain of our product candidates, including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 of care.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health condition of the patient and their gamma-delta T cells and immune cells broadly;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including any new drugs or treatments that may be approved or become standard of 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clinician treatment practices and/or protocols from center to center;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the requisite materials for a patient and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clinical sites to enroll patients as health care capacities are required to cope with natural disasters, epidemics or other health system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only tested INB-400, INB-200 and INB-100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file IND applications to commence additional clinical trials on the timelines we expect, and even if we are able to, the FDA may not permit us to proceed.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previously announced our goals for potentially submitting additional INDs for INB-400 and INB-100. We have suspended further development for INB-400 and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seek breakthrough therapy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breakthrough therapy or Fast Track designations and may pursue accelerated approval for INB-100, INB-200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for the since-suspended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As previously announced, we received such orphan drug designation for both INB-400 autologous and allogeneic products for malignant gliomas in April 2023.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Public opinion and scrutiny of our competitors, cell-based immunotherapy and genetic modification approaches may impact public perception of our company and product candidates, or may adversely affect our ability to raise capital, conduct our business and our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DeltEx platform utilizes a relatively novel technology involving the genetic modification of human cells and utilization of those modified cells in other individuals. Public perception may be influenced by negative claims about our DeltEx platform,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including INB-200, INB-300 and INB-400,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make changes to our manufacturing process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For example, in September 2022, we announced a partnership with the Dunbar CAR T-Cell Program at the University of Louisville as the manufacturing center for our suspended INB-400 clinical program.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devote sufficient resources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products for INB-100, INB-200 and INB-400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In addition, there is currently a significant backlog for lentiviral vector manufacturing due to increased demand. Our current supply of vectors will cover approximately 189 patients after an additional large manufacturing run was completed in the first half of 2023. If our third-party contractor is unable to provide adequate lentiviral vectors in a timely manner, our ability to manufacture and supply sufficient quantities of our product candidates for clinical or commercial usage will be delayed or hindered, and our business could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other regulatory authorities may disagree with the sufficiency of our right of reference to the preclinical, manufacturing or clinical data generated by investigator-initiated trials or our interpretation of preclinical, manufacturing or clinical data from these investigator-initiated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 response to the COVID-19 pandemic, the FDA temporarily postponed routine surveillance inspections of manufacturing facilities. The FDA has since resumed certain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have adopted similar restrictions or other policy measures in the past.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expect to enter into additional such agreements in the future. In particular, our product candidates, INB-100, INB-200, INB-300 and INB-400, will or have been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been granted exclusive licenses under the UABRF, CHOA and Emory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meet our obligations under the UABRF, CHOA or Emory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able to do so in a timely manner, at an acceptable cost or at all. For more information on the UABRF, CHOA and Emory license agreements, </w:t>
      </w:r>
      <w:r>
        <w:rPr>
          <w:rFonts w:ascii="Times New Roman" w:hAnsi="Times New Roman"/>
          <w:i/>
          <w:color w:val="000000"/>
          <w:sz w:val="20"/>
        </w:rPr>
        <w:t xml:space="preserve">see </w:t>
      </w:r>
      <w:r>
        <w:rPr>
          <w:rFonts w:ascii="Times New Roman" w:hAnsi="Times New Roman"/>
          <w:color w:val="000000"/>
          <w:sz w:val="20"/>
        </w:rPr>
        <w:t>Note 10, License Agreements, in our condensed financial statements contained elsewhere in this Quarterly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September 30, 2024, we owned, co-owned or exclusively licensed four issued U.S. patents, seven issued European patents, 16 other issued foreign patents, nine pending U.S. applications, two pending PCT applications and 42 other foreign national-stage applications, including five European regional-phase applications that are important to the development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such as INB-100, INB-200, INB-300, INB-400 and INB-500,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 xml:space="preserve">ex parte </w:t>
      </w:r>
      <w:r>
        <w:rPr>
          <w:rFonts w:ascii="Times New Roman" w:hAnsi="Times New Roman"/>
          <w:color w:val="000000"/>
          <w:sz w:val="20"/>
        </w:rPr>
        <w:t xml:space="preserve">reexaminations, </w:t>
      </w:r>
      <w:r>
        <w:rPr>
          <w:rFonts w:ascii="Times New Roman" w:hAnsi="Times New Roman"/>
          <w:i/>
          <w:color w:val="000000"/>
          <w:sz w:val="20"/>
        </w:rPr>
        <w:t>inter partes</w:t>
      </w:r>
      <w:r>
        <w:rPr>
          <w:rFonts w:ascii="Times New Roman" w:hAnsi="Times New Roman"/>
          <w:color w:val="000000"/>
          <w:sz w:val="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co-founders, President and Chief Executive Officer, William Ho, and our Chief Scientific Officer, Dr. Lawrence Lamb. Each of them may currently terminate their employment with us at any time. The loss of the services of either of these persons could impede the achievement of our research, development and commercialization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workforce reduction undertaken to optimize our cost structure may not achieve our intended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2024, we announced a plan to optimize our resource allocation through a pipeline prioritization and a workforce reduction of approximately 49% across all functions. These reductions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reductions in force, or if we experience significant adverse consequences from the reductions in force, our business, financial condition, and results of operations may be materially adversely affected. We may undertake further similar cost-saving initiatives, which may include additional restructuring or workforce reductions. These types of cost-reduction activities can be complex and result in unintended consequences and costs, including further attrition beyond the intended number of employees due to decreased employee morale, loss of institutional knowledge and expertise and adversely impact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plan to expand our organization in the future, and we may experience difficulties in managing this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2024, we had 18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plan to explore partnership opportunities for the INB-400 Phase 2 clinical trial for newly diagnosed GBM.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dilutive issuances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expiration of the arrangement, which would delay the development and may increase the cost of developing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may not be successful in our efforts to establish a strategic partnership or other alternative arrangements for INB-400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information technology systems or sensitive information, or those of our collaborators or other contractors or consultants,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business, we and the third parties upon which we rely process sensitive information, and as a result, we and the third parties upon which we rely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any future collaborators and other contractors or consultants are vulnerable to damage or interruption from a variety of sources, including cyberattacks, malicious internet-based activity, and online and offline fraud.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and are being conducted by sophisticated and organized groups and individuals with a wide range of motives and expertise, including traditional computer "hackers," threat actors, personnel (such as through theft or misuse), sophisticated nation states, and nation-state-supported actors. Some actors now engage and are expected to continue to engage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may also face increased cybersecurity risks due to the number of our employees who are working remotely, which may create additional opportunities for cybercriminals to exploit vulnerabilities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If any of the previously identified or similar threats were to occur and cause interruptions in our operations, it could result in a disruption of our development programs and our business operations, whether due to a loss of our sensitive information or other similar disruptions. For example, the loss of clinical trial data from completed or future clinical trials could result in delays in our regulatory approval efforts and significantly increase our costs to recover or reproduce the data. Furthermore, our software systems include cloud-based applications that are hosted by third-party service providers with security and information technology systems subject to similar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a third party upon whom we rely)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adverse consequences, including but not limited to: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Additionally, applicable data privacy and security obligations may require us to notify relevant stakeholders of security incidents. Such disclosures are costly, and the disclosure or the failure to comply with such requirements could lead to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deploying remedial measures designed to address any such identified vulnerabilities.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sensitive information of the Company could be leaked, disclosed, or revealed as a result of or in connection with our employees’, personnel’s, or vendors’ use of generative AI technologies.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U.S. federal tax law, NOLs arising in tax years beginning after December 31, 2017 can be carried forward indefinitely, but the deductibility of these carryforwards is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realize the future tax benefits of our NOL carryforwards, we must generate taxable income, of which there is no assurance. Accordingly, we have provided a full valuation allowance for deferred tax assets as of September 30,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efficacy, safety profile, convenience, ease of administration and other potential advantages compared to alternative treatments and therapies;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the product candidate together with other medications.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due to labor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such as the Israel-Hamas war and the Russia-Ukraine war, natural disasters including earthquakes, typhoons, floods and fires, and public health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governmental and private payors in the United States. Since its enactment, however, there have been executive, judicial and Congressional challenges to the ACA. For example, the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17, 2021, the U.S. Supreme Court dismissed a challenge on procedural grounds that argued the ACA is unconstitutional in its entirety because the "individual mandate" was repealed by Congress. Prior to the U.S. Supreme Court ruling,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2% per fiscal year pursuant to the Budget Control Act of 2011, which began in 2013,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due to subsequent legislative amendments to the statute, which will remain in effect until 2032, unless additional Congressional action is taken. Additionally, on March 11, 2021, President Biden signed the American Rescue Plan Act of 2021 into law, which eliminates the statutory Medicaid drug rebate cap, previously set at 100% of a drug’s average manufacturer price, for single source and innovator multiple source drugs, effective January 1, 2024.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More recently, on August 16, 2022, President Biden signed the Inflation Reduction Act of 2022 ("IRA") into law, which included a number of significant drug pricing reforms, including extending enhanced subsidies for individuals purchasing health insurance coverage in ACA marketplaces through plan year 2025 and a redesign of the Part D benefit, as part of which manufacturers are required to provide discounts on Part D drugs and Part D beneficiaries’ annual out-of-pocket spending will be capped at $2,000 beginning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changes that may affect our business include the expansion of new programs such as Medicare payment for performance initiatives for physicians under the Medicare Access and CHIP Reauthorization Act of 2015. At this time, the full impact to overall physician reimbursement as a result of the introduction of the Medicare quality payment program remains unclear.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in the United States there has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to advance these principles. Further, the IRA, among other things, (1) directs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Further, 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We cannot predict the likelihood, nature or extent of government regulation that may arise from future legislation or administrative action in the United States or any other jurisdiction, particularly in light of the outcomes of the recent U.S. Presidential and Congressional elections.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obligations, including laws, regulations, contractual obligations, industry standards and other requirements could lead to regulatory investigations or actions, litigation,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participants in connection with clinical trials,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governing the processing of personal data and other sensitive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state data breach notification laws, state health information privacy laws, and federal and state consumer protection laws and regulations (i.e., Section 5 of the FTC Act), that govern the collection, use, disclosure, and protection of health-related and other personal data. In addition, we may obtain health information from third parties (including research institutions from which we obtain clinical trial data) that are subject to data privacy and security requirements under HIPAA as amended, and regulations promulgated thereunder ("HIPAA"). Depending on the facts and circumstances, we could be subject to significant penalties if we violate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states have also adopted comparable data privacy and security laws and regulations, some of which may be more stringent than HIPAA. For example, the California Consumer Privacy Act of 2018, as amended by the California Privacy Rights Act of 2020 (collectively, "CCPA"), imposes obligations on covered businesses regarding the personal data of consumers, business representatives, and employees who are California residents, and requires business to provide specific disclosures in privacy notices and honor requests of California residents to exercise certain privacy rights related to their personal data. The CCPA allows for statutory fines for noncompliance (up to $7,500 per intentional violation) and a private right of action for certain data breaches. Although the CCPA exempts some data processed in the context of clinical trials, the CCPA may increase compliance costs and potential liability with respect to other personal data we may maintain about California residents. Other states have enacted data privacy laws as well. For example, Colorado, Connecticut, Utah and Virginia have passed comprehensive data privacy laws, all of which became effective in 2023, and recently enacted data privacy laws in Indiana, Iowa, Montana, Tennessee and Texas will become effective in coming years. In addition, data privacy and security laws have been proposed at the federal, state, and local levels in recent years, which could further complicate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patients, employees or regulators in the event of unauthorized access to or disclosure of personal or confidential information experienced by us or our service providers. These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In Canada, the PIPEDA and various related provincial laws, may apply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certain countries outside Europe (i.e., Russia) have also passed or are considering laws requiring local data residency or otherwise impeding the transfer of personal data across borders, any of which could increase the cost and complexity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regarding data privacy and security and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Any failure or perceived failure by us or our employees, representatives, contractors, consultants, CROs, collaborators, or other third parties to comply with such requirements or adequately address data privacy and security concerns, even if unfounded, could result in additional cost and liability to us, damage our reputation, or adversely affect our business and results of operations.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continue to be developed or sustained, and you may not be able to sell your shares quickly or at the market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traded on the Nasdaq Stock Market LLC, ("Nasdaq") the liquidity in our common stock on that stock market remains thin. If an active trading market for our common stock does not continue to be developed or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satisfy all applicable requirements of Nasdaq and it determines to delist our common stock, the delisting could adversely affect the market liquidity of our common stock and the market price of our common stock could decrease.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the listing of our common stock on Nasdaq, we are required to meet certain listing requirements, including, a minimum closing bid price of $1.00 per share. On August 6, 2024, we received notice from Nasdaq that we are no longer in compliance with Nasdaq’s Listing Rule 5450(a)(1) because the closing bid price of our common stock had fallen below $1.00 per share for 31 consecutive days. In accordance with Nasdaq Listing Rule 5810(c)(3)(A), we have an initial period of 180 calendar days, or until February 3, 2025 (the "Compliance Date"), to regain compliance with the minimum bid price requirement. To regain compliance, the closing bid price of our common stock must be at least $1.00 per share for a minimum of 10 consecutive business days before the Compliance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common stock does not achieve compliance by the Compliance Date, we may be eligible for an additional 180-day period to regain compliance if we apply to transfer the listing of its common stock to the Nasdaq Capital Market. To qualify, we would be required to meet the continued listing requirement for market value of publicly held shares and all other initial listing standards, with the exception of the bid price requirement, and provide written notice to Nasdaq of our intention to cure the deficiency during the second compliance period by effecting a reverse stock split, if necessary.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if the market value of our publicly held common stock declines below $1 million, or the closing price of our common stock declines to $0.10 per share or less for 10 consecutive trading days, we would also be subject to Nasdaq delisting proceedings on that basis. Nasdaq’s staff also maintains discretionary authority under its listing rules to delist companies whose capital structure or public offerings raise public interest and investor protection concerns, including as a result of highly dilutive issuances, and it is possible that Nasdaq could assert that our present offering, past offerings that we have consummated, or future offerings we may consummate, raise such concerns.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inflation expectations, bank closures, public health crises or geographical tensions and wars, such as the Israel-Hamas war and Russia-Ukraine war;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us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shares of our common stock outstanding as of November 11, 2024, our executive officers, directors and stockholders who own more than 5% of our outstanding common stock will, in the aggregate, beneficially own shares representing 67% of our outstanding common stock as of the date of this Quarterly Report. If our executive officers, directors and stockholders who own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arising under the DGCL, our amended and restated certificate of incorporation or our second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second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that is governed by the internal-affairs doctrine.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inflation expectations, bank closures, public health crises or geopolitical tensions such as the Russia-Ukraine and/or the Israel-Hamas wars,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Russia-Ukraine and the Israel-Hamas wars have created extreme volatility in the global capital markets and is expected to have further global economic consequences, including potential disruptions of the global supply chain, manufacturing and energy markets. 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during 2023, the FDIC took over Silicon Valley Bank, Signature Bank, Silvergate Capital Corp., and First Republic Bank, into receivership. Although the FDIC announced that all deposits with these banks would be fully insured, there continues to be uncertainty in the markets regarding the stability of regional banks and the safety of deposits in excess of the FDIC insured deposit limits. If other banks and financial institutions enter receivership or become insolvent in the future in response to financial conditions affecting the banking system and financial markets, our ability to access our existing cash may be threatened. The FDIC only insures accounts in amounts up to $250,000 per depositor per insured bank. If any of the banking institutions in which we have deposited funds ultimately fails, we may lose our deposits over $250,000. The loss of our deposits would have a material adverse effect on our business and financial condition. There can be no assurance that our deposits in excess of the FDIC or other comparable insurance limits will be backstopped by the FDIC or U.S. government, or that any bank or financial institution with which we do business will be able to obtain needed liquidity from other banks, government institutions, or by acquisition in the event of a failure or liquidity crisis. The ultimate outcome of these events cannot be predicted, but these events could have a material adverse effect on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36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of our directors or executive officers adopted, modified or terminated a "Rule 10b5-1 trading arrangement" or "non-Rule-10b5-1 trading arrangement," as each term is defined in Item 408(a) of Regulation S-K, during the fiscal quarter ended September 30, 2024. </w:t>
      </w:r>
    </w:p>
    <w:p>
      <w:pPr>
        <w:pStyle w:val="TextBody"/>
        <w:bidi w:val="0"/>
        <w:spacing w:before="360" w:after="283"/>
        <w:jc w:val="both"/>
        <w:rPr>
          <w:rFonts w:ascii="Times New Roman" w:hAnsi="Times New Roman"/>
          <w:sz w:val="20"/>
        </w:rPr>
      </w:pPr>
      <w:bookmarkStart w:id="19" w:name="item_6_exhibits_financial_statement_sche"/>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Exhibits</w:t>
      </w:r>
    </w:p>
    <w:p>
      <w:pPr>
        <w:pStyle w:val="TextBody"/>
        <w:bidi w:val="0"/>
        <w:jc w:val="both"/>
        <w:rPr/>
      </w:pPr>
      <w:r>
        <w:rPr/>
        <w:t> </w:t>
      </w:r>
    </w:p>
    <w:tbl>
      <w:tblPr>
        <w:tblW w:w="1731" w:type="dxa"/>
        <w:jc w:val="left"/>
        <w:tblInd w:w="0" w:type="dxa"/>
        <w:tblLayout w:type="fixed"/>
        <w:tblCellMar>
          <w:top w:w="28" w:type="dxa"/>
          <w:left w:w="28" w:type="dxa"/>
          <w:bottom w:w="28" w:type="dxa"/>
          <w:right w:w="28" w:type="dxa"/>
        </w:tblCellMar>
      </w:tblPr>
      <w:tblGrid>
        <w:gridCol w:w="646"/>
        <w:gridCol w:w="109"/>
        <w:gridCol w:w="97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001-39692), filed with the SEC on August 3, 2021)</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Bylaws of the Company (incorporated herein by reference to Exhibit 3.1 to the Company’s Current Report on Form 8-K (File No. 001-39692), filed with the SEC on December 7, 2023).</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to Employment Agreement, by and between the Company and William Ho, dated as of August 30, 2024 (incorporated herein by reference to Exhibit 10.1 to the Company’s Current Report on Form 8-K (File No. 001-39692), filed with the SEC on September 6,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Amendment to Employment Agreement, by and between the Company and Trishna Goswami, dated as of August 30, 2024 (incorporated herein by reference to Exhibit 10.2 to the Company’s Current Report on Form 8-K (File No. 001-39692), filed with the SEC on September 6,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Amendment to Employment Agreement, by and between the Company and Lawrence Lamb, dated as of August 30, 2024 (incorporated herein by reference to Exhibit 10.3 to the Company’s Current Report on Form 8-K (File No. 001-39692), filed with the SEC on September 6,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to Employment Agreement, by and between the Company and Patrick McCall, dated as of August 30, 2024 (incorporated herein by reference to Exhibit 10.4 to the Company’s Current Report on Form 8-K (File No. 001-39692), filed with the SEC on September 6,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to Employment Agreement, by and between the Company and Kate Rochlin, dated as of August 30, 2024 (incorporated herein by reference to Exhibit 10.5 to the Company’s Current Report on Form 8-K (File No. 001-39692), filed with the SEC on September 6,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Securities Purchase Agreement (incorporated herein by reference to Exhibit 10.1 to the Company’s Current Report on Form 8-K (File No. 001-39692), filed with the SEC on October 1,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Registration Rights Agreement (incorporated herein by reference to Exhibit 10.2 to the Company’s Current Report on Form 8-K (File No. 001-39692), filed with the SEC on October 1,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10_8.htm">
              <w:r>
                <w:rPr>
                  <w:rStyle w:val="InternetLink"/>
                  <w:rFonts w:ascii="Times New Roman" w:hAnsi="Times New Roman"/>
                  <w:color w:val="0000FF"/>
                  <w:sz w:val="20"/>
                  <w:u w:val="single"/>
                </w:rPr>
                <w:t>Separation Agreement, by and between the Company and Trishna Goswami, dated as of September 6, 2024</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10_9.htm">
              <w:r>
                <w:rPr>
                  <w:rStyle w:val="InternetLink"/>
                  <w:rFonts w:ascii="Times New Roman" w:hAnsi="Times New Roman"/>
                  <w:color w:val="0000FF"/>
                  <w:sz w:val="20"/>
                  <w:u w:val="single"/>
                </w:rPr>
                <w:t>Non-Employee Director Compensation Policy (as amended August 30, 2024)</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1_1.htm">
              <w:r>
                <w:rPr>
                  <w:rStyle w:val="InternetLink"/>
                  <w:rFonts w:ascii="Times New Roman" w:hAnsi="Times New Roman"/>
                  <w:color w:val="0000FF"/>
                  <w:sz w:val="20"/>
                  <w:u w:val="single"/>
                </w:rPr>
                <w:t>Certification of Principal Executive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1_2.htm">
              <w:r>
                <w:rPr>
                  <w:rStyle w:val="InternetLink"/>
                  <w:rFonts w:ascii="Times New Roman" w:hAnsi="Times New Roman"/>
                  <w:color w:val="0000FF"/>
                  <w:sz w:val="20"/>
                  <w:u w:val="single"/>
                </w:rPr>
                <w:t>Certification of Principal Financial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nab-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both"/>
        <w:rPr/>
      </w:pPr>
      <w:r>
        <w:rPr/>
        <w:t> </w:t>
      </w:r>
    </w:p>
    <w:p>
      <w:pPr>
        <w:pStyle w:val="TextBody"/>
        <w:pBdr>
          <w:bottom w:val="single" w:sz="4"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schedules and exhibits have been omitted pursuant to Item 601(a)(5) of Regulation S-K. The Company will supplementally furnish copies of omitted schedules and exhibits to the SEC or its staff upon its request.</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exhibit have been redacted in accordance with Item 601(b)(10) of Regulation S-K. The omitted information is not material and is the type that the registrant treats as private or confidential.</w:t>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both"/>
        <w:rPr/>
      </w:pPr>
      <w:r>
        <w:rPr/>
        <w:t> </w:t>
      </w:r>
    </w:p>
    <w:tbl>
      <w:tblPr>
        <w:tblW w:w="6544" w:type="dxa"/>
        <w:jc w:val="left"/>
        <w:tblInd w:w="0" w:type="dxa"/>
        <w:tblLayout w:type="fixed"/>
        <w:tblCellMar>
          <w:top w:w="28" w:type="dxa"/>
          <w:left w:w="28" w:type="dxa"/>
          <w:bottom w:w="28" w:type="dxa"/>
          <w:right w:w="28" w:type="dxa"/>
        </w:tblCellMar>
      </w:tblPr>
      <w:tblGrid>
        <w:gridCol w:w="556"/>
        <w:gridCol w:w="171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shd w:fill="FFFFFF" w:val="clear"/>
            <w:vAlign w:val="center"/>
          </w:tcPr>
          <w:p>
            <w:pPr>
              <w:pStyle w:val="TableContents"/>
              <w:bidi w:val="0"/>
              <w:spacing w:before="0" w:after="283"/>
              <w:jc w:val="left"/>
              <w:rPr/>
            </w:pPr>
            <w:r>
              <w:rPr/>
              <w:t> </w:t>
            </w:r>
          </w:p>
        </w:tc>
        <w:tc>
          <w:tcPr>
            <w:tcW w:w="1711"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pPr>
            <w:r>
              <w:rPr/>
              <w:t> </w:t>
            </w:r>
          </w:p>
        </w:tc>
      </w:tr>
      <w:tr>
        <w:trPr/>
        <w:tc>
          <w:tcPr>
            <w:tcW w:w="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21" w:name="inab-ex10_2.htm"/>
      <w:bookmarkStart w:id="22" w:name="ksinabex10_2"/>
      <w:bookmarkEnd w:id="21"/>
      <w:bookmarkEnd w:id="22"/>
      <w:r>
        <w:rPr/>
        <w:t> </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 E A S E A G R E E M E N 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By and between</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SLOSS MARTIN BISCUIT, LTD.,</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by and through its Agent,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SLOSS REAL ESTATE COMPANY, INC.</w:t>
      </w:r>
    </w:p>
    <w:p>
      <w:pPr>
        <w:pStyle w:val="TextBody"/>
        <w:bidi w:val="0"/>
        <w:jc w:val="center"/>
        <w:rPr>
          <w:rFonts w:ascii="Times New Roman" w:hAnsi="Times New Roman"/>
          <w:b/>
          <w:color w:val="000000"/>
          <w:sz w:val="24"/>
        </w:rPr>
      </w:pPr>
      <w:r>
        <w:rPr>
          <w:rFonts w:ascii="Times New Roman" w:hAnsi="Times New Roman"/>
          <w:b/>
          <w:color w:val="000000"/>
          <w:sz w:val="24"/>
        </w:rPr>
        <w:t>(together “Landlord”)</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IN8BIO, INC.</w:t>
      </w:r>
    </w:p>
    <w:p>
      <w:pPr>
        <w:pStyle w:val="TextBody"/>
        <w:bidi w:val="0"/>
        <w:jc w:val="center"/>
        <w:rPr>
          <w:rFonts w:ascii="Times New Roman" w:hAnsi="Times New Roman"/>
          <w:b/>
          <w:color w:val="000000"/>
          <w:sz w:val="24"/>
        </w:rPr>
      </w:pPr>
      <w:r>
        <w:rPr>
          <w:rFonts w:ascii="Times New Roman" w:hAnsi="Times New Roman"/>
          <w:b/>
          <w:color w:val="000000"/>
          <w:sz w:val="24"/>
        </w:rPr>
        <w:t>(“Tenant”)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dated</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March 16, 2024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Martin Biscuit Building</w:t>
      </w:r>
    </w:p>
    <w:p>
      <w:pPr>
        <w:pStyle w:val="TextBody"/>
        <w:bidi w:val="0"/>
        <w:jc w:val="center"/>
        <w:rPr>
          <w:rFonts w:ascii="Times New Roman" w:hAnsi="Times New Roman"/>
          <w:sz w:val="20"/>
        </w:rPr>
      </w:pPr>
      <w:r>
        <w:rPr>
          <w:rFonts w:ascii="Times New Roman" w:hAnsi="Times New Roman"/>
          <w:b/>
          <w:color w:val="000000"/>
          <w:sz w:val="24"/>
        </w:rPr>
        <w:t>2901 2</w:t>
      </w:r>
      <w:r>
        <w:rPr>
          <w:rFonts w:ascii="Times New Roman" w:hAnsi="Times New Roman"/>
          <w:b/>
          <w:color w:val="000000"/>
          <w:sz w:val="16"/>
        </w:rPr>
        <w:t>nd</w:t>
      </w:r>
      <w:r>
        <w:rPr>
          <w:rFonts w:ascii="Times New Roman" w:hAnsi="Times New Roman"/>
          <w:color w:val="000000"/>
          <w:sz w:val="20"/>
        </w:rPr>
        <w:t xml:space="preserve"> </w:t>
      </w:r>
      <w:r>
        <w:rPr>
          <w:rFonts w:ascii="Times New Roman" w:hAnsi="Times New Roman"/>
          <w:b/>
          <w:color w:val="000000"/>
          <w:sz w:val="24"/>
        </w:rPr>
        <w:t>Avenue South</w:t>
      </w:r>
    </w:p>
    <w:p>
      <w:pPr>
        <w:pStyle w:val="TextBody"/>
        <w:bidi w:val="0"/>
        <w:jc w:val="center"/>
        <w:rPr>
          <w:rFonts w:ascii="Times New Roman" w:hAnsi="Times New Roman"/>
          <w:b/>
          <w:color w:val="000000"/>
          <w:sz w:val="24"/>
        </w:rPr>
      </w:pPr>
      <w:r>
        <w:rPr>
          <w:rFonts w:ascii="Times New Roman" w:hAnsi="Times New Roman"/>
          <w:b/>
          <w:color w:val="000000"/>
          <w:sz w:val="24"/>
        </w:rPr>
        <w:t>Birmingham, AL 35233</w:t>
      </w:r>
    </w:p>
    <w:p>
      <w:pPr>
        <w:pStyle w:val="TextBody"/>
        <w:bidi w:val="0"/>
        <w:jc w:val="center"/>
        <w:rPr>
          <w:rFonts w:ascii="Times New Roman" w:hAnsi="Times New Roman"/>
          <w:b/>
          <w:color w:val="000000"/>
          <w:sz w:val="24"/>
        </w:rPr>
      </w:pPr>
      <w:r>
        <w:rPr>
          <w:rFonts w:ascii="Times New Roman" w:hAnsi="Times New Roman"/>
          <w:b/>
          <w:color w:val="000000"/>
          <w:sz w:val="24"/>
        </w:rPr>
        <w:t>Suite Number 210</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containing approximately</w:t>
      </w:r>
    </w:p>
    <w:p>
      <w:pPr>
        <w:pStyle w:val="TextBody"/>
        <w:bidi w:val="0"/>
        <w:jc w:val="center"/>
        <w:rPr>
          <w:rFonts w:ascii="Times New Roman" w:hAnsi="Times New Roman"/>
          <w:b/>
          <w:color w:val="000000"/>
          <w:sz w:val="24"/>
        </w:rPr>
      </w:pPr>
      <w:r>
        <w:rPr>
          <w:rFonts w:ascii="Times New Roman" w:hAnsi="Times New Roman"/>
          <w:b/>
          <w:color w:val="000000"/>
          <w:sz w:val="24"/>
        </w:rPr>
        <w:t>8,116 square feet of Rentable Floor Area</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Term: 60-1/2 months</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jc w:val="both"/>
        <w:rPr>
          <w:rFonts w:ascii="Times New Roman" w:hAnsi="Times New Roman"/>
          <w:sz w:val="20"/>
        </w:rPr>
      </w:pPr>
      <w:r>
        <w:rPr>
          <w:rFonts w:ascii="Times New Roman" w:hAnsi="Times New Roman"/>
          <w:b/>
          <w:color w:val="000000"/>
          <w:sz w:val="22"/>
          <w:u w:val="single"/>
        </w:rPr>
        <w:t>Item</w:t>
      </w:r>
      <w:r>
        <w:rPr>
          <w:rFonts w:ascii="Times New Roman" w:hAnsi="Times New Roman"/>
          <w:color w:val="000000"/>
          <w:sz w:val="20"/>
        </w:rPr>
        <w:t xml:space="preserve"> </w:t>
      </w:r>
      <w:r>
        <w:rPr>
          <w:rFonts w:ascii="Times New Roman" w:hAnsi="Times New Roman"/>
          <w:b/>
          <w:color w:val="000000"/>
          <w:sz w:val="22"/>
          <w:u w:val="single"/>
        </w:rPr>
        <w:t>Page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Premises 1</w:t>
      </w:r>
    </w:p>
    <w:p>
      <w:pPr>
        <w:pStyle w:val="TextBody"/>
        <w:bidi w:val="0"/>
        <w:jc w:val="both"/>
        <w:rPr>
          <w:rFonts w:ascii="Times New Roman" w:hAnsi="Times New Roman"/>
          <w:color w:val="000000"/>
          <w:sz w:val="22"/>
        </w:rPr>
      </w:pPr>
      <w:r>
        <w:rPr>
          <w:rFonts w:ascii="Times New Roman" w:hAnsi="Times New Roman"/>
          <w:color w:val="000000"/>
          <w:sz w:val="22"/>
        </w:rPr>
        <w:t>2. Term and Possession 1</w:t>
      </w:r>
    </w:p>
    <w:p>
      <w:pPr>
        <w:pStyle w:val="TextBody"/>
        <w:bidi w:val="0"/>
        <w:jc w:val="both"/>
        <w:rPr>
          <w:rFonts w:ascii="Times New Roman" w:hAnsi="Times New Roman"/>
          <w:color w:val="000000"/>
          <w:sz w:val="22"/>
        </w:rPr>
      </w:pPr>
      <w:r>
        <w:rPr>
          <w:rFonts w:ascii="Times New Roman" w:hAnsi="Times New Roman"/>
          <w:color w:val="000000"/>
          <w:sz w:val="22"/>
        </w:rPr>
        <w:t>3. Rent 2</w:t>
      </w:r>
    </w:p>
    <w:p>
      <w:pPr>
        <w:pStyle w:val="TextBody"/>
        <w:bidi w:val="0"/>
        <w:jc w:val="both"/>
        <w:rPr>
          <w:rFonts w:ascii="Times New Roman" w:hAnsi="Times New Roman"/>
          <w:color w:val="000000"/>
          <w:sz w:val="22"/>
        </w:rPr>
      </w:pPr>
      <w:r>
        <w:rPr>
          <w:rFonts w:ascii="Times New Roman" w:hAnsi="Times New Roman"/>
          <w:color w:val="000000"/>
          <w:sz w:val="22"/>
        </w:rPr>
        <w:t>4. Late Charges 2</w:t>
      </w:r>
    </w:p>
    <w:p>
      <w:pPr>
        <w:pStyle w:val="TextBody"/>
        <w:bidi w:val="0"/>
        <w:jc w:val="both"/>
        <w:rPr>
          <w:rFonts w:ascii="Times New Roman" w:hAnsi="Times New Roman"/>
          <w:color w:val="000000"/>
          <w:sz w:val="22"/>
        </w:rPr>
      </w:pPr>
      <w:r>
        <w:rPr>
          <w:rFonts w:ascii="Times New Roman" w:hAnsi="Times New Roman"/>
          <w:color w:val="000000"/>
          <w:sz w:val="22"/>
        </w:rPr>
        <w:t>5. Security Deposit 3</w:t>
      </w:r>
    </w:p>
    <w:p>
      <w:pPr>
        <w:pStyle w:val="TextBody"/>
        <w:bidi w:val="0"/>
        <w:jc w:val="both"/>
        <w:rPr>
          <w:rFonts w:ascii="Times New Roman" w:hAnsi="Times New Roman"/>
          <w:color w:val="000000"/>
          <w:sz w:val="22"/>
        </w:rPr>
      </w:pPr>
      <w:r>
        <w:rPr>
          <w:rFonts w:ascii="Times New Roman" w:hAnsi="Times New Roman"/>
          <w:color w:val="000000"/>
          <w:sz w:val="22"/>
        </w:rPr>
        <w:t>6. Use 3</w:t>
      </w:r>
    </w:p>
    <w:p>
      <w:pPr>
        <w:pStyle w:val="TextBody"/>
        <w:bidi w:val="0"/>
        <w:jc w:val="both"/>
        <w:rPr>
          <w:rFonts w:ascii="Times New Roman" w:hAnsi="Times New Roman"/>
          <w:color w:val="000000"/>
          <w:sz w:val="22"/>
        </w:rPr>
      </w:pPr>
      <w:r>
        <w:rPr>
          <w:rFonts w:ascii="Times New Roman" w:hAnsi="Times New Roman"/>
          <w:color w:val="000000"/>
          <w:sz w:val="22"/>
        </w:rPr>
        <w:t>7. Assignment 4</w:t>
      </w:r>
    </w:p>
    <w:p>
      <w:pPr>
        <w:pStyle w:val="TextBody"/>
        <w:bidi w:val="0"/>
        <w:jc w:val="both"/>
        <w:rPr>
          <w:rFonts w:ascii="Times New Roman" w:hAnsi="Times New Roman"/>
          <w:color w:val="000000"/>
          <w:sz w:val="22"/>
        </w:rPr>
      </w:pPr>
      <w:r>
        <w:rPr>
          <w:rFonts w:ascii="Times New Roman" w:hAnsi="Times New Roman"/>
          <w:color w:val="000000"/>
          <w:sz w:val="22"/>
        </w:rPr>
        <w:t>8. Services and Utilities 5</w:t>
      </w:r>
    </w:p>
    <w:p>
      <w:pPr>
        <w:pStyle w:val="TextBody"/>
        <w:bidi w:val="0"/>
        <w:jc w:val="both"/>
        <w:rPr>
          <w:rFonts w:ascii="Times New Roman" w:hAnsi="Times New Roman"/>
          <w:color w:val="000000"/>
          <w:sz w:val="22"/>
        </w:rPr>
      </w:pPr>
      <w:r>
        <w:rPr>
          <w:rFonts w:ascii="Times New Roman" w:hAnsi="Times New Roman"/>
          <w:color w:val="000000"/>
          <w:sz w:val="22"/>
        </w:rPr>
        <w:t>9. Indemnification 6</w:t>
      </w:r>
    </w:p>
    <w:p>
      <w:pPr>
        <w:pStyle w:val="TextBody"/>
        <w:bidi w:val="0"/>
        <w:jc w:val="both"/>
        <w:rPr>
          <w:rFonts w:ascii="Times New Roman" w:hAnsi="Times New Roman"/>
          <w:color w:val="000000"/>
          <w:sz w:val="22"/>
        </w:rPr>
      </w:pPr>
      <w:r>
        <w:rPr>
          <w:rFonts w:ascii="Times New Roman" w:hAnsi="Times New Roman"/>
          <w:color w:val="000000"/>
          <w:sz w:val="22"/>
        </w:rPr>
        <w:t>10. Damage to Premises 7</w:t>
      </w:r>
    </w:p>
    <w:p>
      <w:pPr>
        <w:pStyle w:val="TextBody"/>
        <w:bidi w:val="0"/>
        <w:jc w:val="both"/>
        <w:rPr>
          <w:rFonts w:ascii="Times New Roman" w:hAnsi="Times New Roman"/>
          <w:color w:val="000000"/>
          <w:sz w:val="22"/>
        </w:rPr>
      </w:pPr>
      <w:r>
        <w:rPr>
          <w:rFonts w:ascii="Times New Roman" w:hAnsi="Times New Roman"/>
          <w:color w:val="000000"/>
          <w:sz w:val="22"/>
        </w:rPr>
        <w:t>11. Insurance 9</w:t>
      </w:r>
    </w:p>
    <w:p>
      <w:pPr>
        <w:pStyle w:val="TextBody"/>
        <w:bidi w:val="0"/>
        <w:jc w:val="both"/>
        <w:rPr>
          <w:rFonts w:ascii="Times New Roman" w:hAnsi="Times New Roman"/>
          <w:color w:val="000000"/>
          <w:sz w:val="22"/>
        </w:rPr>
      </w:pPr>
      <w:r>
        <w:rPr>
          <w:rFonts w:ascii="Times New Roman" w:hAnsi="Times New Roman"/>
          <w:color w:val="000000"/>
          <w:sz w:val="22"/>
        </w:rPr>
        <w:t>12. Default 10</w:t>
      </w:r>
    </w:p>
    <w:p>
      <w:pPr>
        <w:pStyle w:val="TextBody"/>
        <w:bidi w:val="0"/>
        <w:jc w:val="both"/>
        <w:rPr>
          <w:rFonts w:ascii="Times New Roman" w:hAnsi="Times New Roman"/>
          <w:color w:val="000000"/>
          <w:sz w:val="22"/>
        </w:rPr>
      </w:pPr>
      <w:r>
        <w:rPr>
          <w:rFonts w:ascii="Times New Roman" w:hAnsi="Times New Roman"/>
          <w:color w:val="000000"/>
          <w:sz w:val="22"/>
        </w:rPr>
        <w:t>13. No Waiver 14</w:t>
      </w:r>
    </w:p>
    <w:p>
      <w:pPr>
        <w:pStyle w:val="TextBody"/>
        <w:bidi w:val="0"/>
        <w:jc w:val="both"/>
        <w:rPr>
          <w:rFonts w:ascii="Times New Roman" w:hAnsi="Times New Roman"/>
          <w:color w:val="000000"/>
          <w:sz w:val="22"/>
        </w:rPr>
      </w:pPr>
      <w:r>
        <w:rPr>
          <w:rFonts w:ascii="Times New Roman" w:hAnsi="Times New Roman"/>
          <w:color w:val="000000"/>
          <w:sz w:val="22"/>
        </w:rPr>
        <w:t>14. Personal Property 14</w:t>
      </w:r>
    </w:p>
    <w:p>
      <w:pPr>
        <w:pStyle w:val="TextBody"/>
        <w:bidi w:val="0"/>
        <w:jc w:val="both"/>
        <w:rPr>
          <w:rFonts w:ascii="Times New Roman" w:hAnsi="Times New Roman"/>
          <w:color w:val="000000"/>
          <w:sz w:val="22"/>
        </w:rPr>
      </w:pPr>
      <w:r>
        <w:rPr>
          <w:rFonts w:ascii="Times New Roman" w:hAnsi="Times New Roman"/>
          <w:color w:val="000000"/>
          <w:sz w:val="22"/>
        </w:rPr>
        <w:t>15. Laws; Rules and Regulations 14</w:t>
      </w:r>
    </w:p>
    <w:p>
      <w:pPr>
        <w:pStyle w:val="TextBody"/>
        <w:bidi w:val="0"/>
        <w:jc w:val="both"/>
        <w:rPr>
          <w:rFonts w:ascii="Times New Roman" w:hAnsi="Times New Roman"/>
          <w:color w:val="000000"/>
          <w:sz w:val="22"/>
        </w:rPr>
      </w:pPr>
      <w:r>
        <w:rPr>
          <w:rFonts w:ascii="Times New Roman" w:hAnsi="Times New Roman"/>
          <w:color w:val="000000"/>
          <w:sz w:val="22"/>
        </w:rPr>
        <w:t>16. Entire Agreement 15</w:t>
      </w:r>
    </w:p>
    <w:p>
      <w:pPr>
        <w:pStyle w:val="TextBody"/>
        <w:bidi w:val="0"/>
        <w:jc w:val="both"/>
        <w:rPr>
          <w:rFonts w:ascii="Times New Roman" w:hAnsi="Times New Roman"/>
          <w:color w:val="000000"/>
          <w:sz w:val="22"/>
        </w:rPr>
      </w:pPr>
      <w:r>
        <w:rPr>
          <w:rFonts w:ascii="Times New Roman" w:hAnsi="Times New Roman"/>
          <w:color w:val="000000"/>
          <w:sz w:val="22"/>
        </w:rPr>
        <w:t>17. Time of Essence 15</w:t>
      </w:r>
    </w:p>
    <w:p>
      <w:pPr>
        <w:pStyle w:val="TextBody"/>
        <w:bidi w:val="0"/>
        <w:jc w:val="both"/>
        <w:rPr>
          <w:rFonts w:ascii="Times New Roman" w:hAnsi="Times New Roman"/>
          <w:color w:val="000000"/>
          <w:sz w:val="22"/>
        </w:rPr>
      </w:pPr>
      <w:r>
        <w:rPr>
          <w:rFonts w:ascii="Times New Roman" w:hAnsi="Times New Roman"/>
          <w:color w:val="000000"/>
          <w:sz w:val="22"/>
        </w:rPr>
        <w:t>18. Condemnation 15</w:t>
      </w:r>
    </w:p>
    <w:p>
      <w:pPr>
        <w:pStyle w:val="TextBody"/>
        <w:bidi w:val="0"/>
        <w:jc w:val="both"/>
        <w:rPr>
          <w:rFonts w:ascii="Times New Roman" w:hAnsi="Times New Roman"/>
          <w:color w:val="000000"/>
          <w:sz w:val="22"/>
        </w:rPr>
      </w:pPr>
      <w:r>
        <w:rPr>
          <w:rFonts w:ascii="Times New Roman" w:hAnsi="Times New Roman"/>
          <w:color w:val="000000"/>
          <w:sz w:val="22"/>
        </w:rPr>
        <w:t>19. Delivery of Possession After Termination; Holdover .16</w:t>
      </w:r>
    </w:p>
    <w:p>
      <w:pPr>
        <w:pStyle w:val="TextBody"/>
        <w:bidi w:val="0"/>
        <w:jc w:val="both"/>
        <w:rPr>
          <w:rFonts w:ascii="Times New Roman" w:hAnsi="Times New Roman"/>
          <w:color w:val="000000"/>
          <w:sz w:val="22"/>
        </w:rPr>
      </w:pPr>
      <w:r>
        <w:rPr>
          <w:rFonts w:ascii="Times New Roman" w:hAnsi="Times New Roman"/>
          <w:color w:val="000000"/>
          <w:sz w:val="22"/>
        </w:rPr>
        <w:t>20. Tenant Signs 17</w:t>
      </w:r>
    </w:p>
    <w:p>
      <w:pPr>
        <w:pStyle w:val="TextBody"/>
        <w:bidi w:val="0"/>
        <w:jc w:val="both"/>
        <w:rPr>
          <w:rFonts w:ascii="Times New Roman" w:hAnsi="Times New Roman"/>
          <w:color w:val="000000"/>
          <w:sz w:val="22"/>
        </w:rPr>
      </w:pPr>
      <w:r>
        <w:rPr>
          <w:rFonts w:ascii="Times New Roman" w:hAnsi="Times New Roman"/>
          <w:color w:val="000000"/>
          <w:sz w:val="22"/>
        </w:rPr>
        <w:t>21. Entry by Landlord 18</w:t>
      </w:r>
    </w:p>
    <w:p>
      <w:pPr>
        <w:pStyle w:val="TextBody"/>
        <w:bidi w:val="0"/>
        <w:jc w:val="both"/>
        <w:rPr>
          <w:rFonts w:ascii="Times New Roman" w:hAnsi="Times New Roman"/>
          <w:color w:val="000000"/>
          <w:sz w:val="22"/>
        </w:rPr>
      </w:pPr>
      <w:r>
        <w:rPr>
          <w:rFonts w:ascii="Times New Roman" w:hAnsi="Times New Roman"/>
          <w:color w:val="000000"/>
          <w:sz w:val="22"/>
        </w:rPr>
        <w:t>22. Notices 18</w:t>
      </w:r>
    </w:p>
    <w:p>
      <w:pPr>
        <w:pStyle w:val="TextBody"/>
        <w:bidi w:val="0"/>
        <w:jc w:val="both"/>
        <w:rPr>
          <w:rFonts w:ascii="Times New Roman" w:hAnsi="Times New Roman"/>
          <w:color w:val="000000"/>
          <w:sz w:val="22"/>
        </w:rPr>
      </w:pPr>
      <w:r>
        <w:rPr>
          <w:rFonts w:ascii="Times New Roman" w:hAnsi="Times New Roman"/>
          <w:color w:val="000000"/>
          <w:sz w:val="22"/>
        </w:rPr>
        <w:t>23. Lease Subordinate to Mortgages (SNDA) 19</w:t>
      </w:r>
    </w:p>
    <w:p>
      <w:pPr>
        <w:pStyle w:val="TextBody"/>
        <w:bidi w:val="0"/>
        <w:jc w:val="both"/>
        <w:rPr>
          <w:rFonts w:ascii="Times New Roman" w:hAnsi="Times New Roman"/>
          <w:color w:val="000000"/>
          <w:sz w:val="22"/>
        </w:rPr>
      </w:pPr>
      <w:r>
        <w:rPr>
          <w:rFonts w:ascii="Times New Roman" w:hAnsi="Times New Roman"/>
          <w:color w:val="000000"/>
          <w:sz w:val="22"/>
        </w:rPr>
        <w:t>24. Estoppel Certificates by Tenant 20</w:t>
      </w:r>
    </w:p>
    <w:p>
      <w:pPr>
        <w:pStyle w:val="TextBody"/>
        <w:bidi w:val="0"/>
        <w:jc w:val="both"/>
        <w:rPr>
          <w:rFonts w:ascii="Times New Roman" w:hAnsi="Times New Roman"/>
          <w:color w:val="000000"/>
          <w:sz w:val="22"/>
        </w:rPr>
      </w:pPr>
      <w:r>
        <w:rPr>
          <w:rFonts w:ascii="Times New Roman" w:hAnsi="Times New Roman"/>
          <w:color w:val="000000"/>
          <w:sz w:val="22"/>
        </w:rPr>
        <w:t>25. Landlord’s Exculpatory Clause 20</w:t>
      </w:r>
    </w:p>
    <w:p>
      <w:pPr>
        <w:pStyle w:val="TextBody"/>
        <w:bidi w:val="0"/>
        <w:jc w:val="both"/>
        <w:rPr>
          <w:rFonts w:ascii="Times New Roman" w:hAnsi="Times New Roman"/>
          <w:color w:val="000000"/>
          <w:sz w:val="22"/>
        </w:rPr>
      </w:pPr>
      <w:r>
        <w:rPr>
          <w:rFonts w:ascii="Times New Roman" w:hAnsi="Times New Roman"/>
          <w:color w:val="000000"/>
          <w:sz w:val="22"/>
        </w:rPr>
        <w:t>26. Successors &amp; Assigns; Landlord’s Agent 21</w:t>
      </w:r>
    </w:p>
    <w:p>
      <w:pPr>
        <w:pStyle w:val="TextBody"/>
        <w:bidi w:val="0"/>
        <w:jc w:val="both"/>
        <w:rPr>
          <w:rFonts w:ascii="Times New Roman" w:hAnsi="Times New Roman"/>
          <w:color w:val="000000"/>
          <w:sz w:val="22"/>
        </w:rPr>
      </w:pPr>
      <w:r>
        <w:rPr>
          <w:rFonts w:ascii="Times New Roman" w:hAnsi="Times New Roman"/>
          <w:color w:val="000000"/>
          <w:sz w:val="22"/>
        </w:rPr>
        <w:t>27. Hazardous Substances 21</w:t>
      </w:r>
    </w:p>
    <w:p>
      <w:pPr>
        <w:pStyle w:val="TextBody"/>
        <w:bidi w:val="0"/>
        <w:jc w:val="both"/>
        <w:rPr>
          <w:rFonts w:ascii="Times New Roman" w:hAnsi="Times New Roman"/>
          <w:color w:val="000000"/>
          <w:sz w:val="22"/>
        </w:rPr>
      </w:pPr>
      <w:r>
        <w:rPr>
          <w:rFonts w:ascii="Times New Roman" w:hAnsi="Times New Roman"/>
          <w:color w:val="000000"/>
          <w:sz w:val="22"/>
        </w:rPr>
        <w:t>28. Sale of Building 22</w:t>
      </w:r>
    </w:p>
    <w:p>
      <w:pPr>
        <w:pStyle w:val="TextBody"/>
        <w:bidi w:val="0"/>
        <w:jc w:val="both"/>
        <w:rPr>
          <w:rFonts w:ascii="Times New Roman" w:hAnsi="Times New Roman"/>
          <w:color w:val="000000"/>
          <w:sz w:val="22"/>
        </w:rPr>
      </w:pPr>
      <w:r>
        <w:rPr>
          <w:rFonts w:ascii="Times New Roman" w:hAnsi="Times New Roman"/>
          <w:color w:val="000000"/>
          <w:sz w:val="22"/>
        </w:rPr>
        <w:t>29. Savings Clause 22</w:t>
      </w:r>
    </w:p>
    <w:p>
      <w:pPr>
        <w:pStyle w:val="TextBody"/>
        <w:bidi w:val="0"/>
        <w:jc w:val="both"/>
        <w:rPr>
          <w:rFonts w:ascii="Times New Roman" w:hAnsi="Times New Roman"/>
          <w:color w:val="000000"/>
          <w:sz w:val="22"/>
        </w:rPr>
      </w:pPr>
      <w:r>
        <w:rPr>
          <w:rFonts w:ascii="Times New Roman" w:hAnsi="Times New Roman"/>
          <w:color w:val="000000"/>
          <w:sz w:val="22"/>
        </w:rPr>
        <w:t>30. Intentionally Omitted 22</w:t>
      </w:r>
    </w:p>
    <w:p>
      <w:pPr>
        <w:pStyle w:val="TextBody"/>
        <w:bidi w:val="0"/>
        <w:jc w:val="both"/>
        <w:rPr>
          <w:rFonts w:ascii="Times New Roman" w:hAnsi="Times New Roman"/>
          <w:color w:val="000000"/>
          <w:sz w:val="22"/>
        </w:rPr>
      </w:pPr>
      <w:r>
        <w:rPr>
          <w:rFonts w:ascii="Times New Roman" w:hAnsi="Times New Roman"/>
          <w:color w:val="000000"/>
          <w:sz w:val="22"/>
        </w:rPr>
        <w:t>31. Operating Costs 22</w:t>
      </w:r>
    </w:p>
    <w:p>
      <w:pPr>
        <w:pStyle w:val="TextBody"/>
        <w:bidi w:val="0"/>
        <w:jc w:val="both"/>
        <w:rPr>
          <w:rFonts w:ascii="Times New Roman" w:hAnsi="Times New Roman"/>
          <w:color w:val="000000"/>
          <w:sz w:val="22"/>
        </w:rPr>
      </w:pPr>
      <w:r>
        <w:rPr>
          <w:rFonts w:ascii="Times New Roman" w:hAnsi="Times New Roman"/>
          <w:color w:val="000000"/>
          <w:sz w:val="22"/>
        </w:rPr>
        <w:t>32. Alterations; Landlord and Tenant Improvements 25</w:t>
      </w:r>
    </w:p>
    <w:p>
      <w:pPr>
        <w:pStyle w:val="TextBody"/>
        <w:bidi w:val="0"/>
        <w:jc w:val="both"/>
        <w:rPr>
          <w:rFonts w:ascii="Times New Roman" w:hAnsi="Times New Roman"/>
          <w:color w:val="000000"/>
          <w:sz w:val="22"/>
        </w:rPr>
      </w:pPr>
      <w:r>
        <w:rPr>
          <w:rFonts w:ascii="Times New Roman" w:hAnsi="Times New Roman"/>
          <w:color w:val="000000"/>
          <w:sz w:val="22"/>
        </w:rPr>
        <w:t>33. Tenant Special Events, Services, &amp; Circumstances; Trademarks 26</w:t>
      </w:r>
    </w:p>
    <w:p>
      <w:pPr>
        <w:pStyle w:val="TextBody"/>
        <w:bidi w:val="0"/>
        <w:jc w:val="both"/>
        <w:rPr>
          <w:rFonts w:ascii="Times New Roman" w:hAnsi="Times New Roman"/>
          <w:color w:val="000000"/>
          <w:sz w:val="22"/>
        </w:rPr>
      </w:pPr>
      <w:r>
        <w:rPr>
          <w:rFonts w:ascii="Times New Roman" w:hAnsi="Times New Roman"/>
          <w:color w:val="000000"/>
          <w:sz w:val="22"/>
        </w:rPr>
        <w:t>34. Building Hours; Tenant Hours of Operation 26</w:t>
      </w:r>
    </w:p>
    <w:p>
      <w:pPr>
        <w:pStyle w:val="TextBody"/>
        <w:bidi w:val="0"/>
        <w:jc w:val="both"/>
        <w:rPr>
          <w:rFonts w:ascii="Times New Roman" w:hAnsi="Times New Roman"/>
          <w:color w:val="000000"/>
          <w:sz w:val="22"/>
        </w:rPr>
      </w:pPr>
      <w:r>
        <w:rPr>
          <w:rFonts w:ascii="Times New Roman" w:hAnsi="Times New Roman"/>
          <w:color w:val="000000"/>
          <w:sz w:val="22"/>
        </w:rPr>
        <w:t>35. Intentionally Deleted 26</w:t>
      </w:r>
    </w:p>
    <w:p>
      <w:pPr>
        <w:pStyle w:val="TextBody"/>
        <w:bidi w:val="0"/>
        <w:jc w:val="both"/>
        <w:rPr>
          <w:rFonts w:ascii="Times New Roman" w:hAnsi="Times New Roman"/>
          <w:color w:val="000000"/>
          <w:sz w:val="22"/>
        </w:rPr>
      </w:pPr>
      <w:r>
        <w:rPr>
          <w:rFonts w:ascii="Times New Roman" w:hAnsi="Times New Roman"/>
          <w:color w:val="000000"/>
          <w:sz w:val="22"/>
        </w:rPr>
        <w:t>36. Force Majeure 26</w:t>
      </w:r>
    </w:p>
    <w:p>
      <w:pPr>
        <w:pStyle w:val="TextBody"/>
        <w:bidi w:val="0"/>
        <w:jc w:val="both"/>
        <w:rPr>
          <w:rFonts w:ascii="Times New Roman" w:hAnsi="Times New Roman"/>
          <w:color w:val="000000"/>
          <w:sz w:val="22"/>
        </w:rPr>
      </w:pPr>
      <w:r>
        <w:rPr>
          <w:rFonts w:ascii="Times New Roman" w:hAnsi="Times New Roman"/>
          <w:color w:val="000000"/>
          <w:sz w:val="22"/>
        </w:rPr>
        <w:t>37. Severability 27</w:t>
      </w:r>
    </w:p>
    <w:p>
      <w:pPr>
        <w:pStyle w:val="TextBody"/>
        <w:bidi w:val="0"/>
        <w:jc w:val="both"/>
        <w:rPr>
          <w:rFonts w:ascii="Times New Roman" w:hAnsi="Times New Roman"/>
          <w:color w:val="000000"/>
          <w:sz w:val="22"/>
        </w:rPr>
      </w:pPr>
      <w:r>
        <w:rPr>
          <w:rFonts w:ascii="Times New Roman" w:hAnsi="Times New Roman"/>
          <w:color w:val="000000"/>
          <w:sz w:val="22"/>
        </w:rPr>
        <w:t>38. Headings 27</w:t>
      </w:r>
    </w:p>
    <w:p>
      <w:pPr>
        <w:pStyle w:val="TextBody"/>
        <w:bidi w:val="0"/>
        <w:jc w:val="both"/>
        <w:rPr>
          <w:rFonts w:ascii="Times New Roman" w:hAnsi="Times New Roman"/>
          <w:color w:val="000000"/>
          <w:sz w:val="22"/>
        </w:rPr>
      </w:pPr>
      <w:r>
        <w:rPr>
          <w:rFonts w:ascii="Times New Roman" w:hAnsi="Times New Roman"/>
          <w:color w:val="000000"/>
          <w:sz w:val="22"/>
        </w:rPr>
        <w:t>39. Governing Law 27</w:t>
      </w:r>
    </w:p>
    <w:p>
      <w:pPr>
        <w:pStyle w:val="TextBody"/>
        <w:bidi w:val="0"/>
        <w:jc w:val="both"/>
        <w:rPr>
          <w:rFonts w:ascii="Times New Roman" w:hAnsi="Times New Roman"/>
          <w:color w:val="000000"/>
          <w:sz w:val="22"/>
        </w:rPr>
      </w:pPr>
      <w:r>
        <w:rPr>
          <w:rFonts w:ascii="Times New Roman" w:hAnsi="Times New Roman"/>
          <w:color w:val="000000"/>
          <w:sz w:val="22"/>
        </w:rPr>
        <w:t>40. Completed Document...27</w:t>
      </w:r>
    </w:p>
    <w:p>
      <w:pPr>
        <w:pStyle w:val="TextBody"/>
        <w:bidi w:val="0"/>
        <w:jc w:val="both"/>
        <w:rPr>
          <w:rFonts w:ascii="Times New Roman" w:hAnsi="Times New Roman"/>
          <w:color w:val="000000"/>
          <w:sz w:val="22"/>
        </w:rPr>
      </w:pPr>
      <w:r>
        <w:rPr>
          <w:rFonts w:ascii="Times New Roman" w:hAnsi="Times New Roman"/>
          <w:color w:val="000000"/>
          <w:sz w:val="22"/>
        </w:rPr>
        <w:t>41. Mold and Mildew..27</w:t>
      </w:r>
    </w:p>
    <w:p>
      <w:pPr>
        <w:pStyle w:val="TextBody"/>
        <w:bidi w:val="0"/>
        <w:jc w:val="both"/>
        <w:rPr>
          <w:rFonts w:ascii="Times New Roman" w:hAnsi="Times New Roman"/>
          <w:color w:val="000000"/>
          <w:sz w:val="22"/>
        </w:rPr>
      </w:pPr>
      <w:r>
        <w:rPr>
          <w:rFonts w:ascii="Times New Roman" w:hAnsi="Times New Roman"/>
          <w:color w:val="000000"/>
          <w:sz w:val="22"/>
        </w:rPr>
        <w:t>42. Brokers .................28</w:t>
      </w:r>
    </w:p>
    <w:p>
      <w:pPr>
        <w:pStyle w:val="TextBody"/>
        <w:bidi w:val="0"/>
        <w:jc w:val="both"/>
        <w:rPr>
          <w:rFonts w:ascii="Times New Roman" w:hAnsi="Times New Roman"/>
          <w:color w:val="000000"/>
          <w:sz w:val="22"/>
        </w:rPr>
      </w:pPr>
      <w:r>
        <w:rPr>
          <w:rFonts w:ascii="Times New Roman" w:hAnsi="Times New Roman"/>
          <w:color w:val="000000"/>
          <w:sz w:val="22"/>
        </w:rPr>
        <w:t>43. Acceptance Agreement .....................28</w:t>
      </w:r>
    </w:p>
    <w:p>
      <w:pPr>
        <w:pStyle w:val="TextBody"/>
        <w:bidi w:val="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44. Common Areas.....................................................................................................................................28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Exhibit “A” Depiction of Premises A</w:t>
      </w:r>
    </w:p>
    <w:p>
      <w:pPr>
        <w:pStyle w:val="TextBody"/>
        <w:bidi w:val="0"/>
        <w:jc w:val="both"/>
        <w:rPr>
          <w:rFonts w:ascii="Times New Roman" w:hAnsi="Times New Roman"/>
          <w:color w:val="000000"/>
          <w:sz w:val="22"/>
        </w:rPr>
      </w:pPr>
      <w:r>
        <w:rPr>
          <w:rFonts w:ascii="Times New Roman" w:hAnsi="Times New Roman"/>
          <w:color w:val="000000"/>
          <w:sz w:val="22"/>
        </w:rPr>
        <w:t>Exhibit “B” Rules and Regulations B</w:t>
      </w:r>
    </w:p>
    <w:p>
      <w:pPr>
        <w:pStyle w:val="TextBody"/>
        <w:bidi w:val="0"/>
        <w:jc w:val="both"/>
        <w:rPr>
          <w:rFonts w:ascii="Times New Roman" w:hAnsi="Times New Roman"/>
          <w:color w:val="000000"/>
          <w:sz w:val="22"/>
        </w:rPr>
      </w:pPr>
      <w:r>
        <w:rPr>
          <w:rFonts w:ascii="Times New Roman" w:hAnsi="Times New Roman"/>
          <w:color w:val="000000"/>
          <w:sz w:val="22"/>
        </w:rPr>
        <w:t>Exhibit “C” Further Terms and Conditions C</w:t>
      </w:r>
    </w:p>
    <w:p>
      <w:pPr>
        <w:pStyle w:val="TextBody"/>
        <w:bidi w:val="0"/>
        <w:jc w:val="both"/>
        <w:rPr>
          <w:rFonts w:ascii="Times New Roman" w:hAnsi="Times New Roman"/>
          <w:color w:val="000000"/>
          <w:sz w:val="22"/>
        </w:rPr>
      </w:pPr>
      <w:r>
        <w:rPr>
          <w:rFonts w:ascii="Times New Roman" w:hAnsi="Times New Roman"/>
          <w:color w:val="000000"/>
          <w:sz w:val="22"/>
        </w:rPr>
        <w:t>Exhibit “D” Landlord and Tenant Improvements D</w:t>
      </w:r>
    </w:p>
    <w:p>
      <w:pPr>
        <w:pStyle w:val="TextBody"/>
        <w:bidi w:val="0"/>
        <w:jc w:val="both"/>
        <w:rPr>
          <w:rFonts w:ascii="Times New Roman" w:hAnsi="Times New Roman"/>
          <w:color w:val="000000"/>
          <w:sz w:val="22"/>
        </w:rPr>
      </w:pPr>
      <w:r>
        <w:rPr>
          <w:rFonts w:ascii="Times New Roman" w:hAnsi="Times New Roman"/>
          <w:color w:val="000000"/>
          <w:sz w:val="22"/>
        </w:rPr>
        <w:t>Exhibit “D-1” Work Letter D-1</w:t>
      </w:r>
    </w:p>
    <w:p>
      <w:pPr>
        <w:pStyle w:val="TextBody"/>
        <w:bidi w:val="0"/>
        <w:jc w:val="both"/>
        <w:rPr>
          <w:rFonts w:ascii="Times New Roman" w:hAnsi="Times New Roman"/>
          <w:color w:val="000000"/>
          <w:sz w:val="22"/>
        </w:rPr>
      </w:pPr>
      <w:r>
        <w:rPr>
          <w:rFonts w:ascii="Times New Roman" w:hAnsi="Times New Roman"/>
          <w:color w:val="000000"/>
          <w:sz w:val="22"/>
        </w:rPr>
        <w:t>Exhibit “E” Landlord Approval Forms E</w:t>
      </w:r>
    </w:p>
    <w:p>
      <w:pPr>
        <w:pStyle w:val="TextBody"/>
        <w:bidi w:val="0"/>
        <w:jc w:val="both"/>
        <w:rPr>
          <w:rFonts w:ascii="Times New Roman" w:hAnsi="Times New Roman"/>
          <w:color w:val="000000"/>
          <w:sz w:val="22"/>
        </w:rPr>
      </w:pPr>
      <w:r>
        <w:rPr>
          <w:rFonts w:ascii="Times New Roman" w:hAnsi="Times New Roman"/>
          <w:color w:val="000000"/>
          <w:sz w:val="22"/>
        </w:rPr>
        <w:t>Exhibit “F” Intentionally Deleted F</w:t>
      </w:r>
    </w:p>
    <w:p>
      <w:pPr>
        <w:pStyle w:val="TextBody"/>
        <w:bidi w:val="0"/>
        <w:jc w:val="both"/>
        <w:rPr>
          <w:rFonts w:ascii="Times New Roman" w:hAnsi="Times New Roman"/>
          <w:color w:val="000000"/>
          <w:sz w:val="22"/>
        </w:rPr>
      </w:pPr>
      <w:r>
        <w:rPr>
          <w:rFonts w:ascii="Times New Roman" w:hAnsi="Times New Roman"/>
          <w:color w:val="000000"/>
          <w:sz w:val="22"/>
        </w:rPr>
        <w:t>Exhibit “G” Taxpayer Identification Number &amp; Certification G</w:t>
      </w:r>
    </w:p>
    <w:p>
      <w:pPr>
        <w:pStyle w:val="TextBody"/>
        <w:bidi w:val="0"/>
        <w:jc w:val="both"/>
        <w:rPr>
          <w:rFonts w:ascii="Times New Roman" w:hAnsi="Times New Roman"/>
          <w:color w:val="000000"/>
          <w:sz w:val="22"/>
        </w:rPr>
      </w:pPr>
      <w:r>
        <w:rPr>
          <w:rFonts w:ascii="Times New Roman" w:hAnsi="Times New Roman"/>
          <w:color w:val="000000"/>
          <w:sz w:val="22"/>
        </w:rPr>
        <w:t>Exhibit “H” Acceptance Agreement H</w:t>
      </w:r>
    </w:p>
    <w:p>
      <w:pPr>
        <w:pStyle w:val="TextBody"/>
        <w:bidi w:val="0"/>
        <w:jc w:val="both"/>
        <w:rPr>
          <w:rFonts w:ascii="Times New Roman" w:hAnsi="Times New Roman"/>
          <w:color w:val="000000"/>
          <w:sz w:val="22"/>
        </w:rPr>
      </w:pPr>
      <w:r>
        <w:rPr>
          <w:rFonts w:ascii="Times New Roman" w:hAnsi="Times New Roman"/>
          <w:color w:val="000000"/>
          <w:sz w:val="22"/>
        </w:rPr>
        <w:t>Exhibit “I” Exclusions from Operating Costs I</w:t>
      </w:r>
    </w:p>
    <w:p>
      <w:pPr>
        <w:pStyle w:val="TextBody"/>
        <w:bidi w:val="0"/>
        <w:jc w:val="left"/>
        <w:rPr>
          <w:rFonts w:ascii="Times New Roman" w:hAnsi="Times New Roman"/>
          <w:color w:val="000000"/>
          <w:sz w:val="22"/>
        </w:rPr>
      </w:pPr>
      <w:r>
        <w:rPr>
          <w:rFonts w:ascii="Times New Roman" w:hAnsi="Times New Roman"/>
          <w:color w:val="000000"/>
          <w:sz w:val="22"/>
        </w:rPr>
        <w:t>Exhibit “J” Tenant’s Logo............................................................................................................................J</w:t>
      </w:r>
    </w:p>
    <w:p>
      <w:pPr>
        <w:pStyle w:val="TextBody"/>
        <w:bidi w:val="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STATE OF ALABAMA }</w:t>
      </w:r>
    </w:p>
    <w:p>
      <w:pPr>
        <w:pStyle w:val="TextBody"/>
        <w:bidi w:val="0"/>
        <w:jc w:val="left"/>
        <w:rPr>
          <w:rFonts w:ascii="Times New Roman" w:hAnsi="Times New Roman"/>
          <w:b/>
          <w:color w:val="000000"/>
          <w:sz w:val="24"/>
        </w:rPr>
      </w:pPr>
      <w:r>
        <w:rPr>
          <w:rFonts w:ascii="Times New Roman" w:hAnsi="Times New Roman"/>
          <w:b/>
          <w:color w:val="000000"/>
          <w:sz w:val="24"/>
        </w:rPr>
        <w:t>:</w:t>
      </w:r>
    </w:p>
    <w:p>
      <w:pPr>
        <w:pStyle w:val="TextBody"/>
        <w:bidi w:val="0"/>
        <w:jc w:val="left"/>
        <w:rPr>
          <w:rFonts w:ascii="Times New Roman" w:hAnsi="Times New Roman"/>
          <w:b/>
          <w:color w:val="000000"/>
          <w:sz w:val="24"/>
        </w:rPr>
      </w:pPr>
      <w:r>
        <w:rPr>
          <w:rFonts w:ascii="Times New Roman" w:hAnsi="Times New Roman"/>
          <w:b/>
          <w:color w:val="000000"/>
          <w:sz w:val="24"/>
        </w:rPr>
        <w:t>COUNTY OF JEFFERSON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L E A S E A G R E E M E N T</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THIS LEASE AGREEMENT </w:t>
      </w:r>
      <w:r>
        <w:rPr>
          <w:rFonts w:ascii="Times New Roman" w:hAnsi="Times New Roman"/>
          <w:color w:val="000000"/>
          <w:sz w:val="24"/>
        </w:rPr>
        <w:t xml:space="preserve">(this “Lease”) is made and entered into as of the 16th day of March, 2024 (the “Effective Date”), between </w:t>
      </w:r>
      <w:r>
        <w:rPr>
          <w:rFonts w:ascii="Times New Roman" w:hAnsi="Times New Roman"/>
          <w:b/>
          <w:color w:val="000000"/>
          <w:sz w:val="24"/>
        </w:rPr>
        <w:t>SLOSS MARTIN BISCUIT, LTD.</w:t>
      </w:r>
      <w:r>
        <w:rPr>
          <w:rFonts w:ascii="Times New Roman" w:hAnsi="Times New Roman"/>
          <w:color w:val="000000"/>
          <w:sz w:val="24"/>
        </w:rPr>
        <w:t xml:space="preserve">, an Alabama corporation (“SMB”), by and through its agent, </w:t>
      </w:r>
      <w:r>
        <w:rPr>
          <w:rFonts w:ascii="Times New Roman" w:hAnsi="Times New Roman"/>
          <w:b/>
          <w:color w:val="000000"/>
          <w:sz w:val="24"/>
        </w:rPr>
        <w:t>SLOSS REAL ESTATE COMPANY, INC.</w:t>
      </w:r>
      <w:r>
        <w:rPr>
          <w:rFonts w:ascii="Times New Roman" w:hAnsi="Times New Roman"/>
          <w:color w:val="000000"/>
          <w:sz w:val="24"/>
        </w:rPr>
        <w:t xml:space="preserve">, an Alabama corporation (“Agent” and together with SMB called "Landlord"), and </w:t>
      </w:r>
      <w:r>
        <w:rPr>
          <w:rFonts w:ascii="Times New Roman" w:hAnsi="Times New Roman"/>
          <w:b/>
          <w:color w:val="000000"/>
          <w:sz w:val="24"/>
        </w:rPr>
        <w:t>IN8BIO, INC.</w:t>
      </w:r>
      <w:r>
        <w:rPr>
          <w:rFonts w:ascii="Times New Roman" w:hAnsi="Times New Roman"/>
          <w:color w:val="000000"/>
          <w:sz w:val="24"/>
        </w:rPr>
        <w:t>, a Delaware corporation (called "Tenant").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Landlord and Tenant hereby covenant and agree as follows:</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 I T N E S S E T H:</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w:t>
      </w:r>
    </w:p>
    <w:p>
      <w:pPr>
        <w:pStyle w:val="TextBody"/>
        <w:bidi w:val="0"/>
        <w:jc w:val="both"/>
        <w:rPr>
          <w:rFonts w:ascii="Times New Roman" w:hAnsi="Times New Roman"/>
          <w:b/>
          <w:color w:val="000000"/>
          <w:sz w:val="24"/>
        </w:rPr>
      </w:pPr>
      <w:r>
        <w:rPr>
          <w:rFonts w:ascii="Times New Roman" w:hAnsi="Times New Roman"/>
          <w:b/>
          <w:color w:val="000000"/>
          <w:sz w:val="24"/>
        </w:rPr>
        <w:t>PREMISES: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Landlord does hereby rent and lease to the Tenant and the Tenant does hereby rent and lease from the Landlord certain space of approximately eight thousand one hundred sixteen (8,116) Rentable Square Feet (hereinafter called the "Premises") known as Suite 210, located in the Martin Biscuit Building at 2901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 xml:space="preserve">Avenue South, Birmingham, AL 35233, (hereinafter called the "Building"), together with the right </w:t>
      </w: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 xml:space="preserve">of ingress and egress to the Premises through the designated entranceways, elevators, hallways, stairways, exits, elevators or other accessways to and from the Premises and in accordance with the Rules and Regulations; and </w:t>
      </w:r>
      <w:r>
        <w:rPr>
          <w:rFonts w:ascii="Times New Roman" w:hAnsi="Times New Roman"/>
          <w:b/>
          <w:color w:val="000000"/>
          <w:sz w:val="24"/>
        </w:rPr>
        <w:t>(ii)</w:t>
      </w:r>
      <w:r>
        <w:rPr>
          <w:rFonts w:ascii="Times New Roman" w:hAnsi="Times New Roman"/>
          <w:color w:val="000000"/>
          <w:sz w:val="20"/>
        </w:rPr>
        <w:t xml:space="preserve"> </w:t>
      </w:r>
      <w:r>
        <w:rPr>
          <w:rFonts w:ascii="Times New Roman" w:hAnsi="Times New Roman"/>
          <w:color w:val="000000"/>
          <w:sz w:val="24"/>
        </w:rPr>
        <w:t>to use the designated parking areas and other common areas of the Building, together with the loading dock located on 29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Street South between the Showrooms Building and the Dr. Pepper Building (collectively, the “Common Areas”) in common with other tenants of the Building. (The Building, all Common Areas, parking areas and all other real property of which the Premises and the Building are a part are hereinafter collectively referred to as the “Property”). See Exhibit “A” for a depiction of the Premises. No easement for light, air or view is granted or implied hereunder, except that the windows of the Premises shall not be covered or blocked throughout the Term. “Rentable Square Feet” or “RSF” for purposes of this Lease shall be calculated using a gross usable square footage of eight thousand one hundred sixteen (8,116) square feet.</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jc w:val="both"/>
        <w:rPr>
          <w:rFonts w:ascii="Times New Roman" w:hAnsi="Times New Roman"/>
          <w:b/>
          <w:color w:val="000000"/>
          <w:sz w:val="24"/>
        </w:rPr>
      </w:pPr>
      <w:r>
        <w:rPr>
          <w:rFonts w:ascii="Times New Roman" w:hAnsi="Times New Roman"/>
          <w:b/>
          <w:color w:val="000000"/>
          <w:sz w:val="24"/>
        </w:rPr>
        <w:t>TERM and POSSESSION: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The term of this Lease shall be for sixty and one-half (60-1/2) months, commencing on the 15th day of March, 2024 (the “Commencement Date”), and ending on March 31, 2029, unless sooner terminated as herein provided (such period, in addition to all other extensions and option periods under this Lease are hereinafter collectively referred to as the “Term”). Tenant shall have the right to one (1) option to extend the Term for one (1) additional five (5) year period as set forth in paragraph (2) of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to this Lease.</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Taking of possession by Tenant shall be deemed conclusively to establish Tenant has accepted the Premises “AS-IS” and as suitable for Tenant’s intended use, provided that the foregoing shall not limit Landlord’s obligations under the Lease, including, without limitation, the provisions of Sections 8(b), 10 and 15.</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w:t>
      </w:r>
    </w:p>
    <w:p>
      <w:pPr>
        <w:pStyle w:val="TextBody"/>
        <w:bidi w:val="0"/>
        <w:jc w:val="both"/>
        <w:rPr>
          <w:rFonts w:ascii="Times New Roman" w:hAnsi="Times New Roman"/>
          <w:b/>
          <w:color w:val="000000"/>
          <w:sz w:val="24"/>
        </w:rPr>
      </w:pPr>
      <w:r>
        <w:rPr>
          <w:rFonts w:ascii="Times New Roman" w:hAnsi="Times New Roman"/>
          <w:b/>
          <w:color w:val="000000"/>
          <w:sz w:val="24"/>
        </w:rPr>
        <w:t>RENT: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Rent shall commence upon the Commencement Date (the “Rent Commencement Date”). Tenant agrees to pay as rent (the “Rent”) for the Premises, Base Rent, Additional Rent and all other applicable amounts due hereunder. Tenant shall pay Base Rent in accordance with the schedule set forth below, and Additional Rent as provided in Article 31.</w:t>
      </w:r>
      <w:r>
        <w:rPr>
          <w:rFonts w:ascii="Times New Roman" w:hAnsi="Times New Roman"/>
          <w:color w:val="000000"/>
          <w:sz w:val="20"/>
        </w:rPr>
        <w:t xml:space="preserve"> </w:t>
      </w:r>
    </w:p>
    <w:p>
      <w:pPr>
        <w:pStyle w:val="TextBody"/>
        <w:bidi w:val="0"/>
        <w:jc w:val="both"/>
        <w:rPr/>
      </w:pPr>
      <w:r>
        <w:rPr/>
        <w:t> </w:t>
      </w:r>
    </w:p>
    <w:tbl>
      <w:tblPr>
        <w:tblW w:w="9259" w:type="dxa"/>
        <w:jc w:val="left"/>
        <w:tblInd w:w="0" w:type="dxa"/>
        <w:tblLayout w:type="fixed"/>
        <w:tblCellMar>
          <w:top w:w="28" w:type="dxa"/>
          <w:left w:w="28" w:type="dxa"/>
          <w:bottom w:w="28" w:type="dxa"/>
          <w:right w:w="28" w:type="dxa"/>
        </w:tblCellMar>
      </w:tblPr>
      <w:tblGrid>
        <w:gridCol w:w="3811"/>
        <w:gridCol w:w="2086"/>
        <w:gridCol w:w="1606"/>
        <w:gridCol w:w="1756"/>
      </w:tblGrid>
      <w:tr>
        <w:trPr/>
        <w:tc>
          <w:tcPr>
            <w:tcW w:w="38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Lease Period</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Base Rental Per SF</w:t>
            </w:r>
          </w:p>
        </w:tc>
        <w:tc>
          <w:tcPr>
            <w:tcW w:w="1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Annual Rental</w:t>
            </w:r>
          </w:p>
        </w:tc>
        <w:tc>
          <w:tcPr>
            <w:tcW w:w="17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Monthly Rental</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March 15, 2024 – October 31, 2024</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$23.00</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$186,668.00</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$15,555.67</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2024 – October 31, 2025</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$23.69</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$192,268.04</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$16,022.34</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2025 – October 31, 2026</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$24.40</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$198,030.40</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$16,502.53</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2026 – October 31, 2027</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$25.13</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$203,955.08</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$16,996.26</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2027 – October 31, 2028</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$25.89</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$210,123.24</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$17,510.27</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2028 – March 31, 2029</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$26.66</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$216,372.56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$18,031.05</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Beginning on the Commencement Date, all such Rent shall be made payable to Sloss Martin Biscuit Ltd. and paid promptly by Tenant on the first day of each and every month, in advance, through an Automated Clearing House (“ACH”) credit entry using receiving depository financial institution and receiver information supplied by Landlord from time to time, or at such other place as Landlord shall designate in writing, without notice or demand and without set off or deduction of any kind.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the Term commences on a day other than the first day of a month, or terminates or expires on a day other than the last day of a month, the Base Rent for such partial month shall be prorated based upon the actual number of days in such month.</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With the execution of this Lease, Tenant shall pay to Landlord an initial installment equal to the Rent due with respect to the calendar month in which the Commencement Date falls; such sum shall be applied by Landlord to the first installment(s) of Rent as they become due hereunder.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w:t>
      </w:r>
    </w:p>
    <w:p>
      <w:pPr>
        <w:pStyle w:val="TextBody"/>
        <w:bidi w:val="0"/>
        <w:jc w:val="both"/>
        <w:rPr>
          <w:rFonts w:ascii="Times New Roman" w:hAnsi="Times New Roman"/>
          <w:b/>
          <w:color w:val="000000"/>
          <w:sz w:val="24"/>
        </w:rPr>
      </w:pPr>
      <w:r>
        <w:rPr>
          <w:rFonts w:ascii="Times New Roman" w:hAnsi="Times New Roman"/>
          <w:b/>
          <w:color w:val="000000"/>
          <w:sz w:val="24"/>
        </w:rPr>
        <w:t>LATE CHARGES: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any Rent to be paid hereunder, or other charges as hereinafter provided, is not received by Landlord (or its Agent) within ten (10) days of the date due, Landlord shall have the right to impose a late charge of three percent (3%) of all amounts past due. Should a check for any payment be returned due to insufficient funds or for any other reason, a charge of thirty dollars ($30.00) per each return shall immediately become due and payable.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jc w:val="both"/>
        <w:rPr>
          <w:rFonts w:ascii="Times New Roman" w:hAnsi="Times New Roman"/>
          <w:b/>
          <w:color w:val="000000"/>
          <w:sz w:val="24"/>
        </w:rPr>
      </w:pPr>
      <w:r>
        <w:rPr>
          <w:rFonts w:ascii="Times New Roman" w:hAnsi="Times New Roman"/>
          <w:b/>
          <w:color w:val="000000"/>
          <w:sz w:val="24"/>
        </w:rPr>
        <w:t>SECURITY DEPOSIT: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Landlord and Tenant agree that Tenant will deposit with Agent the sum of Fifteen Thousand Five Hundred Fifty-Five and 67/100 Dollars ($15,555.67)</w:t>
      </w:r>
      <w:r>
        <w:rPr>
          <w:rFonts w:ascii="Times New Roman" w:hAnsi="Times New Roman"/>
          <w:color w:val="000000"/>
          <w:sz w:val="20"/>
        </w:rPr>
        <w:t xml:space="preserve"> </w:t>
      </w:r>
      <w:r>
        <w:rPr>
          <w:rFonts w:ascii="Times New Roman" w:hAnsi="Times New Roman"/>
          <w:color w:val="000000"/>
          <w:sz w:val="24"/>
        </w:rPr>
        <w:t>on the date of execution of this Lease to be held, without interest, as security for the payment of Rent and any and all other sums of money for which Tenant shall or may become liable to pay to Landlord under this Lease, and for the faithful performance by Tenant of all covenants and agreements under this Lease deposit shall be returned to Tenant after the termination of this Lease and any renewal hereof, to the extent that Landlord has not applied the security deposit or any portion thereof on account of a default, the security deposit, or such remaining portion of the security deposit, shall be returned to Tenant, promptly, and in any event within forty-five (45) days, following the termination or expiration of this Lease. Nothing in this paragraph shall be deemed to limit the amount of any claim, demand or cause of action of Landlord against Tenant under the provisions of this Lease or require the Landlord to maintain the security deposit in any sort of escrow or trust account, provided that the security deposit shall not be commingled with other funds of Landlord except other security deposits for the Property.</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w:t>
      </w:r>
    </w:p>
    <w:p>
      <w:pPr>
        <w:pStyle w:val="TextBody"/>
        <w:bidi w:val="0"/>
        <w:jc w:val="both"/>
        <w:rPr>
          <w:rFonts w:ascii="Times New Roman" w:hAnsi="Times New Roman"/>
          <w:b/>
          <w:color w:val="000000"/>
          <w:sz w:val="24"/>
        </w:rPr>
      </w:pPr>
      <w:r>
        <w:rPr>
          <w:rFonts w:ascii="Times New Roman" w:hAnsi="Times New Roman"/>
          <w:b/>
          <w:color w:val="000000"/>
          <w:sz w:val="24"/>
        </w:rPr>
        <w:t>USE: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Tenant will use and occupy the Premises as an office and lab for its biotechnology company, including, without limitation, cell manufacturing process development and basic and translational research and development, and for no other use or purpose (the "Permitted Use"). Tenant shall not cause or permit the Premises to be used in any way (i) which constitutes a violation of any law, ordinance, or governmental regulation or order, (ii) which unreasonably interferes with the rights of other tenants of Landlord, (iii) which constitutes a nuisance or waste or (iv) which causes damage to any structural portion of the Premises including, but not limited to, the walls and flooring of the Premises, nor (v) in any manner in which such use may invalidate the insurance or increase the rate of insurance on the Premises or the Building. Landlord acknowledges that the mere use of the Premises for the Permitted Use shall not violate items (ii) – (v) in the prior sentence, provided that the Premises are used in compliance with all laws, ordinances and governmental regulations or orders. Tenant shall promptly, upon written demand, reimburse Landlord for any additional premium charged for such policy by reason of Tenant’s failure to comply with the provisions of this Section. Landlord represents, warrants and covenants that, as of the Effective Date, and at all times during the Term, Landlord shall not request, and shall not consent to any request, to change the current zoning designation for the Property.</w:t>
      </w:r>
      <w:r>
        <w:rPr>
          <w:rFonts w:ascii="Times New Roman" w:hAnsi="Times New Roman"/>
          <w:color w:val="000000"/>
          <w:sz w:val="20"/>
        </w:rPr>
        <w:t xml:space="preserve"> </w:t>
      </w:r>
      <w:r>
        <w:rPr>
          <w:rFonts w:ascii="Times New Roman" w:hAnsi="Times New Roman"/>
          <w:color w:val="000000"/>
          <w:sz w:val="24"/>
        </w:rPr>
        <w:t>Tenant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may apply for a</w:t>
      </w:r>
      <w:r>
        <w:rPr>
          <w:rFonts w:ascii="Times New Roman" w:hAnsi="Times New Roman"/>
          <w:color w:val="000000"/>
          <w:sz w:val="20"/>
        </w:rPr>
        <w:t xml:space="preserve"> </w:t>
      </w:r>
      <w:r>
        <w:rPr>
          <w:rFonts w:ascii="Times New Roman" w:hAnsi="Times New Roman"/>
          <w:color w:val="000000"/>
          <w:sz w:val="24"/>
        </w:rPr>
        <w:t>certificate of occupancy confirming the Premises may lawfully be used for the Permitted Use and Landlord shall provide such reasonable information and assistance as may be needed.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andlord acknowledges that Tenant shall, from time to time, including during Tenant’s initial move-in, at additional times during the Term and upon Tenant’s move-out, be permitted to utilize rigging and/or hoists for moving large equipment or lab components into the Premises that cannot be brought up in the elevators. It is anticipated that such rigging and/or hoists will be stationed in the lobby of the Building and will transport such large equipment or lab components from the lobby over the second (2nd) floor railing onto the second (2nd) floor landing of the Building. All such rigging/hoisting companies shall be insured in accordance with standard industry practices and to be approved by Landlord, in its reasonable discretion. Tenant agrees to inform Building management in advance of any such utilization of rigging or hoists and shall schedule same during the weekend.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Landlord further acknowledges that Tenant will have regular deliveries of gas canisters, including CO2 and liquid nitrogen, to the Premises and Landlord shall permit Tenant to use the Building elevators to transport such gas canisters to the Premises. Landlord acknowledges these deliveries of gas canisters will occur during business hours on Business Days but Tenant shall coordinate such deliveries with Building management so as to minimize disruption. If necessary to protect the flooring, in connection with such gas deliveries Tenant shall utilize particle board on the second (2nd) floor hallway to move the gas canisters from the elevator into the Premises.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w:t>
      </w:r>
    </w:p>
    <w:p>
      <w:pPr>
        <w:pStyle w:val="TextBody"/>
        <w:bidi w:val="0"/>
        <w:jc w:val="both"/>
        <w:rPr>
          <w:rFonts w:ascii="Times New Roman" w:hAnsi="Times New Roman"/>
          <w:b/>
          <w:color w:val="000000"/>
          <w:sz w:val="24"/>
        </w:rPr>
      </w:pPr>
      <w:r>
        <w:rPr>
          <w:rFonts w:ascii="Times New Roman" w:hAnsi="Times New Roman"/>
          <w:b/>
          <w:color w:val="000000"/>
          <w:sz w:val="24"/>
        </w:rPr>
        <w:t>ASSIGNMENT:</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Tenant may not, without the prior written consent of Landlord, which consent shall not be unreasonably withheld, conditioned or delayed, assign this Lease, pledge the leasehold interest, or sublet the Premises or any part thereof, or permit the use of the Premises by any party other than Tenant. Any such consent shall require, as a condition thereto, that: </w:t>
      </w: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 xml:space="preserve">the original Tenant shall remain fully liable hereunder for the full term of this Lease; </w:t>
      </w:r>
      <w:r>
        <w:rPr>
          <w:rFonts w:ascii="Times New Roman" w:hAnsi="Times New Roman"/>
          <w:b/>
          <w:color w:val="000000"/>
          <w:sz w:val="24"/>
        </w:rPr>
        <w:t>(ii)</w:t>
      </w:r>
      <w:r>
        <w:rPr>
          <w:rFonts w:ascii="Times New Roman" w:hAnsi="Times New Roman"/>
          <w:color w:val="000000"/>
          <w:sz w:val="20"/>
        </w:rPr>
        <w:t xml:space="preserve"> </w:t>
      </w:r>
      <w:r>
        <w:rPr>
          <w:rFonts w:ascii="Times New Roman" w:hAnsi="Times New Roman"/>
          <w:color w:val="000000"/>
          <w:sz w:val="24"/>
        </w:rPr>
        <w:t xml:space="preserve">if the said assignment or subletting, other than a Permitted Transfer, involves a higher total rent than is provided for hereunder, fifty percent (50%) of the excess rent shall be paid to the Landlord, after first deducting therefrom Transaction Expenses (as hereinafter defined) incurred by Tenant in connection with such assignment or such subletting; provided, however, such Transaction Expense shall not exceed 10% of the excess rent; and </w:t>
      </w:r>
      <w:r>
        <w:rPr>
          <w:rFonts w:ascii="Times New Roman" w:hAnsi="Times New Roman"/>
          <w:b/>
          <w:color w:val="000000"/>
          <w:sz w:val="24"/>
        </w:rPr>
        <w:t>(iii)</w:t>
      </w:r>
      <w:r>
        <w:rPr>
          <w:rFonts w:ascii="Times New Roman" w:hAnsi="Times New Roman"/>
          <w:color w:val="000000"/>
          <w:sz w:val="20"/>
        </w:rPr>
        <w:t xml:space="preserve"> </w:t>
      </w:r>
      <w:r>
        <w:rPr>
          <w:rFonts w:ascii="Times New Roman" w:hAnsi="Times New Roman"/>
          <w:color w:val="000000"/>
          <w:sz w:val="24"/>
        </w:rPr>
        <w:t>the Landlord shall retain the right of consent or non-consent as to any further such assignments or subletting, or pledges. “Transaction Expenses” shall mean (a) the costs and expenses of Tenant in entering into the sublease, including real estate brokerage commissions, legal and architectural fees, and advertising fees paid to unrelated third parties, (b) free rent, rent concessions or rent abatements, (c) the cost of improvements, construction contributions or alterations made by Tenant for the purpose of preparing the space for such tenancy, and (d) work allowances or other monetary concessions.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(b) Anything in the foregoing Section 7(a) to the contrary notwithstanding, (i) assignments of this Lease or a subletting hereunder to an entity (x) into or with which Tenant is merged, consolidated, reorganized or recapitalized, (y) to which substantially all of Tenant’s assets are transferred as a going concern or (z) which is an affiliate of Tenant, (ii) transfers of interests in Tenant, whether by inheritance or otherwise, between immediate family members (including spouses, children, grandchildren, parents, grandparents, in-laws, siblings, lineal descendants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trusts for the benefit of the foregoing), or (iii) an initial public offering (such transferees, the “Permitted Transferees”; such transfers, “Permitted Transfers”), shall not require the consent of Landlord; provided that, in the event of any of such transfers in clause (i) above (whether effectuated through a single transaction or a series of transactions): (1) the assignee or subtenant shall be of good reputation or shall be a newly formed entity, and shall use the Premises only for the Permitted Uses (2) the assignee or subtenant agrees directly with Landlord, by written instrument in form reasonably satisfactory to Landlord, to be bound by all the obligations of Tenant hereunder including, without limitation, the covenant against further assignment and subletting; (3) in no event shall Tenant be released from its obligations under this Lease; (4) a copy of the fully executed assignment or sublease be delivered to Landlord; and (5) Tenant shall reimburse Landlord on demand for any actual and reasonable out-of-pocket costs including, without limitation, reasonable legal costs, incurred by Landlord in connection with such transaction; provided however in no event shall Landlord’s expenses exceed Two Thousand Five Hundred Dollars and 00/100 ($2,500.00). In addition, the mere change of Tenant’s name or form of ownership shall not be deemed an assignment of this Lease.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8.</w:t>
      </w:r>
    </w:p>
    <w:p>
      <w:pPr>
        <w:pStyle w:val="TextBody"/>
        <w:bidi w:val="0"/>
        <w:jc w:val="both"/>
        <w:rPr>
          <w:rFonts w:ascii="Times New Roman" w:hAnsi="Times New Roman"/>
          <w:b/>
          <w:color w:val="000000"/>
          <w:sz w:val="24"/>
        </w:rPr>
      </w:pPr>
      <w:r>
        <w:rPr>
          <w:rFonts w:ascii="Times New Roman" w:hAnsi="Times New Roman"/>
          <w:b/>
          <w:color w:val="000000"/>
          <w:sz w:val="24"/>
        </w:rPr>
        <w:t>SERVICES AND UTILITIES: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UTILITIES</w:t>
      </w:r>
      <w:r>
        <w:rPr>
          <w:rFonts w:ascii="Times New Roman" w:hAnsi="Times New Roman"/>
          <w:color w:val="000000"/>
          <w:sz w:val="24"/>
        </w:rPr>
        <w:t>. All services, including but not limited to janitorial, dumpster, and pest control; and all utilities (including any additional utility services not already provided at the Premises), telecommunications and internet services, interior and non-structural expenses within the Premises shall be the sole expense and responsibility of the Tenant beginning as of the date of delivery of the Premises to Tenant. Utilities for the Premises that are separately metered (and trash removal/dumpster services) shall be arranged for and paid directly by the Tenant when due. Tenant is responsible for all deposits and the cost of connection of said utilities serving the Premises, including but not limited to panels, meters, and wiring, provided that Landlord represents and warrants that all required meters or submeters for electricity are installed, or will be installed and will be in good working order within thirty (30) days of the Commencement Date. Utilities that are not separately metered (and shared trash removal/dumpster services) shall be reasonably allocated by Landlord to the Premises based upon usage and paid by the Tenant when billed, at the actual out of pocket cost incurred by Landlord, with no mark-up. Landlord shall maintain the facilities and systems in the Building and Premises in good order, condition, and repair, inclusive of electric power required to service, operate and accommodate the HVAC equipment as well as any Alterations or other uses agreed to by the parties in writing, excluding any portions of such facilities and systems installed by Tenant, which shall be maintained by Tenant. In the event Tenant requires any additional utility services not specifically set forth in this Section 8(a), including, without limitation, additional amperage to the Building, Tenant shall be responsible for any and all costs associated with such additional utility services. Furthermore, if there are any additional generator services that Tenant may require as a result of its Permitted Use, Tenant shall be responsible for any and all actual costs associated with such additional generator services, including, without limitation, the cost of a new generator, its installation, maintenance, upkeep and additional utility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LANDLORD</w:t>
      </w:r>
      <w:r>
        <w:rPr>
          <w:rFonts w:ascii="Times New Roman" w:hAnsi="Times New Roman"/>
          <w:color w:val="000000"/>
          <w:sz w:val="24"/>
        </w:rPr>
        <w:t>. Landlord shall not be required to make any repairs or improvements to the Premises, unless such repairs are made necessary by any act or omission or negligence of Landlord or its employees, agents, or contractors (collectively, the “Landlord Parties”); provided, however, subject to Article 31 of this Lease, Landlord shall maintain the roof, the exterior of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Building, the foundation and all other structural elements of the Building, electrical (except to the extent installed by Tenant), underground plumbing and conduits, and all other Building systems servicing the Premises, up to the point of entry into the Premises, and structural repairs and replacements in the Premises, the parking areas and landscape areas (excluding any landscaping within the Premises) and public and common areas of the Building in reasonably good order and condition, ordinary wear and tear excepted. Notwithstanding any provision herein to the contrary, Landlord shall not be required to make or pay for any repairs made necessary by any act or omission or negligence of Tenant or its employees, agents, or contractors, or, while in the Premises, of Tenant’s invitees and customers, and Tenant shall reimburse Landlord for all such repairs made by Landlord promptly following Landlord’s written demand therefor, together with invoices for same. In addition, Landlord shall be responsible for those services for the Property more particularly described in Section 31 of this Lease. Landlord shall use due diligence in making any such repairs and shall perform such repair work, except in case of emergency, at times reasonably convenient to Tenant and otherwise in such manner as will not materially interfere with Tenant's use of the Premises.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It is understood that Landlord does not warrant that any of the services referred to above, or that these or any other services which Landlord may supply, will be free from interruption. Tenant acknowledges that any one or more such services may be suspended or reduced by reason of accident or repairs, alterations or improvements necessary to be made, by strikes or accident or by any cause beyond the reasonable control of Landlord, or by orders or regulations of any federal, state, county or municipal authority. Any such interruption or suspension of services supplied by Landlord shall not be deemed an eviction or disturbance of Tenant’s use and possession of the Premises or any part thereof, or render Landlord liable to Tenant for damages or for abatement of rent or relieve Tenant from performance of Tenant’s obligation under this Lease; provided, however, if an interruption or suspension in service is due to Landlord’s negligence or willful misconduct, then, as Tenant’s sole and exclusive remedy, Base Rent shall be abated, commencing on the expiration of three (3) consecutive business days that any such services have been interrupted, through the date on which such service is restored to the extent that Tenant may substantially resume its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repairs or services within the Premises (which may include, at Landlord’s option, without limitation, janitorial, dumpster, mechanical, electrical, plumbing, pest control, Building standard light bulbs and their change-out, carpet cleaning, etc.) not provided pursuant to Sections 8 or 31 that are handled by the Landlord on behalf of the Tenant, if requested by Tenant or due to Tenant's failure to handle such repairs or services within a timely manner after notice to Tenant by Landlord, including repairs or replacements to the HVAC system servicing the Premises (the “HVAC System”), to the extent same are the responsibility of Tenant, will be billed back to the Tenant for the total cost of repairs or services plus a fifteen percent (15%) administrative surcharge.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TENANT</w:t>
      </w:r>
      <w:r>
        <w:rPr>
          <w:rFonts w:ascii="Times New Roman" w:hAnsi="Times New Roman"/>
          <w:color w:val="000000"/>
          <w:sz w:val="24"/>
        </w:rPr>
        <w:t>. Except as otherwise expressly required of Landlord, Tenant shall, at Tenant’s expense, keep and maintain the Premises, including but not limited to all entry doors, damage to entry doors occasioned by theft or vandalism, furnishings, lighting, trade fixtures, above-ground plumbing and conduits beginning at the point of entry into the Premises, windows, glass and plate glass, doors, interior walls and finish work, floor surfaces and floor coverings, sprinkler and fire protection systems (which shall be in good working order as of the Commencement Date and in compliance with all Applicable Laws), and routine maintenance and repairs of the HVAC System (together with replacement of the HVAC System exclusively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servicing the Premises and installed by Tenant), in good and sanitary condition and repair and in compliance with all Applicable Laws. Tenant shall permit no waste, except normal wear and tear. Tenant shall also be responsible for arranging janitorial services for the Premises and the cost thereof. Tenant shall promptly notify Landlord, in writing, of any known defective condition which Landlord is required to repair, and failure to so report such known defects in a commercially reasonable time and manner shall make Tenant responsible to Landlord for any increased liability incurred by Landlord by reason of such failure to report the known defective condition.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contractor selected by Tenant in connection with the performance of Tenant’s obligations under this Section in or about the Premises or the Building shall require prior written approval of the Landlord which approval shall not be unreasonably withheld, conditioned or delayed, such approval shall require, at a minimum, Landlord’s receipt of a Certificate of General Liability Insurance adding the Agent and the Landlord as additionally insured, proof that the contractor is duly licensed and permitted in the municipality where the Premises is located, to the extent such licensing and permitting is required by such municipality, acknowledgment and agreement by the contractor that all work shall be done with good workmanship and in accordance with current building codes and ordinances, and with agreement to adhere to any other reasonable standards imposed by Landlord for the protection and preservation of the Building and Premises.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9.</w:t>
      </w:r>
    </w:p>
    <w:p>
      <w:pPr>
        <w:pStyle w:val="TextBody"/>
        <w:bidi w:val="0"/>
        <w:jc w:val="both"/>
        <w:rPr>
          <w:rFonts w:ascii="Times New Roman" w:hAnsi="Times New Roman"/>
          <w:b/>
          <w:color w:val="000000"/>
          <w:sz w:val="24"/>
        </w:rPr>
      </w:pPr>
      <w:r>
        <w:rPr>
          <w:rFonts w:ascii="Times New Roman" w:hAnsi="Times New Roman"/>
          <w:b/>
          <w:color w:val="000000"/>
          <w:sz w:val="24"/>
        </w:rPr>
        <w:t>INDEMNIFICATION: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Tenant hereby agrees to indemnify and hold Landlord and its agents, directors, officers, managers, members, partners, and employees harmless against and from and against all injuries, expenses, damages, liabilities or claims, imposed by any person whomsoever on or incurred by Landlord or its agents, directors, officers, managers, members, partners, and employees for any (i) accident or incident occurring within the Premises; (ii) for any damage to the Premises; (iii) for personal injury, bodily injury, death, or property damage of any other tenant of the Building or of any other person in or about the Building, (iv) for damage to the Building, Common Areas, or parking facilities; or (v) for any administrative or criminal action by a governmental authority, with respect to (iii) – (v) only to the extent such injury, expense, damage, liability, action, or claim results from (a) Tenant’s particular manner of use of the Building, the Common Areas, and parking facilities, (b) any Event of Default, or (c) any negligent or otherwise wrongful act or omission of Tenant or of its agents, employees, visitors, invitees, or licensees (except, with respect to (i) – (v) above, to the extent caused by Landlord’s or Landlord’s employees’, agents’ or contractors’ negligence or willful misconduct). Tenant further agrees to reimburse Landlord and its agents and employees for any and all costs or expenses, including, but not limited to, court costs and reasonable attorneys’ fees, which Landlord and its agents and employees may incur in investigating, handling or litigating any such matter. The obligations of Tenant under this paragraph shall survive the expiration or early termination of this Lease.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or injury to Tenant's employees, agents, visitors, invitees and licensees in or upon the Premises, Building and parking facilities, and Tenant hereby waives all claims with respect thereto, from any cause whatsoever, against Landlord, except claims for personal injury or property damage which are caused by the negligence or intentional misconduct of Landlord or its agents or employees.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Neither party shall be liable to the other for any unauthorized or criminal entry of third parties into the Premises, Building, parking facilities and the approaches, entrances, streets,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sidewalks or corridors thereto, or by or from any unauthorized or criminal acts of third parties, regardless of any breakdown, malfunction or insufficiency of any security measures, practices or equipment provided by Landlord or Tenant, except to the extent due to such party’s gross negligence or willful misconduct or failure to comply with its obligations under this Lease. Tenant shall promptly notify Landlord in writing of any breakdown or malfunction of any security measures, practices or equipment provided by Landlord as to which Tenant has knowledge. Landlord shall not be liable to Tenant for interference with the light or other hereditament intangible, real, or mixed property or for any damage therefrom to Tenant or Tenant’s property from any cause beyond Landlord’s reasonable control. Each of Landlord and Tenant hereby agrees that, in no event, shall either party be liable for any special, indirect, consequential or punitive damages or losses, including injury to such party’s business or any loss of income therefrom, nor shall Landlord be liable to Tenant for any damages caused by the act or neglect of any other tenant in the Building. The provisions of this paragraph shall survive the termination of this Lease with respect to any claim, damage, injury or death occurring prior to such termination.</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rFonts w:ascii="Times New Roman" w:hAnsi="Times New Roman"/>
          <w:b/>
          <w:color w:val="000000"/>
          <w:sz w:val="24"/>
        </w:rPr>
      </w:pPr>
      <w:r>
        <w:rPr>
          <w:rFonts w:ascii="Times New Roman" w:hAnsi="Times New Roman"/>
          <w:b/>
          <w:color w:val="000000"/>
          <w:sz w:val="24"/>
        </w:rPr>
        <w:t>DAMAGE TO PREMISES: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If the Premises are damaged by fire or other casualty, the same shall be repaired or rebuilt as reasonably practical under the circumstances to at least a condition equivalent to that existing as of the date of this Lease , with reasonable and diligent dispatch, at the expense of the Landlord (subject to the rights of Landlord’s lender and subparagraph (b) and (c) below), unless this Lease is terminated as provided in this Article 10, and during the period required for restoration, a just and proportionate part of the Rent shall be abated until the Premises are repaired or rebuilt.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If the Premises are </w:t>
      </w: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 xml:space="preserve">damaged to such an extent that repairs cannot, in Landlord’s judgment, be completed within one hundred eighty (180) days after the date of the casualty or </w:t>
      </w:r>
      <w:r>
        <w:rPr>
          <w:rFonts w:ascii="Times New Roman" w:hAnsi="Times New Roman"/>
          <w:b/>
          <w:color w:val="000000"/>
          <w:sz w:val="24"/>
        </w:rPr>
        <w:t>(ii)</w:t>
      </w:r>
      <w:r>
        <w:rPr>
          <w:rFonts w:ascii="Times New Roman" w:hAnsi="Times New Roman"/>
          <w:color w:val="000000"/>
          <w:sz w:val="20"/>
        </w:rPr>
        <w:t xml:space="preserve"> </w:t>
      </w:r>
      <w:r>
        <w:rPr>
          <w:rFonts w:ascii="Times New Roman" w:hAnsi="Times New Roman"/>
          <w:color w:val="000000"/>
          <w:sz w:val="24"/>
        </w:rPr>
        <w:t xml:space="preserve">damaged or destroyed as a result of a risk which is not insured under standard special form/all-risk insurance policies, or </w:t>
      </w:r>
      <w:r>
        <w:rPr>
          <w:rFonts w:ascii="Times New Roman" w:hAnsi="Times New Roman"/>
          <w:b/>
          <w:color w:val="000000"/>
          <w:sz w:val="24"/>
        </w:rPr>
        <w:t>(iii)</w:t>
      </w:r>
      <w:r>
        <w:rPr>
          <w:rFonts w:ascii="Times New Roman" w:hAnsi="Times New Roman"/>
          <w:color w:val="000000"/>
          <w:sz w:val="20"/>
        </w:rPr>
        <w:t xml:space="preserve"> </w:t>
      </w:r>
      <w:r>
        <w:rPr>
          <w:rFonts w:ascii="Times New Roman" w:hAnsi="Times New Roman"/>
          <w:color w:val="000000"/>
          <w:sz w:val="24"/>
        </w:rPr>
        <w:t>damaged or destroyed during the last twenty-four (24) months of the Term, or if the Building is damaged in whole or in part (whether or not the Premises are damaged), to such an extent that the Building cannot, in Landlord’s reasonable judgment, be operated economically as an integral unit, then and in such event Landlord may at its option terminate this Lease by notice in writing to the Tenant within thirty (30) days after the date of such occurrence. If the Premises are damaged to such an extent that repairs cannot, in Landlord’s judgment, be completed within one hundred eighty (180) days after the date of the casualty or if the Premises are substantially damaged during the last twenty-four (24) months of the Lease Term, then in either such event Tenant may elect to terminate this Lease by notice in writing to Landlord within thirty (30) days after the later of (i) the date of such occurrence and (ii) the date on which Landlord notifies Tenant in writing of the estimated time required to complete the necessary repairs, provided that within thirty (30) days after the date of such fire or other casualty, Landlord shall deliver to Tenant a statement from a reputable contractor, construction manager, architect or engineer, reasonably selected by Landlord, that sets forth such contractor’s, construction manager’s, architect’s or engineer’s good faith estimate as to when Landlord’s restoration will be substantially complete. In addition, Tenant may terminate this Lease, by notice to Landlord, if Landlord’s restoration has not been substantially completed within one hundred eighty (180) days after the date of the casualty and substantial completion of such restoration cannot be reasonably accomplished within sixty (60) days thereafter. Unless Landlord or Tenant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elects to terminate this Lease as hereinabove provided, this Lease will remain in full force and effect and Landlord shall repair such damage at its expense to the extent required in this Article.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If Landlord shall elect or be obligated pursuant to subparagraph (a) above to repair or rebuild because of any damage or destruction, Landlord’s obligation shall be limited to the original Building and shall not extend to any leasehold improvements made by or for Tenant to the Premises, or any furniture, equipment, supplies or other personal property owned or leased by Tenant, its employees, contractors, invitees or licensees. If the cost of performing such repairs and restoration exceeds the actual proceeds of insurance paid or payable to Landlord on account of such casualty, or if Landlord’s mortgagee or the lessor under a ground or underlying lease shall require that any insurance proceeds from a casualty loss be paid to it, Landlord may terminate this Lease unless Tenant, within thirty (30) days after demand therefor, deposits with Landlord a sum of money sufficient to pay the difference between the cost of repair and the proceeds of the insurance available to Landlord for such purpose.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If Landlord shall elect or be obligated pursuant to subparagraph (a) above to repair or rebuild because of any damage or destruction, Tenant shall, upon the completion of the Landlord’s repair or restoration work to the Premises, as reasonably as practical under the circumstances, at Tenant’s sole cost and expense, repair and rebuild all of the leasehold improvements made to the Premises by the Tenant prior to the date of such damage or destruction.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In no event shall Landlord be liable for any loss or damage sustained by Tenant by reason of casualties mentioned hereinabove or any other accidental casualty.</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w:t>
      </w:r>
    </w:p>
    <w:p>
      <w:pPr>
        <w:pStyle w:val="TextBody"/>
        <w:bidi w:val="0"/>
        <w:jc w:val="both"/>
        <w:rPr>
          <w:rFonts w:ascii="Times New Roman" w:hAnsi="Times New Roman"/>
          <w:b/>
          <w:color w:val="000000"/>
          <w:sz w:val="24"/>
        </w:rPr>
      </w:pPr>
      <w:r>
        <w:rPr>
          <w:rFonts w:ascii="Times New Roman" w:hAnsi="Times New Roman"/>
          <w:b/>
          <w:color w:val="000000"/>
          <w:sz w:val="24"/>
        </w:rPr>
        <w:t>INSURANCE: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mage sustained by Tenant to its Premises, including wall, floor, and ceiling coverings, and any contents, goods and inventory and all other real or personal property in or on the Premises by reason of fire, theft, or casualty (including water damage due to roof, door, or window leaks). Tenant, at its own expense, shall maintain the insurance coverage described below. All coverage shall be primary and non-contributory over any insurance the Landlord may elect to provide on its behalf.</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At the commencement of the Lease, and upon renewal of such insurance coverage, Tenant shall deliver to the Landlord an original certificate of required insurance coverage from the insurer including Landlord and Landlord’s lender, if any, as additional insured and providing a minimum of thirty (30) days' prior written notice of cancellation. All policies of insurance required to be carried by Tenant under this Section shall be in form reasonably satisfactory to Landlord, shall be issued by responsible insurance companies which are licensed to do business in the State of Alabama, have an AM Best's rating of at least "A-" and have been reasonably approved by Landlord.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Workers’ Compensation</w:t>
      </w:r>
      <w:r>
        <w:rPr>
          <w:rFonts w:ascii="Times New Roman" w:hAnsi="Times New Roman"/>
          <w:color w:val="000000"/>
          <w:sz w:val="24"/>
        </w:rPr>
        <w:t>. Tenant shall maintain Workers' Compensation insurance to comply with all State and/or Federal laws that may be applicable. Tenants Workers’ Compensation policy shall have employer’s liability limits of at least $1,000,000.</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Commercial General Liability</w:t>
      </w:r>
      <w:r>
        <w:rPr>
          <w:rFonts w:ascii="Times New Roman" w:hAnsi="Times New Roman"/>
          <w:color w:val="000000"/>
          <w:sz w:val="24"/>
        </w:rPr>
        <w:t>. Tenant shall maintain a Comprehensive General Liability policy. Such policies shall include the Landlord as additional insured via blanket additional insured endorsement where required by written contract in a form acceptable to Landlord, and, if applicable, shall include a cross-liability endorsement.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Property Insurance</w:t>
      </w:r>
      <w:r>
        <w:rPr>
          <w:rFonts w:ascii="Times New Roman" w:hAnsi="Times New Roman"/>
          <w:color w:val="000000"/>
          <w:sz w:val="24"/>
        </w:rPr>
        <w:t>. Tenant shall maintain a standard “all risk” property insurance policy on all personal property and tenant owned improvements and betterments for not less than 100% of the replacement cost of such. The Tenant “all risk” property policy shall have a commercially reasonable deductible.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Plate Glass</w:t>
      </w:r>
      <w:r>
        <w:rPr>
          <w:rFonts w:ascii="Times New Roman" w:hAnsi="Times New Roman"/>
          <w:color w:val="000000"/>
          <w:sz w:val="24"/>
        </w:rPr>
        <w:t>. Tenant shall assume all responsibility for all Plate Glass on the Premises. Tenant may elect to self-insure this exposure.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Minimum Limits</w:t>
      </w:r>
      <w:r>
        <w:rPr>
          <w:rFonts w:ascii="Times New Roman" w:hAnsi="Times New Roman"/>
          <w:color w:val="000000"/>
          <w:sz w:val="24"/>
        </w:rPr>
        <w:t>. The minimum limits of liability acceptable are:</w:t>
      </w:r>
    </w:p>
    <w:p>
      <w:pPr>
        <w:pStyle w:val="TextBody"/>
        <w:bidi w:val="0"/>
        <w:jc w:val="both"/>
        <w:rPr>
          <w:rFonts w:ascii="Times New Roman" w:hAnsi="Times New Roman"/>
          <w:color w:val="000000"/>
          <w:sz w:val="24"/>
        </w:rPr>
      </w:pPr>
      <w:r>
        <w:rPr>
          <w:rFonts w:ascii="Times New Roman" w:hAnsi="Times New Roman"/>
          <w:color w:val="000000"/>
          <w:sz w:val="24"/>
        </w:rPr>
        <w:t>$1,000,000 per occurrence and $2,000,000 aggregate.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(vi) </w:t>
      </w:r>
      <w:r>
        <w:rPr>
          <w:rFonts w:ascii="Times New Roman" w:hAnsi="Times New Roman"/>
          <w:color w:val="000000"/>
          <w:sz w:val="24"/>
          <w:u w:val="single"/>
        </w:rPr>
        <w:t>Liquor Liability</w:t>
      </w:r>
      <w:r>
        <w:rPr>
          <w:rFonts w:ascii="Times New Roman" w:hAnsi="Times New Roman"/>
          <w:color w:val="000000"/>
          <w:sz w:val="24"/>
        </w:rPr>
        <w:t>. If the Tenant engages in the serving or sale of alcoholic beverages, Tenant shall carry Liquor Liability coverage in the amount of $1,000,000 or more per occurrence.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(vii) </w:t>
      </w:r>
      <w:r>
        <w:rPr>
          <w:rFonts w:ascii="Times New Roman" w:hAnsi="Times New Roman"/>
          <w:color w:val="000000"/>
          <w:sz w:val="24"/>
          <w:u w:val="single"/>
        </w:rPr>
        <w:t>Automobile Liability</w:t>
      </w:r>
      <w:r>
        <w:rPr>
          <w:rFonts w:ascii="Times New Roman" w:hAnsi="Times New Roman"/>
          <w:color w:val="000000"/>
          <w:sz w:val="24"/>
        </w:rPr>
        <w:t>. Tenant shall maintain an auto liability insurance policy covering the Tenant’s owned, non-owned and hired vehicles, including uninsured motorist where required by statute. In the event there are automobiles owned by or operated in conjunction with the Premises, automobile liability, including bodily injury and property damage, and, at Tenant’s option, physical damage insurance, comprehensive and collision, covering said automobiles to value. Any auto policy carried by Tenant shall have at least a $1,000,000 Combined Single Limit.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any provision of this Lease to the contrary, Tenant and Landlord shall each include in all policies of insurance covering the Premises, the Building and contents therein, a waiver by the insurer of all right of subrogation against the other party in connection with any loss or damage thereby insured against.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the event that either Tenant or Landlord sustains a loss by fire or other casualty or cause and such loss is caused in whole, or in part, by acts or omissions (including negligence) of the other party or such other party's agents, employees or servants, then the party sustaining the loss agrees, to the extent that the party sustaining such loss is compensated for such loss by insurance (or would have been compensated for such loss by insurance if such party had maintained the insurance required to be maintained by it herein, to waive all rights of recovery against the other party and such other party's agents, employees and servants, and no third party shall have any right of recovery, by way of subrogation or assignment or otherwise and all such rights shall be waived by such other parties, including the insurance companies that issue such party’s insurance policies.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It is acknowledged and understood by the parties hereto that such insurance for fire and extended coverage as Landlord elects to purchase shall be for the sole benefit of the Landlord, and that such insurance shall not cover Tenant's personal property, trade fixtures, records and files,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leasehold improvements, or any other appurtenances, and that in the event of damage to or loss of any such items, Landlord shall have no obligation to repair or replace same.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12.</w:t>
      </w:r>
    </w:p>
    <w:p>
      <w:pPr>
        <w:pStyle w:val="TextBody"/>
        <w:bidi w:val="0"/>
        <w:jc w:val="both"/>
        <w:rPr>
          <w:rFonts w:ascii="Times New Roman" w:hAnsi="Times New Roman"/>
          <w:b/>
          <w:color w:val="000000"/>
          <w:sz w:val="24"/>
        </w:rPr>
      </w:pPr>
      <w:r>
        <w:rPr>
          <w:rFonts w:ascii="Times New Roman" w:hAnsi="Times New Roman"/>
          <w:b/>
          <w:color w:val="000000"/>
          <w:sz w:val="24"/>
        </w:rPr>
        <w:t>DEFAULT: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Each of the following acts or omissions of Tenant or occurrences shall constitute an </w:t>
      </w:r>
      <w:r>
        <w:rPr>
          <w:rFonts w:ascii="Times New Roman" w:hAnsi="Times New Roman"/>
          <w:b/>
          <w:color w:val="000000"/>
          <w:sz w:val="24"/>
        </w:rPr>
        <w:t>"Event of Default"</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Failure or refusal by Tenant to pay Rent on the date due, and such failure continues for five (5) business days after Tenant’s receipt of written notice thereof (provided, however, Landlord shall not be required to give Tenant more than two (2) written notices per calendar year, and thereafter Tenant shall be entitled to five (5) business days’ grace period following the date on which Rent is due, but without notice, for the remainder of such calendar year);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Failure or refusal by Tenant to comply with the obligations of Tenant set forth in Article 7 (Assignment) of this Lease; or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Failure or refusal by Tenant to perform or observe timely any other covenant, duty or obligation of Tenant under this Lease and the continuance of such failure beyond the expiration of thirty (30) days following Tenant’s receipt of written notice of such default; provided, however, if such Event of Default is of a type which cannot reasonably be cured within such thirty (30) day period, Tenant shall have a reasonable time thereafter to cure such Event of Default so long as Tenant has commenced such cure within such thirty (30) days and is diligently prosecuting such cure to completion;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Intentionally omitted;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The entry of a decree or order for relief by a court having jurisdiction over Tenant or any guarantor of Tenant's obligations hereunder in an involuntary case under the federal bankruptcy laws, as now or hereafter constituted, or any other applicable federal or state bankruptcy, insolvency or other similar law, or appointing a receiver, liquidator, assignee, custodian, trustee, sequestrator (or similar official) of Tenant or any guarantor of Tenant's obligations hereunder or for substantially all of either of such parties' property, or ordering the winding-up or liquidation of either of such parties' affairs, which is not dismissed within ninety (90) days after filing;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The commencement by Tenant or any guarantor of Tenant's obligations hereunder of a voluntary case under the federal bankruptcy laws, as now constituted or hereafter amended, or any other applicable federal or state bankruptcy, insolvency or other similar law, or the consent by either of said parties to the appointment of a receiver, liquidator, assignee, trustee, custodian, sequestrator (or other similar official) of substantially all of the property of Tenant or any guarantor of Tenant's obligations hereunder, or to the taking possession of such property by any such functionary or the making of any assignment for the benefit of creditors by either Tenant or any guarantor of Tenant's obligations hereunder, or Tenant, being adjudicated insolvent.</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and whenever any Event of Default shall occur, after such notice, if any, as is provided herein, Landlord may, at its option, in addition to all other rights and remedies given hereunder or by law or equity, do any one or more of the following:</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Landlord may terminate this Lease by giving notice of termination required by applicable law, in which event this Lease shall expire and terminate on the date specified in such notice of termination, with the same force and effect as though the date so specified were the date herein originally fixed as the expiration date of the Term of this Lease, and all rights of Tenant under this Lease and in and to the Premises shall expire and terminate, and Tenant shall remain liable for all obligations under this Lease arising up to the date of such termination, and Tenant shall surrender the Premises to Landlord on the date specified in such notice;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With or without having terminated the Lease, enter upon and take possession of the Premises by legal proceedings and expel or remove Tenant and any other occupant therefrom, and remove all property left at the Premises to a warehouse or elsewhere, at the cost of, and for the account of Tenant, all without being deemed guilty of trespass or becoming liable for any loss, damage or damages which may be occasioned thereby, provided that Landlord exercises commercially reasonable care.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Following legal proceedings and prior notice to Tenant, alter locks and other security devices at the Premises.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Exercise by Landlord of any one or more remedies hereunder granted or otherwise available shall not be deemed to be an acceptance by Landlord of surrender of the Premises by Tenant, whether by agreement or by operation of law, it being understood that such surrender can be effected only by the written agreement of Landlord and Tenant. To the extent of any inconsistency between this Lease and any statutory or common law, it is the agreement of the parties that this Lease shall prevail. No alteration of locks or other security devices except following legal proceedings and prior notice to Tenant and no removal or other exercise of dominion by Landlord over the property of Tenant or others left at the Premises shall be deemed unauthorized or constitute a conversion, Tenant hereby consenting, after any Event of Default, to the aforesaid exercise of dominion following legal proceedings over Tenant's property left at the Premises. All claims for damages by reason of any legally maintained re-entry and/or repossession proceedings and/or alteration of locks or other security devices following legal proceedings and prior notice to Tenant are hereby waived, as are all claims for damages by reason of any distress warrant, forcible detainer proceedings, sequestrator proceedings or other legal process, provided that Landlord exercises commercially reasonable care. Tenant agrees that any re-entry by Landlord may be pursuant to judgment obtained in forcible detainer proceedings or other legal proceedings and Landlord shall not thereafter be liable in trespass, provided that Landlord exercises commercially reasonable care.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any provision to the contrary contained herein, upon the occurrence of an Event of Default in the payment of Rent, Landlord shall not be obligated to give any notice (written or oral) to vacate the Premises prior to Landlord’s instituting legal proceedings, Tenant hereby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agreeing that such proceedings may be instituted by Landlord at any time an Event of Default in payment of Rent remains uncured, but Tenant is not waiving any notices to vacate and/or demand for possession required under statutory or common law.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Tenant should fail to make any payment or to cure any other default hereunder within the time herein permitted, and after the expiration of any applicable notice or cure period, Landlord, without being under any obligation to do so and without thereby waiving such default, may make such payment and/or remedy such other default for the account of Tenant (and enter the Premises for such purpose, upon reasonable notice to Tenant), and thereupon Tenant shall be obligated to pay, and hereby agrees to pay Landlord, upon written demand, together with invoices, all actual and reasonable costs, expenses and disbursements incurred by Landlord in taking such remedial action.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event of termination of this Lease or of Tenant's right to possession of the Premises or repossession of the Premises for an Event of Default, Landlord shall not have any obligation to relet or to attempt to relet the Premises, or any portion thereof, or to collect rental after reletting (if any); but Landlord shall have the option to relet or to attempt to relet and in the event of reletting Landlord may relet the whole or any portion of the Premises for any period, to any tenant, and for any use and purpose.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addition to the foregoing, in the event Landlord elects to terminate this Lease upon an occurrence of an Event of Default, then (except as otherwise provided in the succeeding paragraph) Tenant shall be liable for and shall pay to Landlord upon demand, at Landlord’s address as set forth in Article 22 hereof, the sum of all Rent and other indebtedness accrued to the date of such termination, plus, as damages, an amount equal to the present value (computed as of the date of any such termination using a discount factor equal to four percent (4%) per annum) of (i) seventy-five percent (75%) of (x) the total Rent (using such sums, if any, for the year of such termination as the basis for determining the amount thereof which would have been due each year hereafter for the remaining portion of the Term had it not been terminated) and (y) all such rent and other charges being computed for the remaining portion of the Term hereof (had such Term not been terminated by Landlord prior to the date of expiration hereof), and (ii) plus Landlord's estimated reasonable and customary expenses in connection with Landlord’s recovery of possession, and reletting, including, without limitation, reasonable brokerage commissions, reasonable legal fees, retro-fitting of the Premises and the like, less (iii) any sums thereafter received by Landlord through reletting the Premises during such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Notwithstanding anything above to the contrary, Landlord shall use commercially reasonable efforts to relet the Premises, or portions thereof, to mitigate any damages resulting from an Event of Default by Tenant; provided; however, that Tenant acknowledges that in order to reasonably mitigate damages Landlord shall not be obligated </w:t>
      </w: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 xml:space="preserve">to lease the Premises prior to any other space available for lease in the Building at such time; or </w:t>
      </w:r>
      <w:r>
        <w:rPr>
          <w:rFonts w:ascii="Times New Roman" w:hAnsi="Times New Roman"/>
          <w:b/>
          <w:color w:val="000000"/>
          <w:sz w:val="24"/>
        </w:rPr>
        <w:t>(ii)</w:t>
      </w:r>
      <w:r>
        <w:rPr>
          <w:rFonts w:ascii="Times New Roman" w:hAnsi="Times New Roman"/>
          <w:color w:val="000000"/>
          <w:sz w:val="20"/>
        </w:rPr>
        <w:t xml:space="preserve"> </w:t>
      </w:r>
      <w:r>
        <w:rPr>
          <w:rFonts w:ascii="Times New Roman" w:hAnsi="Times New Roman"/>
          <w:color w:val="000000"/>
          <w:sz w:val="24"/>
        </w:rPr>
        <w:t>to lease the Premises for a use, which in Landlord’s sole discretion, is incompatible with the then tenant mix of the Building or for below market rents.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the event Landlord elects to terminate this Lease by reason of an Event of Default, in lieu of exercising the rights of Landlord under the preceding paragraph, or in the event Landlord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elects to terminate Tenant's right to possession of the Premises without terminating this Lease, Landlord may hold Tenant liable for all Rent and other indebtedness accrued to the date of such termination, plus such Rent and other indebtedness as would otherwise have been required to be paid by Tenant to Landlord during the period following termination of the Term (or Tenant's right to possession of the Premises, as the case may be) measured from the date of such termination by Landlord until the date which would have been the date of expiration of the Term (had Landlord not elected to terminate the Lease or Tenant's right to possession on account of such Event of Default) diminished by any net sums thereafter received by Landlord through reletting the Premises during such period (after deducting expenses incurred by Landlord as provided in the succeeding paragraph). Actions to collect amounts due by Tenant provided for in this paragraph may be brought from time to time by Landlord during the aforesaid period, on one or more occasions, without the necessity of Landlord's waiting until expiration of such period and in no event shall Tenant be entitled to any excess of rent (or rent plus other sums) obtained by reletting over and above the Rent herein reserved. If the Premises, or any part thereof, are relet together with other space in the Building, then the rents collected or reserved under any such reletting and the expenses of any such reletting shall be equitably apportioned for the purposes of this paragraph.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Upon the occurrence of an Event of Default, Tenant shall also be liable for and shall pay to Landlord at Landlord’s address as set forth in Article 22 hereof, in addition to any sum provided to be paid above, broker's fees incurred by Landlord in connection with reletting the whole or any part of the Premises, the costs of removing and storing Tenant's or other occupant's property left at the Premises, the costs of repairing, altering, remodeling or otherwise putting the Premises into condition acceptable to a new tenant or tenants, and all reasonable expenses incurred by Landlord in enforcing Landlord's remedies, including reasonable attorneys’ fees as provided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event of any default by Landlord, Tenant's exclusive remedy shall be an action for damages (Tenant hereby waiving the benefit of any laws granting it a lien upon the property of Landlord and/or upon rent due Landlord), but prior to any such action Tenant will give Landlord written notice specifying such default with particularity, and Landlord shall thereupon have a reasonable period, but in no event less than thirty (30) days, in which to commence to cure any such default. Unless and until Landlord fails so to commence to cure any default after such notice or having so commenced thereafter fails to exercise reasonable diligence to complete such curing, Tenant shall not have any remedy or cause of action by reason thereof. All obligations of Landlord hereunder will be construed as independent covenants, not conditions; and all such obligations will be binding upon Landlord only during the period of its possession of the Property and not thereafter.</w:t>
      </w:r>
    </w:p>
    <w:p>
      <w:pPr>
        <w:pStyle w:val="TextBody"/>
        <w:bidi w:val="0"/>
        <w:jc w:val="both"/>
        <w:rPr>
          <w:rFonts w:ascii="Times New Roman" w:hAnsi="Times New Roman"/>
          <w:sz w:val="20"/>
        </w:rPr>
      </w:pPr>
      <w:r>
        <w:rPr>
          <w:rFonts w:ascii="Times New Roman" w:hAnsi="Times New Roman"/>
          <w:color w:val="000000"/>
          <w:sz w:val="24"/>
        </w:rPr>
        <w:t>Except as expressly set forth in this Lease, irrespective of which party is the prevailing party, neither Landlord nor Tenant shall be entitled to any attorneys' fees incurred in connection with the institution of any action or proceeding in court to enforce any provision hereof or any action or proceeding for damages by reason of any alleged breach or default of any provision of this Lease or any action or proceeding for a declaration of either party's rights or obligations hereunder or any action or proceeding for any other judicial remedy, at law or in equity. In the event, however, that Landlord institutes any action or proceeding to enforce payment of a monetary sum due hereunder and is the prevailing party in such action then, in such event, Tenant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will pay to Landlord all reasonable costs incurred by Landlord in attempting to collect such sum, including reasonable attorneys' fees.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13.</w:t>
      </w:r>
    </w:p>
    <w:p>
      <w:pPr>
        <w:pStyle w:val="TextBody"/>
        <w:bidi w:val="0"/>
        <w:jc w:val="both"/>
        <w:rPr>
          <w:rFonts w:ascii="Times New Roman" w:hAnsi="Times New Roman"/>
          <w:b/>
          <w:color w:val="000000"/>
          <w:sz w:val="24"/>
        </w:rPr>
      </w:pPr>
      <w:r>
        <w:rPr>
          <w:rFonts w:ascii="Times New Roman" w:hAnsi="Times New Roman"/>
          <w:b/>
          <w:color w:val="000000"/>
          <w:sz w:val="24"/>
        </w:rPr>
        <w:t>NO WAIVER: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 waiver of any condition or covenant of this Lease by either party shall be deemed to imply or constitute a further waiver by such party of any other condition or covenant of this Lease. All rights, remedies, powers and privileges conferred hereunder upon the parties hereto shall be cumulative to, but not restrictive of, or in lieu of those conferred by law.</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14.</w:t>
      </w:r>
    </w:p>
    <w:p>
      <w:pPr>
        <w:pStyle w:val="TextBody"/>
        <w:bidi w:val="0"/>
        <w:jc w:val="both"/>
        <w:rPr>
          <w:rFonts w:ascii="Times New Roman" w:hAnsi="Times New Roman"/>
          <w:b/>
          <w:color w:val="000000"/>
          <w:sz w:val="24"/>
        </w:rPr>
      </w:pPr>
      <w:r>
        <w:rPr>
          <w:rFonts w:ascii="Times New Roman" w:hAnsi="Times New Roman"/>
          <w:b/>
          <w:color w:val="000000"/>
          <w:sz w:val="24"/>
        </w:rPr>
        <w:t>PERSONAL PROPERTY: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 personal property in the Premises shall be and remain at Tenant's risk, and Landlord shall not be liable for any damages to, or loss of, such personal property arising from acts of negligence of any other persons, except for the act or omission or negligence of Landlord or its employees, agents, or contractors.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15.</w:t>
      </w:r>
    </w:p>
    <w:p>
      <w:pPr>
        <w:pStyle w:val="TextBody"/>
        <w:bidi w:val="0"/>
        <w:jc w:val="both"/>
        <w:rPr>
          <w:rFonts w:ascii="Times New Roman" w:hAnsi="Times New Roman"/>
          <w:b/>
          <w:color w:val="000000"/>
          <w:sz w:val="24"/>
        </w:rPr>
      </w:pPr>
      <w:r>
        <w:rPr>
          <w:rFonts w:ascii="Times New Roman" w:hAnsi="Times New Roman"/>
          <w:b/>
          <w:color w:val="000000"/>
          <w:sz w:val="24"/>
        </w:rPr>
        <w:t>LAWS; RULES AND REGULATIONS: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 Except to the extent that such compliance is the obligation of Landlord pursuant to this Lease, Tenant shall conform to and observe all present and future laws, ordinances, regulations, rules, and any directions of any Federal, State, County, regional or municipal governments or quasi-governmental agencies having jurisdiction (collectively, “Applicable Laws”), whether the same are in force at the commencement of the Term or may in the future be passed, enacted, or directed, applicable to the Premises during the Term of this Lease, which shall impose any duty upon Tenant or Landlord with respect to the Premises or its use or occupation. Tenant shall not be obligated to perform structural Alterations, replacements or repairs to the Premises or any Alterations to portions of the Building systems that are not located within or exclusively serving the Premises to comply with Applicable Laws, except to the extent (a) such Alteration, replacement or repair is required as a result of construction performed by Tenant or (ii) Tenant’s particular manner of use of the Premises (as opposed to the mere use of the Premises for the Permitted Use) or (iii) by reason of Tenant’s breach of its obligations under this Lease. Landlord, at its expense, shall comply with all Applicable Laws applicable to the Premises that would require the making of structural Alterations, replacements or repairs that are not the obligation of Tenant as aforesaid, as well as all repairs, replacements or modifications of the sprinkler and fire protection systems required by Applicable Laws, and all Applicable Laws applicable to the Common Areas, facilities and systems of the Building with which Tenant is not obligated to comply, to the extent necessary to (i) maintain, renew or update the certificate of occupancy so that the Premises can lawfully be used [for the Permitted Use], or (ii) to comply with any Applicable Laws to the Common Areas to the extent that failure to comply would adversely impact the Premises or Tenant’s use of the Premises for the Permitted Use.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The present rules and regulations in regard to the Building are attached hereto as </w:t>
      </w:r>
      <w:r>
        <w:rPr>
          <w:rFonts w:ascii="Times New Roman" w:hAnsi="Times New Roman"/>
          <w:b/>
          <w:i/>
          <w:color w:val="000000"/>
          <w:sz w:val="24"/>
        </w:rPr>
        <w:t>Exhibit "B"</w:t>
      </w:r>
      <w:r>
        <w:rPr>
          <w:rFonts w:ascii="Times New Roman" w:hAnsi="Times New Roman"/>
          <w:color w:val="000000"/>
          <w:sz w:val="20"/>
        </w:rPr>
        <w:t xml:space="preserve"> </w:t>
      </w:r>
      <w:r>
        <w:rPr>
          <w:rFonts w:ascii="Times New Roman" w:hAnsi="Times New Roman"/>
          <w:color w:val="000000"/>
          <w:sz w:val="24"/>
        </w:rPr>
        <w:t>and made a part hereof as though fully set out herein. Landlord reserves the right to change these rules and regulations, as modified or supplemented from time to time by the Landlord, Landlord hereby agreeing that any such changes made by Landlord shall be reasonable and non-discriminatory with respect to the other tenants and occupants of the Building and shall not reduce Tenant's rights under this Lease beyond a de minimis extent; provided, however, that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case of any conflict or inconsistency between the provisions of this Lease and any of the rules and regulations, the provisions of this Lease shall control. Tenant shall faithfully observe and perform such rules and regulations, and the Tenant shall further be responsible for the compliance with such rules and regulations by the Tenant's employees, its invitees, agents, servants or visitors.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16.</w:t>
      </w:r>
    </w:p>
    <w:p>
      <w:pPr>
        <w:pStyle w:val="TextBody"/>
        <w:bidi w:val="0"/>
        <w:jc w:val="both"/>
        <w:rPr>
          <w:rFonts w:ascii="Times New Roman" w:hAnsi="Times New Roman"/>
          <w:b/>
          <w:color w:val="000000"/>
          <w:sz w:val="24"/>
        </w:rPr>
      </w:pPr>
      <w:r>
        <w:rPr>
          <w:rFonts w:ascii="Times New Roman" w:hAnsi="Times New Roman"/>
          <w:b/>
          <w:color w:val="000000"/>
          <w:sz w:val="24"/>
        </w:rPr>
        <w:t>ENTIRE AGREEMENT: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Lease and all exhibits and attachments hereto, if any, constitute the entire agreement between the parties hereto and all previous negotiations leading thereto, and this Lease may be modified only by an agreement in writing, signed by Landlord and Tenant. No surrender of the Premises or of the remainder of the Term of the Lease shall be valid unless expressly accepted, in writing, by the Landlord.</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17.</w:t>
      </w:r>
    </w:p>
    <w:p>
      <w:pPr>
        <w:pStyle w:val="TextBody"/>
        <w:bidi w:val="0"/>
        <w:jc w:val="both"/>
        <w:rPr>
          <w:rFonts w:ascii="Times New Roman" w:hAnsi="Times New Roman"/>
          <w:b/>
          <w:color w:val="000000"/>
          <w:sz w:val="24"/>
        </w:rPr>
      </w:pPr>
      <w:r>
        <w:rPr>
          <w:rFonts w:ascii="Times New Roman" w:hAnsi="Times New Roman"/>
          <w:b/>
          <w:color w:val="000000"/>
          <w:sz w:val="24"/>
        </w:rPr>
        <w:t>TIME OF ESSENCE: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It is understood and agreed between the parties hereto that time is of the essence with respect to all of the terms and provisions of this Lease.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18.</w:t>
      </w:r>
    </w:p>
    <w:p>
      <w:pPr>
        <w:pStyle w:val="TextBody"/>
        <w:bidi w:val="0"/>
        <w:jc w:val="both"/>
        <w:rPr>
          <w:rFonts w:ascii="Times New Roman" w:hAnsi="Times New Roman"/>
          <w:b/>
          <w:color w:val="000000"/>
          <w:sz w:val="24"/>
        </w:rPr>
      </w:pPr>
      <w:r>
        <w:rPr>
          <w:rFonts w:ascii="Times New Roman" w:hAnsi="Times New Roman"/>
          <w:b/>
          <w:color w:val="000000"/>
          <w:sz w:val="24"/>
        </w:rPr>
        <w:t>CONDEMNATION: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 If Landlord receives notice of the intention of any authority to appropriate, take or condemn any portion of the Premises or the Building for public or quasi-public use under any right of eminent domain, condemnation or other law (collectively, “Taking”), Landlord shall promptly notify Tenant thereof. If the whole of the Premises shall be subject to a Taking, or if such Taking relates to a portion of the Premises that as a result thereof, in Tenant’s judgment, the balance cannot be used for the Permitted Use and with substantially the same utility to Tenant as immediately prior to such Taking, then in either of such events, this Lease shall terminate upon delivery of possession to the condemning authority, and Rent shall be prorated and adjusted as of such date, and any award, compensation or damages (hereinafter sometimes called the “award”) shall be paid to and be the sole property of Landlord whether the award shall be made as compensation for diminution of the value of the leasehold estate or the fee of the Building or otherwise and Tenant hereby assigns to Landlord all of Tenant’s right, title and interest in and to any and all such award. Notwithstanding the foregoing, Tenant shall have the right to recover from the condemning authority, but not from Landlord, such compensation as may be separately awarded to Tenant, including the right to file a claim for and receive compensation for moving expenses, Tenant’s alterations and non-movable fixtures and costs or loss of Tenant in removing Tenant’s equipment and inventory, but not for the value of the leasehold (“Tenant’s Award”). Tenant shall continue to pay Rent until the Term is terminated.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If only a part of the Premises shall be subject to a Taking, but the balance of the Premises, in Tenant’s judgment, can still be used for the Permitted Use and with substantially the same utility to Tenant as immediately prior to such Taking, then this Lease shall not terminate and Landlord, at its expense, shall repair and restore the Premises and all improvements thereon the remaining parts of the Building directly affecting the Premises, with reasonable diligence, so as to constitute a complete and tenantable Premises, except that Landlord shall not hereby be required to expend for repair and restoration any sum in excess of the award, provided that in the event of the failure of Landlord to so repair and restore the Premises and all improvements thereon to a complete and tenantable Premises Tenant shall have the right to terminate this Lease. Any portion</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of the award which has not been expended by Landlord for such repairing or restoration shall be retained by Landlord as Landlord’s sole property. Base Rent and Additional Rent shall be equitably abated following delivery of partial possession to the condemning body. In addition, Base Rent and Additional Rent shall be abated during any period in which the business operations in the Premises are ceased for Landlord’s restoration. Notwithstanding the foregoing if fifty percent (50%) or more of the Building or the Premises shall be so taken or condemned, then either Landlord or Tenant shall have the right to terminate this Lease by giving written notice to the other party within sixty (60) days after such taking. In such event, the award shall be paid to or be the sole property of Landlord. Notwithstanding the foregoing, Tenant shall have the right to recover from the condemning authority, but not from Landlord, Tenant’s Award.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 If the temporary use or occupancy shall be lawfully taken by condemnation or in any other manner for any public or quasi-public use or purpose during the Term, Tenant shall be entitled, except as hereinafter set forth, to receive that portion of the award for such taking which represents compensation for the use and occupancy of the Premises and, if so awarded, for the taking of Tenant's property and for moving expenses, and Landlord shall be entitled to receive that portion which represents reimbursement for the cost of restoration of the Premises. This Lease shall be and remain unaffected by such taking, except Base Rent and Additional Rent shall be abated during the period of such temporary taking.</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19.</w:t>
      </w:r>
    </w:p>
    <w:p>
      <w:pPr>
        <w:pStyle w:val="TextBody"/>
        <w:bidi w:val="0"/>
        <w:jc w:val="both"/>
        <w:rPr>
          <w:rFonts w:ascii="Times New Roman" w:hAnsi="Times New Roman"/>
          <w:b/>
          <w:color w:val="000000"/>
          <w:sz w:val="24"/>
        </w:rPr>
      </w:pPr>
      <w:r>
        <w:rPr>
          <w:rFonts w:ascii="Times New Roman" w:hAnsi="Times New Roman"/>
          <w:b/>
          <w:color w:val="000000"/>
          <w:sz w:val="24"/>
        </w:rPr>
        <w:t>DELIVERY OF POSSESSION AFTER TERMINATION; HOLDOVER: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Tenant agrees to surrender to Landlord, at the end of the Term of this Lease and/or upon any cancellation or termination of this Lease, said Premises in broom-clean condition, and in and in good order, condition and repair, ordinary wear and tear and damage by casualty or condemnation excepted, with Tenant’s trade fixtures, equipment and other personal property removed. Tenant shall deliver all keys for the Premises to Landlord and inform Landlord of all combinations on locks, safes and vaults, if any, in the Premises. Notwithstanding the foregoing, Tenant shall not remove any machinery or trade fixtures that were furnished or paid for by Landlord (except if replaced by Tenant). If Tenant shall fail to remove its trade fixtures or other property, as provided herein, such property shall be deemed abandoned by Tenant and, at the option of Landlord, shall become the property of Landlord or removed and disposed of by Landlord at Tenant’s expense. Tenant shall repair any damage caused by the installation and/or removal of any property described herein. Notwithstanding the foregoing, Tenant shall not be required to remove or restore any alterations performed by Tenant other than Specialty Alterations.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Tenant shall remain in possession of all or any part of the Premises after the expiration or termination of the Term of this Lease, with the written consent of Landlord, then Tenant shall be deemed a month-to-month tenant of the Premises and the Lease may then be cancelable by Landlord upon giving at least thirty (30) days prior notice to Tenant prior to the beginning of the next month, upon which the Lease shall terminate and Tenant shall vacate on or before the last day of the month it received notice. Tenant agrees to pay for the use and occupation for the Premises during this month-to-month period 150% of the last Base Rent paid by Tenant during the Lease Term, plus 100% of the Additional Rent and all other charges and expenses due under the Lease.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Tenant shall remain in possession of all or any part of the Premises for more than one hundred twenty (120) days after the expiration or termination of this Lease without the consent of Landlord, Tenant shall be deemed to be a tenant at sufferance and shall be liable to Landlord for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all damages, direct and/or consequential, or as otherwise provided by law which Landlord may suffer on account of Tenant’s failure or refusal to so surrender possession of the Premises.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If, during the period commencing six (6) months prior to the Expiration Date, Tenant requests Landlord to give Tenant notice as to whether or not Landlord has entered into a new lease or other binding commitment for any portion of the Premises for a period following the expiration or earlier termination of the Term, Landlord shall so notify Tenant (to the extent Landlord is not prohibited or restricted from doing so because of a confidentiality or non-disclosure agreement), within ten (10) days after receipt of such request from Tenant.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 termination of this Lease prior to the normal ending thereof, by lapse of time or otherwise, shall affect Landlord's right to collect Rent for the period prior to the termination thereof.</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20.</w:t>
      </w:r>
    </w:p>
    <w:p>
      <w:pPr>
        <w:pStyle w:val="TextBody"/>
        <w:bidi w:val="0"/>
        <w:jc w:val="both"/>
        <w:rPr>
          <w:rFonts w:ascii="Times New Roman" w:hAnsi="Times New Roman"/>
          <w:b/>
          <w:color w:val="000000"/>
          <w:sz w:val="24"/>
        </w:rPr>
      </w:pPr>
      <w:r>
        <w:rPr>
          <w:rFonts w:ascii="Times New Roman" w:hAnsi="Times New Roman"/>
          <w:b/>
          <w:color w:val="000000"/>
          <w:sz w:val="24"/>
        </w:rPr>
        <w:t>TENANT SIGNS: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Except upon Landlord's written approval</w:t>
      </w:r>
      <w:r>
        <w:rPr>
          <w:rFonts w:ascii="Times New Roman" w:hAnsi="Times New Roman"/>
          <w:color w:val="000000"/>
          <w:sz w:val="20"/>
        </w:rPr>
        <w:t xml:space="preserve"> </w:t>
      </w:r>
      <w:r>
        <w:rPr>
          <w:rFonts w:ascii="Times New Roman" w:hAnsi="Times New Roman"/>
          <w:color w:val="000000"/>
          <w:sz w:val="24"/>
        </w:rPr>
        <w:t>and the approval of any applicable local governing municipal body, no sign, advertisement or notice of Tenant's business (“Tenant’s Signage”) shall be painted or fixed or placed on any part of the outside of the Premises or outside of the Building and/or real property on which the Premises are located, provided that the use of Tenant’s logo set forth on Exhibit “J” is hereby approved on any Tenant’s signage. Tenant’s Signage and its installation shall be at the sole cost and expense of Tenant. Landlord shall place next to the door of the Premises and the directory board in the lobby of the Building or floor (if any), the name of Tenant and one or more names of persons affiliated with Tenant. In addition, Landlord shall install Building standard wayfinding signage in the Building lobby and in the Common Areas identifying Tenant.</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21.</w:t>
      </w:r>
    </w:p>
    <w:p>
      <w:pPr>
        <w:pStyle w:val="TextBody"/>
        <w:bidi w:val="0"/>
        <w:jc w:val="both"/>
        <w:rPr>
          <w:rFonts w:ascii="Times New Roman" w:hAnsi="Times New Roman"/>
          <w:b/>
          <w:color w:val="000000"/>
          <w:sz w:val="24"/>
        </w:rPr>
      </w:pPr>
      <w:r>
        <w:rPr>
          <w:rFonts w:ascii="Times New Roman" w:hAnsi="Times New Roman"/>
          <w:b/>
          <w:color w:val="000000"/>
          <w:sz w:val="24"/>
        </w:rPr>
        <w:t>ENTRY BY LANDLORD: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Landlord and its agents, employees and independent contractors may enter the Premises at reasonable hours upon prior written notice (but not less than one (1) Business Day) to: </w:t>
      </w: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 xml:space="preserve">inspect the same, </w:t>
      </w: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 xml:space="preserve">exhibit the same to prospective purchasers, lenders or, during the last twelve (12) months of the Term, tenants, </w:t>
      </w: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 xml:space="preserve">determine whether Tenant is complying with all of Tenant's obligations hereunder, </w:t>
      </w:r>
      <w:r>
        <w:rPr>
          <w:rFonts w:ascii="Times New Roman" w:hAnsi="Times New Roman"/>
          <w:b/>
          <w:color w:val="000000"/>
          <w:sz w:val="24"/>
        </w:rPr>
        <w:t>(d)</w:t>
      </w:r>
      <w:r>
        <w:rPr>
          <w:rFonts w:ascii="Times New Roman" w:hAnsi="Times New Roman"/>
          <w:color w:val="000000"/>
          <w:sz w:val="20"/>
        </w:rPr>
        <w:t xml:space="preserve"> </w:t>
      </w:r>
      <w:r>
        <w:rPr>
          <w:rFonts w:ascii="Times New Roman" w:hAnsi="Times New Roman"/>
          <w:color w:val="000000"/>
          <w:sz w:val="24"/>
        </w:rPr>
        <w:t xml:space="preserve">supply janitorial service and any other services to be provided by Landlord to Tenant hereunder, if any, </w:t>
      </w:r>
      <w:r>
        <w:rPr>
          <w:rFonts w:ascii="Times New Roman" w:hAnsi="Times New Roman"/>
          <w:b/>
          <w:color w:val="000000"/>
          <w:sz w:val="24"/>
        </w:rPr>
        <w:t>(e)</w:t>
      </w:r>
      <w:r>
        <w:rPr>
          <w:rFonts w:ascii="Times New Roman" w:hAnsi="Times New Roman"/>
          <w:color w:val="000000"/>
          <w:sz w:val="20"/>
        </w:rPr>
        <w:t xml:space="preserve"> </w:t>
      </w:r>
      <w:r>
        <w:rPr>
          <w:rFonts w:ascii="Times New Roman" w:hAnsi="Times New Roman"/>
          <w:color w:val="000000"/>
          <w:sz w:val="24"/>
        </w:rPr>
        <w:t xml:space="preserve">post notices of non-responsibility, and </w:t>
      </w:r>
      <w:r>
        <w:rPr>
          <w:rFonts w:ascii="Times New Roman" w:hAnsi="Times New Roman"/>
          <w:b/>
          <w:color w:val="000000"/>
          <w:sz w:val="24"/>
        </w:rPr>
        <w:t>(f)</w:t>
      </w:r>
      <w:r>
        <w:rPr>
          <w:rFonts w:ascii="Times New Roman" w:hAnsi="Times New Roman"/>
          <w:color w:val="000000"/>
          <w:sz w:val="20"/>
        </w:rPr>
        <w:t xml:space="preserve"> </w:t>
      </w:r>
      <w:r>
        <w:rPr>
          <w:rFonts w:ascii="Times New Roman" w:hAnsi="Times New Roman"/>
          <w:color w:val="000000"/>
          <w:sz w:val="24"/>
        </w:rPr>
        <w:t>make repairs required of Landlord under the terms hereof or, to the extent necessary, repairs to any adjoining space or utility service or make repairs, alterations or improvements to any other portion of the Building, provided, however, that all such work shall be done as promptly as possible and so as to cause as little interference with Tenant as reasonably possible and damage to the Premises and Tenant’s property, which may include scheduling such access after business hours. Landlord acknowledges that it is necessary for Tenant to control access to the Premises in order to protect its privacy and security. Accordingly, unless in the case of an emergency endangering property or personal injury, and after using reasonable efforts to contact Tenant, while on the Premises, Landlord and its representatives, at Tenant’s option, shall be accompanied by a representative of Tenant and shall comply with reasonable directions of such representative. Landlord shall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promptly repair any damage caused by Landlord or Landlord’s agents in the Premises during such entry.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Tenant hereby waives any claim for damages for any injury or inconvenience to or interference with Tenant's business, any loss of occupancy or quiet enjoyment of the Premises or any other loss occasioned by such entry. Landlord shall at all times have and retain a key with which to unlock all of the doors in, on or about the Premises (excluding Tenant's vaults, safes, labs and similar areas designated in writing by Tenant in advance or clearly designated as restricted or limited access); Landlord shall have the right to use any and all means which Landlord may deem proper to open said doors in an emergency endangering property or personal injury in order to obtain entry to the Premises, and any entry to the Premises obtained by Landlord of any said means, or otherwise, shall not, under any circumstances, be construed or deemed to be a forcible or unlawful entry into or a detainer of the Premises or an eviction, actual or constructive, of Tenant from the Premises, or any portion thereof, except for any negligence or willful misconduct of Landlord or any agent or contractor of Landlord in connection with any such entry under this </w:t>
      </w:r>
      <w:r>
        <w:rPr>
          <w:rFonts w:ascii="Times New Roman" w:hAnsi="Times New Roman"/>
          <w:color w:val="000000"/>
          <w:sz w:val="24"/>
          <w:u w:val="single"/>
        </w:rPr>
        <w:t>Section 21</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22.</w:t>
      </w:r>
    </w:p>
    <w:p>
      <w:pPr>
        <w:pStyle w:val="TextBody"/>
        <w:bidi w:val="0"/>
        <w:jc w:val="both"/>
        <w:rPr>
          <w:rFonts w:ascii="Times New Roman" w:hAnsi="Times New Roman"/>
          <w:b/>
          <w:color w:val="000000"/>
          <w:sz w:val="24"/>
        </w:rPr>
      </w:pPr>
      <w:r>
        <w:rPr>
          <w:rFonts w:ascii="Times New Roman" w:hAnsi="Times New Roman"/>
          <w:b/>
          <w:color w:val="000000"/>
          <w:sz w:val="24"/>
        </w:rPr>
        <w:t>NOTICES: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notice, demand, request or other instrument which may be, or is required to be given under this Lease, shall be in writing and delivered by hand or by overnight courier service, or sent by United States Registered or Certified Mail, adequate postage prepaid, if for Landlord to it at: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SLOSS REAL ESTATE COMPANY,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1130 22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Street South, Suite 3500</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Birmingham, Alabama 35205</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Attention: Chief Operating Officer</w:t>
      </w:r>
    </w:p>
    <w:p>
      <w:pPr>
        <w:pStyle w:val="TextBody"/>
        <w:bidi w:val="0"/>
        <w:jc w:val="both"/>
        <w:rPr>
          <w:rFonts w:ascii="Times New Roman" w:hAnsi="Times New Roman"/>
          <w:color w:val="000000"/>
          <w:sz w:val="24"/>
        </w:rPr>
      </w:pPr>
      <w:r>
        <w:rPr>
          <w:rFonts w:ascii="Times New Roman" w:hAnsi="Times New Roman"/>
          <w:color w:val="000000"/>
          <w:sz w:val="24"/>
        </w:rPr>
        <w:t>Telephone Number: (205) 802-2100</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or if for Tenant, to it at: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IN8BIO, INC.</w:t>
      </w:r>
    </w:p>
    <w:p>
      <w:pPr>
        <w:pStyle w:val="TextBody"/>
        <w:bidi w:val="0"/>
        <w:jc w:val="both"/>
        <w:rPr>
          <w:rFonts w:ascii="Times New Roman" w:hAnsi="Times New Roman"/>
          <w:color w:val="000000"/>
          <w:sz w:val="24"/>
        </w:rPr>
      </w:pPr>
      <w:r>
        <w:rPr>
          <w:rFonts w:ascii="Times New Roman" w:hAnsi="Times New Roman"/>
          <w:color w:val="000000"/>
          <w:sz w:val="24"/>
        </w:rPr>
        <w:t>Empire State Building</w:t>
      </w:r>
    </w:p>
    <w:p>
      <w:pPr>
        <w:pStyle w:val="TextBody"/>
        <w:bidi w:val="0"/>
        <w:jc w:val="both"/>
        <w:rPr>
          <w:rFonts w:ascii="Times New Roman" w:hAnsi="Times New Roman"/>
          <w:sz w:val="20"/>
        </w:rPr>
      </w:pPr>
      <w:r>
        <w:rPr>
          <w:rFonts w:ascii="Times New Roman" w:hAnsi="Times New Roman"/>
          <w:color w:val="000000"/>
          <w:sz w:val="24"/>
        </w:rPr>
        <w:t>350 Fifth Avenue, Suite 5330</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New York, New York 10118</w:t>
      </w:r>
    </w:p>
    <w:p>
      <w:pPr>
        <w:pStyle w:val="TextBody"/>
        <w:bidi w:val="0"/>
        <w:jc w:val="both"/>
        <w:rPr>
          <w:rFonts w:ascii="Times New Roman" w:hAnsi="Times New Roman"/>
          <w:color w:val="000000"/>
          <w:sz w:val="24"/>
        </w:rPr>
      </w:pPr>
      <w:r>
        <w:rPr>
          <w:rFonts w:ascii="Times New Roman" w:hAnsi="Times New Roman"/>
          <w:color w:val="000000"/>
          <w:sz w:val="24"/>
        </w:rPr>
        <w:t>Attention: Mr. William Ho and Dr. Kate Rochlin</w:t>
      </w:r>
    </w:p>
    <w:p>
      <w:pPr>
        <w:pStyle w:val="TextBody"/>
        <w:bidi w:val="0"/>
        <w:jc w:val="both"/>
        <w:rPr>
          <w:rFonts w:ascii="Times New Roman" w:hAnsi="Times New Roman"/>
          <w:color w:val="000000"/>
          <w:sz w:val="24"/>
        </w:rPr>
      </w:pPr>
      <w:r>
        <w:rPr>
          <w:rFonts w:ascii="Times New Roman" w:hAnsi="Times New Roman"/>
          <w:color w:val="000000"/>
          <w:sz w:val="24"/>
        </w:rPr>
        <w:t>Telephone Number: (646) 933-5605</w:t>
      </w:r>
    </w:p>
    <w:p>
      <w:pPr>
        <w:pStyle w:val="TextBody"/>
        <w:bidi w:val="0"/>
        <w:jc w:val="both"/>
        <w:rPr>
          <w:rFonts w:ascii="Times New Roman" w:hAnsi="Times New Roman"/>
          <w:color w:val="000000"/>
          <w:sz w:val="24"/>
        </w:rPr>
      </w:pPr>
      <w:r>
        <w:rPr>
          <w:rFonts w:ascii="Times New Roman" w:hAnsi="Times New Roman"/>
          <w:color w:val="000000"/>
          <w:sz w:val="24"/>
        </w:rPr>
        <w:t>Email: LegalNotifications@in8bio.com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 a copy 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Seyfarth Shaw LLP</w:t>
      </w:r>
    </w:p>
    <w:p>
      <w:pPr>
        <w:pStyle w:val="TextBody"/>
        <w:bidi w:val="0"/>
        <w:jc w:val="both"/>
        <w:rPr>
          <w:rFonts w:ascii="Times New Roman" w:hAnsi="Times New Roman"/>
          <w:color w:val="000000"/>
          <w:sz w:val="24"/>
        </w:rPr>
      </w:pPr>
      <w:r>
        <w:rPr>
          <w:rFonts w:ascii="Times New Roman" w:hAnsi="Times New Roman"/>
          <w:color w:val="000000"/>
          <w:sz w:val="24"/>
        </w:rPr>
        <w:t>620 Eighth Avenue</w:t>
      </w:r>
    </w:p>
    <w:p>
      <w:pPr>
        <w:pStyle w:val="TextBody"/>
        <w:bidi w:val="0"/>
        <w:jc w:val="both"/>
        <w:rPr>
          <w:rFonts w:ascii="Times New Roman" w:hAnsi="Times New Roman"/>
          <w:color w:val="000000"/>
          <w:sz w:val="24"/>
        </w:rPr>
      </w:pPr>
      <w:r>
        <w:rPr>
          <w:rFonts w:ascii="Times New Roman" w:hAnsi="Times New Roman"/>
          <w:color w:val="000000"/>
          <w:sz w:val="24"/>
        </w:rPr>
        <w:t>New York, New York 10018-1405</w:t>
      </w:r>
    </w:p>
    <w:p>
      <w:pPr>
        <w:pStyle w:val="TextBody"/>
        <w:bidi w:val="0"/>
        <w:jc w:val="both"/>
        <w:rPr>
          <w:rFonts w:ascii="Times New Roman" w:hAnsi="Times New Roman"/>
          <w:sz w:val="20"/>
        </w:rPr>
      </w:pPr>
      <w:r>
        <w:rPr>
          <w:rFonts w:ascii="Times New Roman" w:hAnsi="Times New Roman"/>
          <w:color w:val="000000"/>
          <w:sz w:val="24"/>
        </w:rPr>
        <w:t>Attn: Michael J. Waters, Esq.</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Either party’s address may be changed from time to time by such party by giving notice as provided above, except that the Premises may not be used by Tenant as the sole notice address. No change of address of either party shall be binding on the other party until notice of such change of address is given as herein provided. A post office receipt for registration of such notice or signed return receipt shall be conclusive that such notice was delivered in due course of mail if mailed as provided above. For purposes of the calculation of various time periods referred to herein, notice delivered by hand shall be deemed received when delivered to the place for giving notice to a party referred to above, notice mailed in the manner provided above shall be deemed completed upon the earlier to occur of </w:t>
      </w: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 xml:space="preserve">actual receipt as indicated on the signed return receipt, or </w:t>
      </w:r>
      <w:r>
        <w:rPr>
          <w:rFonts w:ascii="Times New Roman" w:hAnsi="Times New Roman"/>
          <w:b/>
          <w:color w:val="000000"/>
          <w:sz w:val="24"/>
        </w:rPr>
        <w:t>(ii)</w:t>
      </w:r>
      <w:r>
        <w:rPr>
          <w:rFonts w:ascii="Times New Roman" w:hAnsi="Times New Roman"/>
          <w:color w:val="000000"/>
          <w:sz w:val="20"/>
        </w:rPr>
        <w:t xml:space="preserve"> </w:t>
      </w:r>
      <w:r>
        <w:rPr>
          <w:rFonts w:ascii="Times New Roman" w:hAnsi="Times New Roman"/>
          <w:color w:val="000000"/>
          <w:sz w:val="24"/>
        </w:rPr>
        <w:t>three (3) business days after posting as herein provided, and notice sent by overnight courier service shall be deemed received on the date which is one (1) business day after accepted by the overnight courier service for delivery. Finally, any written notice addressed as provided hereinabove and actually received by the addressee (or if delivery is refused), shall constitute sufficient notice for all purposes under this Lease.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23.</w:t>
      </w:r>
    </w:p>
    <w:p>
      <w:pPr>
        <w:pStyle w:val="TextBody"/>
        <w:bidi w:val="0"/>
        <w:jc w:val="both"/>
        <w:rPr>
          <w:rFonts w:ascii="Times New Roman" w:hAnsi="Times New Roman"/>
          <w:b/>
          <w:color w:val="000000"/>
          <w:sz w:val="24"/>
        </w:rPr>
      </w:pPr>
      <w:r>
        <w:rPr>
          <w:rFonts w:ascii="Times New Roman" w:hAnsi="Times New Roman"/>
          <w:b/>
          <w:color w:val="000000"/>
          <w:sz w:val="24"/>
        </w:rPr>
        <w:t>LEASE SUBORDINATE TO MORTGAGES (SNDA):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Lease is and shall be subject and subordinate at all times to (a) all ground leases or underlying leases that may now exist or hereafter be executed affecting either or both of the Premises and the Property and (b) any mortgage, deed to secure debt or deed of trust that may now exist or hereafter be placed upon, and encumber, any or all of (x) the Property; (y) any ground leases or underlying leases for the benefit of the Property; and (z) all or any portion of Landlord’s interest or estate in any of said items; provided that Tenant’s right of possession of the Premises shall not be disturbed so long as Tenant is not subject to an Event of Default hereunder.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Tenant shall execute and deliver within ten (10) business days of Landlord’s request and in the form reasonably requested by Landlord (or its lender) any documents evidencing the subordination of this Lease, provided such document(s) shall also provide for the non-disturbance of Tenant. Tenant hereby covenants that Tenant shall attorn to any successor to Landlord.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or before the Commencement Date, Landlord, Tenant and the current mortgagee of the Property shall execute a Non-Disturbance Agreement on such mortgagee’s current form in favor of Tenant, provided that such form must be reasonably satisfactory to Tenant. Provided that Tenant shall have received a commercially reasonable Non-Disturbance Agreement from a future mortgagee or future superior lessor, if a mortgagee or superior lessor shall succeed to the rights of Landlord under this Lease, whether through possession or foreclosure action or delivery of a new lease or deed, then at the request of such party so succeeding to Landlord’s rights (“Successor Landlord”), Tenant shall attorn to and recognize Successor Landlord as Tenant’s landlord under this Lease, and shall promptly execute and deliver any instrument that Successor Landlord may reasonably request to evidence such attornment. Upon such attornment this Lease shall continue in full force and effect as, or as if it were, a direct lease between Successor Landlord and Tenant upon all of the terms, conditions and covenants as are and shall be applicable after such attornment. For purposes of this Lease, a “Non-Disturbance Agreement” shall mean a subordination, attornment and non-disturbance agreement consistent with the terms of this Lease duly executed and acknowledged by the holder of a mortgage or a ground lease or underlying lease, as the case may be, and by Tenant, and in recordable form, in which, inter alia, Tenant agrees to subordinate its interests under this Lease to such mortgage or a ground lease or underlying lease and such mortgagee or superior lessor agrees not to terminate this Lease so long as Tenant is not in default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under said Non-Disturbance Agreement or this Lease beyond applicable notice and cure periods. Tenant, with Landlord’s consent, shall have the right to record any Non-Disturbance Agreement in the applicable recording office.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24.</w:t>
      </w:r>
    </w:p>
    <w:p>
      <w:pPr>
        <w:pStyle w:val="TextBody"/>
        <w:bidi w:val="0"/>
        <w:jc w:val="both"/>
        <w:rPr>
          <w:rFonts w:ascii="Times New Roman" w:hAnsi="Times New Roman"/>
          <w:b/>
          <w:color w:val="000000"/>
          <w:sz w:val="24"/>
        </w:rPr>
      </w:pPr>
      <w:r>
        <w:rPr>
          <w:rFonts w:ascii="Times New Roman" w:hAnsi="Times New Roman"/>
          <w:b/>
          <w:color w:val="000000"/>
          <w:sz w:val="24"/>
        </w:rPr>
        <w:t>ESTOPPEL CERTIFICATES BY TENANT: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Tenant shall from time to time, within ten (10) business days’ written notice from Landlord, execute, acknowledge and deliver to Landlord a written statement certifying that this Lease is unmodified and in full force and effect (or that the same is in full force and effect as modified, attaching the instruments of modification), the dates to which the Rent and other charges have been paid, whether or not, to the best of Tenant’s knowledge, Landlord is in default hereunder (and, if so, specifying the nature of the default), it being intended that any such statement delivered pursuant to the paragraph may be relied upon by a prospective purchaser of the Landlord’s interest in the Building or by any mortgagee pursuant to any mortgage of Landlord’s interest or assigns of any mortgage upon Landlord’s interest in the Building. Tenant’s failure to execute such certificate or statement within ten (10) business days after written request shall, following a second written notice from Landlord and an additional ten (10) business day period following Landlord’s second written notice s, constitute an immediate default by Tenant hereunder, without the requirement of any additional grace period or a cure period (Landlord shall deliver to Tenant written notice of Landlord’s exercise of said option).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Landlord, within ten (10) business days’ written notice from Tenant, execute, acknowledge and deliver to Tenant a written statement certifying that this Lease is unmodified and in full force and effect (or that the same is in full force and effect as modified, attaching the instruments of modification), the dates to which the Rent and other charges have been paid, whether or not, to the best of Landlord’s knowledge, Tenant is in default hereunder (and, if so, specifying the nature of the default), it being intended that any such statement delivered pursuant to the paragraph may be relied upon by a prospective purchaser of the Tenant’s business or by any lender of Tenant.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25.</w:t>
      </w:r>
    </w:p>
    <w:p>
      <w:pPr>
        <w:pStyle w:val="TextBody"/>
        <w:bidi w:val="0"/>
        <w:jc w:val="both"/>
        <w:rPr>
          <w:rFonts w:ascii="Times New Roman" w:hAnsi="Times New Roman"/>
          <w:b/>
          <w:color w:val="000000"/>
          <w:sz w:val="24"/>
        </w:rPr>
      </w:pPr>
      <w:r>
        <w:rPr>
          <w:rFonts w:ascii="Times New Roman" w:hAnsi="Times New Roman"/>
          <w:b/>
          <w:color w:val="000000"/>
          <w:sz w:val="24"/>
        </w:rPr>
        <w:t>LANDLORD'S EXCULPATORY CLAUSE: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to the contrary provided in this Lease or by law, it is specifically agreed and understood between the parties hereto that there shall be absolutely no personal liability on the part of the Landlord, any of its employees or any of its respective heirs, executors, administrators, personal representatives, successors, assignees, shareholders, partners, members, managers, officers, agents, nominees or designees, with respect to any of the terms, covenants, and conditions of this Lease, and Tenant or any other party claiming by, through or under the Tenant shall look solely to the interests of the Landlord in the Property and the proceeds thereof, as its respective interest may appear, for the collection of any claim, demand, cost, expense, judgment or other judicial process requiring the payment of money for any default or breach by Landlord, and no other real, personal, or mixed property of such persons or entities shall be subject to levy, execution or other judicial process for the satisfaction of any such claim of Tenant.</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26.</w:t>
      </w:r>
    </w:p>
    <w:p>
      <w:pPr>
        <w:pStyle w:val="TextBody"/>
        <w:bidi w:val="0"/>
        <w:jc w:val="both"/>
        <w:rPr>
          <w:rFonts w:ascii="Times New Roman" w:hAnsi="Times New Roman"/>
          <w:b/>
          <w:color w:val="000000"/>
          <w:sz w:val="24"/>
        </w:rPr>
      </w:pPr>
      <w:r>
        <w:rPr>
          <w:rFonts w:ascii="Times New Roman" w:hAnsi="Times New Roman"/>
          <w:b/>
          <w:color w:val="000000"/>
          <w:sz w:val="24"/>
        </w:rPr>
        <w:t>SUCCESSORS AND ASSIGNS; LANDLORD’S AGENT: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Lease and all covenants, obligations, and conditions hereof shall inure to the benefit of and shall be binding upon Landlord, and Landlord's successors and assigns. This Lease and all its covenants, obligations, and conditions shall also inure to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benefit and be binding upon Tenant and Tenant's heirs, executors, administrators, successors, and permitted assigns.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Agent is authorized to act as Landlord’s agent in connection with the performance of this Lease, and Tenant shall be entitled to rely upon correspondence and notices received from Agent. Tenant acknowledges that Agent is acting solely as agent for Landlord in connection with this Lease and neither Agent nor any of its partners, members, managers, officers, directors, shareholders, employees, agents or representatives shall have any liability to Tenant in connection with the performance of this Lease, and Tenant waives any and all claims against any and all of such parties arising out of, or in any way connected with, this Lease or the Building.</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27.</w:t>
      </w:r>
    </w:p>
    <w:p>
      <w:pPr>
        <w:pStyle w:val="TextBody"/>
        <w:bidi w:val="0"/>
        <w:jc w:val="both"/>
        <w:rPr>
          <w:rFonts w:ascii="Times New Roman" w:hAnsi="Times New Roman"/>
          <w:b/>
          <w:color w:val="000000"/>
          <w:sz w:val="24"/>
        </w:rPr>
      </w:pPr>
      <w:r>
        <w:rPr>
          <w:rFonts w:ascii="Times New Roman" w:hAnsi="Times New Roman"/>
          <w:b/>
          <w:color w:val="000000"/>
          <w:sz w:val="24"/>
        </w:rPr>
        <w:t>HAZARDOUS SUBSTANCES: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Landlord shall be responsible for the removal of any Hazardous Substances present in the Premises as of the Commencement Date, and Tenant shall receive a day-for-day extension of the Rent Commencement Date to the extent that Tenant’s Work is delayed as a result of the presence of such Hazardous Substances or the remediation thereof. Landlord, its contractors, agents and employees, shall not introduce, generate, place, hold, store, or use Hazardous Substances to be used, transported, stored, released, handled, produced or installed in, on or from the Premises or outside the Premises, except cleaning products, solvents and other chemicals customarily used in maintaining a commercial property.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Tenant, its contractors, agents and employees shall not introduce, generate, place, hold, store, or use any Hazardous Substance or Medical Waste in the Premises, the Building or the Property of which the Premises are a part, except in such amounts as are necessary or desirable for the Permitted Use,</w:t>
      </w:r>
      <w:r>
        <w:rPr>
          <w:rFonts w:ascii="Times New Roman" w:hAnsi="Times New Roman"/>
          <w:color w:val="000000"/>
          <w:sz w:val="20"/>
        </w:rPr>
        <w:t xml:space="preserve"> </w:t>
      </w:r>
      <w:r>
        <w:rPr>
          <w:rFonts w:ascii="Times New Roman" w:hAnsi="Times New Roman"/>
          <w:color w:val="000000"/>
          <w:sz w:val="24"/>
        </w:rPr>
        <w:t xml:space="preserve">including any cleaning products, solvents and other chemicals customarily used in office and lab properties,, provided that Tenant has obtained all required approvals, permits, and licenses from all local, state, and federal authorities, and shall comply with all laws and regulations relating to and/or regulating such substances and all other health and/or safety laws and regulations in the operation of its business from the Premises (the “Tenant’s Liability”). Tenant shall indemnify, protect, defend and hold Landlord harmless from and against any and all actual costs, claims, suits, causes of action, demands, losses, liabilities, penalties, injury or damage (including, without limitation, reasonable attorney's fees at all trial and appellate levels, whether or not suit is brought) arising directly from or out of, or in any way connected with: </w:t>
      </w: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 xml:space="preserve">the Tenant’s Liability, </w:t>
      </w: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 xml:space="preserve">the presence or release of any “Hazardous Substance” or “Medical Waste” (as each of these terms is defined in any applicable federal, state or local statute, law, ordinance, code, rule, regulation, order or decree regulating, relating to, or imposing liability or standards of conduct concerning hazardous, toxic or dangerous substances or medical waste) in the Building, in and on the Property of which the Building and the Premises are a part, and in, on or within the Premises to the extent attributable to Tenant, its contractors, agents and employees; and </w:t>
      </w: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the violation of any environmental law, regulation, ordinance or administrative or judicial order relating to any Hazardous Substance or Medical Waste occurring within the Premises and/or to the extent attributable to Tenant, its contractors, agents and employees, and such indemnity shall survive the expiration or earlier termination of this Lease.</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28.</w:t>
      </w:r>
    </w:p>
    <w:p>
      <w:pPr>
        <w:pStyle w:val="TextBody"/>
        <w:bidi w:val="0"/>
        <w:jc w:val="both"/>
        <w:rPr>
          <w:rFonts w:ascii="Times New Roman" w:hAnsi="Times New Roman"/>
          <w:b/>
          <w:color w:val="000000"/>
          <w:sz w:val="24"/>
        </w:rPr>
      </w:pPr>
      <w:r>
        <w:rPr>
          <w:rFonts w:ascii="Times New Roman" w:hAnsi="Times New Roman"/>
          <w:b/>
          <w:color w:val="000000"/>
          <w:sz w:val="24"/>
        </w:rPr>
        <w:t>SALE OF BUILDING:</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Landlord shall have the right to sell, assign, transfer or otherwise alienate its interest in the Building. Upon such sale, assignment, transfer or alienation, the Tenant shall be bound to the new owner to the same extent as it was bound to Landlord. At the time of any such sale, and the transfer of any security deposit under this Lease to the new owner, Landlord hereunder shall be entirely freed and discharged of any further obligation or responsibility under this Lease.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29.</w:t>
      </w:r>
    </w:p>
    <w:p>
      <w:pPr>
        <w:pStyle w:val="TextBody"/>
        <w:bidi w:val="0"/>
        <w:jc w:val="both"/>
        <w:rPr>
          <w:rFonts w:ascii="Times New Roman" w:hAnsi="Times New Roman"/>
          <w:b/>
          <w:color w:val="000000"/>
          <w:sz w:val="24"/>
        </w:rPr>
      </w:pPr>
      <w:r>
        <w:rPr>
          <w:rFonts w:ascii="Times New Roman" w:hAnsi="Times New Roman"/>
          <w:b/>
          <w:color w:val="000000"/>
          <w:sz w:val="24"/>
        </w:rPr>
        <w:t>SAVINGS CLAUSE: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any provision of this Lease or its application to any person or circumstance shall to any extent be invalid or unenforceable, the remainder of this Lease or the application of such provision to persons or circumstances other than those as to which it is invalid or unenforceable, shall not be affected thereby and each provision of this Lease shall be valid and enforceable to the fullest extent permitted by law.</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30.</w:t>
      </w:r>
    </w:p>
    <w:p>
      <w:pPr>
        <w:pStyle w:val="TextBody"/>
        <w:bidi w:val="0"/>
        <w:jc w:val="both"/>
        <w:rPr>
          <w:rFonts w:ascii="Times New Roman" w:hAnsi="Times New Roman"/>
          <w:b/>
          <w:color w:val="000000"/>
          <w:sz w:val="24"/>
        </w:rPr>
      </w:pPr>
      <w:r>
        <w:rPr>
          <w:rFonts w:ascii="Times New Roman" w:hAnsi="Times New Roman"/>
          <w:b/>
          <w:color w:val="000000"/>
          <w:sz w:val="24"/>
        </w:rPr>
        <w:t>INTENTIONALLY OMITTED:</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31.</w:t>
      </w:r>
    </w:p>
    <w:p>
      <w:pPr>
        <w:pStyle w:val="TextBody"/>
        <w:bidi w:val="0"/>
        <w:jc w:val="both"/>
        <w:rPr>
          <w:rFonts w:ascii="Times New Roman" w:hAnsi="Times New Roman"/>
          <w:b/>
          <w:color w:val="000000"/>
          <w:sz w:val="24"/>
        </w:rPr>
      </w:pPr>
      <w:r>
        <w:rPr>
          <w:rFonts w:ascii="Times New Roman" w:hAnsi="Times New Roman"/>
          <w:b/>
          <w:color w:val="000000"/>
          <w:sz w:val="24"/>
        </w:rPr>
        <w:t>OPERATING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Landlord and Tenant agree that the Base Rent set out in Article 3 is the minimum rental to be paid by Tenant. Base Rent includes the Operating Costs (as defined below) for calendar year 2023 (the “Base Year”) which are estimated to be $8.15 per rentable square foot exclusive of Tenant’s direct occupancy costs. Landlord will charge Tenant, and Tenant agrees to pay, as additional rental (“Additional Rent”), Tenant’s Share (as defined at the end of this Article 31) of the increase in Operating Costs (as defined below) over the Operating Costs of the Base Year, as determined during the Term with respect to each calendar year commencing on January 1 and ending the next following December 31 (“Calendar Year”) following the Base Year (each, an “Increase”).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For the purposes of this Lease, “Operating Costs” shall include the following expenses, costs and disbursements of every kind and nature, relating to or incurred or paid in connection with owning, managing, marketing,</w:t>
      </w:r>
      <w:r>
        <w:rPr>
          <w:rFonts w:ascii="Times New Roman" w:hAnsi="Times New Roman"/>
          <w:color w:val="000000"/>
          <w:sz w:val="20"/>
        </w:rPr>
        <w:t xml:space="preserve"> </w:t>
      </w:r>
      <w:r>
        <w:rPr>
          <w:rFonts w:ascii="Times New Roman" w:hAnsi="Times New Roman"/>
          <w:color w:val="000000"/>
          <w:sz w:val="24"/>
        </w:rPr>
        <w:t>maintaining, landscaping, repairing, and operating the Building, the parking areas, the Common Areas and the grounds of which the Premises are a part (but exclusive of the Premises itself unless otherwise provided herein) and the personal property used in conjunction therewith, except for any expenses in maintaining, repairing or operating the Premises paid by Tenant directly or otherwise pursuant to the express provisions of this Lease, such expenses, costs and disbursements being in addition to other expenses and charges provided elsewhere in this Lease and include but are not limited to the following: all services provided by Landlord for the Premises; ad valorem taxes (or other governmental taxes or levies on the rents, the Building and the Property); electricity, natural gas, water (including for the Premises), sewer and all other utilities including power for heating, lighting, air conditioning and ventilating; repair, maintenance and replacement of the ventilation, heating and air conditioning system(s) (“HVAC”) which do not exclusively serve one tenant in the Building; payments made under any maintenance and service contracts for the HVAC, the Building and the equipment used in connection therewith;</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window cleaning; janitorial services for Common Areas; trash, debris and garbage removal and disposal; exterminating and pest control (for the exterior of the Building); snow and ice removal; garage and parking lot operators; elevator maintenance; waste recycling service for Common Areas; landscaping maintenance and customary landscaping replacement; restriping and repairing the parking areas; insurance, including but not limited to fire, extended coverage, liability, workers’ compensation, elevator and any other insurance carried in good faith by the Landlord and applicable to the Property; painting; uniforms; customary property management fees; supplies; sundries; sales or use taxes on supplies or services; costs of all supplies, tools, equipment, materials and replacements used in the operation, management, repair, maintenance and access control of the Property; repairing and maintaining utility lines which do not exclusively serve one tenant in the Building; providing Property identification signs; periodic repainting of exterior walls of the Building (including steam cleaning or sandblasting thereof or other graffiti-removal procedures); repairing and maintaining overhead canopies at the Building; repairing and maintaining sprinklers and sprinkler-risers serving the Premises and the Building of which the Premises are a part, but which do not exclusively serve one tenant in the Building; repairing and maintaining sidewalks; wages and salaries (whether direct or indirect as reasonably allocated by Landlord) of all persons engaged in the management, operation and maintenance of the Building and so-called fringe benefits, or any other cost or expenses which the Landlord pays or incurs to provide benefits for employees so engaged in the management, operation and maintenance of the Building; the charges of any independent contractor who under contract with the Landlord or Agent does any of the work of operating or maintaining the Building; the costs and expenses incurred by Landlord in connection with the maintenance, operation and repair of any common facilities, including roadways, private driveways, plaza areas, walkways, utility lines, pipes, wires, cables and other utility facilities, retention facilities, storm and sanitary sewers, culverts, drains, headwalls, manholes and related equipment, parking, grounds and landscaping, and shared hallways, lobbies, corridors, elevators, entrances and exits, restrooms and stairways, now or servicing the Property and the Premises (and not exclusively another tenant); legal and accounting expenses, including but not limited to such expenses as relate to seeking or obtaining reductions in and refunds of real estate taxes, or any other expense or charge, whether or not hereinbefore mentioned, which in accordance with generally accepted accounting and management principles would be considered as an expense of maintaining, operating, or repairing the Building. If any Building expense, though paid in one year, relates to more than one calendar year, at the option of the Landlord such expense may be proportionately allocated among such related calendar years.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"Operating Costs" shall not include the items set forth on Exhibit “I” attached 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the Building is not fully occupied during any given Calendar Year, the Operating Costs shall be equitably adjusted, so that such of those expenses as constitute variable rather than fixed costs (as determined in accordance with sound accounting practices and principles) shall be adjusted to reflect vacancies in the Building by projecting such variable costs as though the Building were fully occupied throughout such Calendar Year; provided, however, that in no event shall Landlord, by reason of any such adjustment, be entitled to receive more than 100% of the actual Operating Costs.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 respect to the first Calendar Year falling in whole or in part within the Term, Tenant shall pay to Landlord one-twelfth (1/12) of Landlord’s good faith estimate of the increase for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immediately following Calendar Year of the Operating Costs over the Operating Costs for the Base Year as Additional Rent on a monthly basis in advance on the first day of each month, which Increase shall then be reconciled between Landlord and Tenant at the end of the year. The actual amount of the Increase payable with respect to the portion of the Term following the Base Year shall be an amount equal to the product obtained by multiplying the Tenant’s Share by the increase in Operating Costs for the Calendar Year or partial Calendar Year in question over the Operating Costs for the Base Year. As soon as practicable after the close of each Calendar Year, but in no event later than March 31 of the following Calendar Year, Landlord shall deliver to Tenant a statement of the Additional Rent for the immediately preceding Calendar Year (“Operating Costs Statement”), setting forth in reasonable detail the Operating Costs for such Calendar Year and the calculation of the Additional Rent due as a result thereof. If such Operating Costs Statement shows an amount owing by Tenant that is less that the total of the payments actually made by the Tenant for the immediately preceding Calendar Year, Tenant shall be credited for such excess against the next monthly payment(s) of Rent. If such Operating Costs Statement shows an amount owing by the Tenant that is more than the payments actually made by the Tenant for the immediately preceding Calendar Year, Tenant shall pay the deficiency to Landlord within thirty (30) days after delivery of the Operating Costs Statement. Notwithstanding the foregoing, any operating costs properly and reasonably attributable to the Premises shall be added to Tenant’s Additional Rent without regard to Tenant’s Share.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or before December 31 of each Calendar Year during the Lease Term, or as soon thereafter as practicable, Landlord shall give Tenant written notice of its reasonable estimate of the Increase for the next ensuing Calendar Year, with good faith calculations of the estimated increase for the next ensuing Calendar Year of the Operating Costs over the Operating Costs for the Base Year. Commencing January 1 of the next year, Tenant shall pay to Landlord one-twelfth (1/12) of such estimated Increase Rent on a monthly basis in advance on the first day of each month. If notice of Landlord’s estimate of the Increase is not given prior to December 31 during the next Calendar Year, Tenant shall continue to pay the monthly payment based on the Increase computed for the previous Calendar Year until the month after such notice is given.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Landlord’s failure during the Term to make a demand for the payment of Operating Costs within two (2) years of the expiration of the Calendar Year in question shall be deemed a waiver by Landlord of Landlord’s right to collect any of the foregoing items of Additional Rent which may have become due during the Term.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Each Operating Costs Statement shall be conclusive and binding upon Tenant, unless within six (6) months after receipt of such Operating Costs Statement, Tenant shall notify Landlord that it disputes the correctness of Operating Costs Statement, specifying the particular respects in which Operating Costs Statement is claimed to be incorrect. Pending the determination of such dispute, Tenant shall pay Additional Rent in accordance with the applicable Operating Costs Statement, without prejudice to Tenant’s position. If such dispute is ultimately determined in Tenant’s favor, Landlord shall promptly upon such determination pay to Tenant any amounts so overpaid by Tenant or, at Landlord’s election, credit such excess against subsequent payments under this Section 6.03. In connection with the foregoing, Tenant shall have the right to inspect and/or audit Landlord’s books and records relating to Operating Costs, provided (i) notice is given to Landlord within one year after such Operating Costs Statement is sent, (ii) such audit is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completed within 60 days after it has commenced, and (iii) such audit shall be conducted by an employee of Tenant or Tenant’s accountant who is not being compensated on a contingency basis. The party conducting such audit shall execute and deliver to Landlord a confidentiality agreement in reasonable form, containing customary and industry-standard exceptions and carveouts. If Tenant’s inspection and/or audit reflects an overpayment of more than five percent (5%) (but at least $5,000), Landlord shall, in addition to refunding such overpayment, reimburse Tenant for the reasonable out-of-pocket cost of such inspection and/or audit. The obligations to make any payments under this Section 6.03 for the last year of the Term shall be appropriately adjusted.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Tenant’s Share, as that term is used in this paragraph, shall be 15.13%, subject to adjustment in the event of any change in the rentable square feet in the Building. Tenant’s Share is determined by dividing the number of rentable square feet in the Premises by the number of rentable square feet in the Building, which Landlord represents is 53,656 rentable square feet as of the Effective Date.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32.</w:t>
      </w:r>
    </w:p>
    <w:p>
      <w:pPr>
        <w:pStyle w:val="TextBody"/>
        <w:bidi w:val="0"/>
        <w:jc w:val="both"/>
        <w:rPr/>
      </w:pPr>
      <w:r>
        <w:rPr>
          <w:rFonts w:ascii="Times New Roman" w:hAnsi="Times New Roman"/>
          <w:b/>
          <w:color w:val="000000"/>
          <w:sz w:val="24"/>
        </w:rPr>
        <w:t xml:space="preserve">ALTERATIONS; LANDLORD AND TENANT IMPROVEMENTS </w:t>
      </w:r>
      <w:r>
        <w:rPr>
          <w:rFonts w:ascii="Times New Roman" w:hAnsi="Times New Roman"/>
          <w:b/>
          <w:i/>
          <w:color w:val="000000"/>
          <w:sz w:val="24"/>
        </w:rPr>
        <w:t>(See Exhibit D)</w:t>
      </w:r>
      <w:r>
        <w:rPr>
          <w:rFonts w:ascii="Times New Roman" w:hAnsi="Times New Roman"/>
          <w:b/>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All future alterations, additions, or improvements in or to the Premises by or on behalf of Tenant (collectively, “Alterations”) shall require the prior written consent of Landlord, which consent shall not be unreasonably withheld, conditioned or delayed, in the form provided as </w:t>
      </w:r>
      <w:r>
        <w:rPr>
          <w:rFonts w:ascii="Times New Roman" w:hAnsi="Times New Roman"/>
          <w:b/>
          <w:i/>
          <w:color w:val="000000"/>
          <w:sz w:val="24"/>
        </w:rPr>
        <w:t>Exhibit “E-2”</w:t>
      </w:r>
      <w:r>
        <w:rPr>
          <w:rFonts w:ascii="Times New Roman" w:hAnsi="Times New Roman"/>
          <w:color w:val="000000"/>
          <w:sz w:val="20"/>
        </w:rPr>
        <w:t xml:space="preserve"> </w:t>
      </w:r>
      <w:r>
        <w:rPr>
          <w:rFonts w:ascii="Times New Roman" w:hAnsi="Times New Roman"/>
          <w:color w:val="000000"/>
          <w:sz w:val="24"/>
        </w:rPr>
        <w:t>herein, except that Landlord’s consent shall not be required for any nonstructural Alteration entirely within the Premises that is entirely decorative in nature (i.e., carpeting, painting or other wall covering, window treatments, tiling, finishes, doors, shelving, vanities, cabinetry, countertops, light fixtures and appliances, installation or removal of furniture, fixtures and equipment and hanging pictures), and does not require the approval of any governmental authority. Notwithstanding Landlord’s consent to such future improvements, or the performance of improvements by a contractor approved by or affiliated with Landlord, Tenant acknowledges and agrees that all improvements performed by or on behalf of Tenant shall be conducted in a good and workmanlike manner, using new or like-new materials, and in compliance with all Applicable Laws, and at Tenant’s risk and at Tenant’s sole cost and expense. Tenant shall obtain Landlord’s prior written consent, which shall not be unreasonably withheld, conditioned or delayed, with respect to any third-party contractor Tenant desires to engage for the performance of any Alterations requiring Landlord’s consent. Tenant’s contractors shall be licensed in the State of Alabama, bonded (if such contractor’s work will exceed $25,000 in cost), and insured in accordance with standard industry practices and to be approved by Landlord prior to the commencement of any Alterations, in its reasonable discretion. All Alterations, except only office furniture and equipment, modular installations, lab equipment and fixtures, and other additions which shall be readily removable without injury to the Premises, shall be and remain a part of the Premises at the expiration of this Lease. Landlord reserves the right to require Tenant to remove only such improvements or additions at the termination hereof which constitute Specialty Alterations by providing written notice of such removal at the time such Specialty Alterations are installed. Landlord may, at its election, to the extent not performed by Tenant, repair any damage to the Premises caused by or in connection with the removal of any articles of personal property, business or trade fixtures, alterations, improvements and installations, and all reasonable costs for such repairs shall be at Tenant’s expense. The term “Specialty Alterations“ shall mean alterations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that (i) perforate a floor slab in the Premises, (ii) require the reinforcement of a floor slab in the Premises, (iii) consist of the installation of a raised flooring system, (iv) consist of the installation of a vault or other similar device or system that is intended to secure the Premises or a portion thereof in a manner that exceeds the level of security that a reasonable person uses for ordinary office space, (v) involve material plumbing connections (such as kitchens and executive bathrooms outside of the Building core), (vi) consist of the installation or removal of any mezzanine or platform or (vi) consist of the installation of any vertical transportation system.</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33.</w:t>
      </w:r>
    </w:p>
    <w:p>
      <w:pPr>
        <w:pStyle w:val="TextBody"/>
        <w:bidi w:val="0"/>
        <w:jc w:val="both"/>
        <w:rPr>
          <w:rFonts w:ascii="Times New Roman" w:hAnsi="Times New Roman"/>
          <w:b/>
          <w:color w:val="000000"/>
          <w:sz w:val="24"/>
        </w:rPr>
      </w:pPr>
      <w:r>
        <w:rPr>
          <w:rFonts w:ascii="Times New Roman" w:hAnsi="Times New Roman"/>
          <w:b/>
          <w:color w:val="000000"/>
          <w:sz w:val="24"/>
        </w:rPr>
        <w:t>TENANT SPECIAL EVENTS, SERVICES, &amp; CIRCUMSTANCES; TRADEMARKS: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special events conducted or hosted by Tenant or special services provided in connection with Tenant’s use or occupancy of the Premises (including but not limited to activities outside of the ordinary conduct of Tenant’s normal trade or business, use of extraordinary building services or utilities, or use of building areas outside of the Premises) shall be subject to Landlord’s prior approval, not to be unreasonably withheld, conditioned or delayed. Tenant shall bear the additional cost of any such special events or services associated therewith, including payment of a reasonable special event fee to Agent and execution of an indemnification agreement (in reasonable form prepared by Landlord) with Landlord related to such event.</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34.</w:t>
      </w:r>
    </w:p>
    <w:p>
      <w:pPr>
        <w:pStyle w:val="TextBody"/>
        <w:bidi w:val="0"/>
        <w:jc w:val="both"/>
        <w:rPr>
          <w:rFonts w:ascii="Times New Roman" w:hAnsi="Times New Roman"/>
          <w:b/>
          <w:color w:val="000000"/>
          <w:sz w:val="24"/>
        </w:rPr>
      </w:pPr>
      <w:r>
        <w:rPr>
          <w:rFonts w:ascii="Times New Roman" w:hAnsi="Times New Roman"/>
          <w:b/>
          <w:color w:val="000000"/>
          <w:sz w:val="24"/>
        </w:rPr>
        <w:t>BUILDING HOURS; TENANT HOURS OF OPERATION: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Tenant will have access to and may operate within the Premises twenty-four (24) hours a day, seven (7) days a week. Landlord shall provide access through the Building lobby by means of a card key or keypad system which shall be in good working order as of the Commencement Date and which shall be maintained by Landlord at its sole cost and expense.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35.</w:t>
      </w:r>
    </w:p>
    <w:p>
      <w:pPr>
        <w:pStyle w:val="TextBody"/>
        <w:bidi w:val="0"/>
        <w:jc w:val="both"/>
        <w:rPr>
          <w:rFonts w:ascii="Times New Roman" w:hAnsi="Times New Roman"/>
          <w:b/>
          <w:color w:val="000000"/>
          <w:sz w:val="24"/>
        </w:rPr>
      </w:pPr>
      <w:r>
        <w:rPr>
          <w:rFonts w:ascii="Times New Roman" w:hAnsi="Times New Roman"/>
          <w:b/>
          <w:color w:val="000000"/>
          <w:sz w:val="24"/>
        </w:rPr>
        <w:t xml:space="preserve">INTENTIONALLY DELETED: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36.</w:t>
      </w:r>
    </w:p>
    <w:p>
      <w:pPr>
        <w:pStyle w:val="TextBody"/>
        <w:bidi w:val="0"/>
        <w:jc w:val="both"/>
        <w:rPr>
          <w:rFonts w:ascii="Times New Roman" w:hAnsi="Times New Roman"/>
          <w:b/>
          <w:color w:val="000000"/>
          <w:sz w:val="24"/>
        </w:rPr>
      </w:pPr>
      <w:r>
        <w:rPr>
          <w:rFonts w:ascii="Times New Roman" w:hAnsi="Times New Roman"/>
          <w:b/>
          <w:color w:val="000000"/>
          <w:sz w:val="24"/>
        </w:rPr>
        <w:t>FORCE MAJEURE: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the event of strike, lockout, labor trouble, civil commotion, Act of God, incidence of disease or other illness that reaches outbreak, epidemic and/or pandemic proportions or any other cause beyond a party's control (collectively "Force Majeure") resulting in the Landlord's inability to supply the services or perform the other obligations required of Landlord hereunder, this Lease shall not terminate and Tenant's obligation to pay Rent and all other charges and sums due and payable by Tenant shall not be affected or excused and Landlord shall not be considered to be in default under this Lease. If, as a result of Force Majeure, Tenant is delayed in performing any of its obligations under this Lease, other than Tenant's obligation to pay Rent and all other charges and sums payable by Tenant hereunder, Tenant's performance shall be excused for a period equal to such delay and Tenant shall not during such period be considered to be in default under this Lease with respect to the obligation, performance of which has thus been delayed.</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37.</w:t>
      </w:r>
    </w:p>
    <w:p>
      <w:pPr>
        <w:pStyle w:val="TextBody"/>
        <w:bidi w:val="0"/>
        <w:jc w:val="both"/>
        <w:rPr>
          <w:rFonts w:ascii="Times New Roman" w:hAnsi="Times New Roman"/>
          <w:b/>
          <w:color w:val="000000"/>
          <w:sz w:val="24"/>
        </w:rPr>
      </w:pPr>
      <w:r>
        <w:rPr>
          <w:rFonts w:ascii="Times New Roman" w:hAnsi="Times New Roman"/>
          <w:b/>
          <w:color w:val="000000"/>
          <w:sz w:val="24"/>
        </w:rPr>
        <w:t>SEVERABILITY:</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any clause or provision of this Lease is illegal, invalid or unenforceable under present or future laws, the remainder of this Lease shall not be affected thereby, and in lieu of each clause or provision of this Lease which is illegal, invalid or unenforceable, there shall be added as a part of this Lease a clause or provision as nearly identical to the said clause or provision as may be legal, valid and enforceable.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38.</w:t>
      </w:r>
    </w:p>
    <w:p>
      <w:pPr>
        <w:pStyle w:val="TextBody"/>
        <w:bidi w:val="0"/>
        <w:jc w:val="both"/>
        <w:rPr>
          <w:rFonts w:ascii="Times New Roman" w:hAnsi="Times New Roman"/>
          <w:b/>
          <w:color w:val="000000"/>
          <w:sz w:val="24"/>
        </w:rPr>
      </w:pPr>
      <w:r>
        <w:rPr>
          <w:rFonts w:ascii="Times New Roman" w:hAnsi="Times New Roman"/>
          <w:b/>
          <w:color w:val="000000"/>
          <w:sz w:val="24"/>
        </w:rPr>
        <w:t>HEADINGS: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use of headings herein is solely for the convenience of indexing the various paragraphs hereof and shall in no event be considered in construing or interpreting any provision of this Lease.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39.</w:t>
      </w:r>
    </w:p>
    <w:p>
      <w:pPr>
        <w:pStyle w:val="TextBody"/>
        <w:bidi w:val="0"/>
        <w:jc w:val="both"/>
        <w:rPr>
          <w:rFonts w:ascii="Times New Roman" w:hAnsi="Times New Roman"/>
          <w:b/>
          <w:color w:val="000000"/>
          <w:sz w:val="24"/>
        </w:rPr>
      </w:pPr>
      <w:r>
        <w:rPr>
          <w:rFonts w:ascii="Times New Roman" w:hAnsi="Times New Roman"/>
          <w:b/>
          <w:color w:val="000000"/>
          <w:sz w:val="24"/>
        </w:rPr>
        <w:t>GOVERNING LAW: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laws of the State of Alabama shall govern the validity, performance and enforcement of this Lease.</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40.</w:t>
      </w:r>
    </w:p>
    <w:p>
      <w:pPr>
        <w:pStyle w:val="TextBody"/>
        <w:bidi w:val="0"/>
        <w:jc w:val="both"/>
        <w:rPr>
          <w:rFonts w:ascii="Times New Roman" w:hAnsi="Times New Roman"/>
          <w:b/>
          <w:color w:val="000000"/>
          <w:sz w:val="24"/>
        </w:rPr>
      </w:pPr>
      <w:r>
        <w:rPr>
          <w:rFonts w:ascii="Times New Roman" w:hAnsi="Times New Roman"/>
          <w:b/>
          <w:color w:val="000000"/>
          <w:sz w:val="24"/>
        </w:rPr>
        <w:t xml:space="preserve">COMPLETED DOCUMENT: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submission of this Lease for examination by Tenant does not constitute an offer or option to lease the Premises and it is not intended as a reservation of the Premises for the benefit of Tenant. On the contrary, it is expressly understood that this Lease shall not be effective or binding upon the parties until it is fully and properly executed by Tenant and Landlord and delivered to all parties.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41.</w:t>
      </w:r>
    </w:p>
    <w:p>
      <w:pPr>
        <w:pStyle w:val="TextBody"/>
        <w:bidi w:val="0"/>
        <w:jc w:val="both"/>
        <w:rPr>
          <w:rFonts w:ascii="Times New Roman" w:hAnsi="Times New Roman"/>
          <w:b/>
          <w:color w:val="000000"/>
          <w:sz w:val="24"/>
        </w:rPr>
      </w:pPr>
      <w:r>
        <w:rPr>
          <w:rFonts w:ascii="Times New Roman" w:hAnsi="Times New Roman"/>
          <w:b/>
          <w:color w:val="000000"/>
          <w:sz w:val="24"/>
        </w:rPr>
        <w:t>MOLD AND MILDEW.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It is agreed and understood that mold, mildew, fungi, mycotoxins, and microbiological organisms (collectively, “Mold”) are present essentially everywhere. Tenant acknowledges and understands that Mold can grow in any location, including within the Premises. Landlord places the burden on Tenant to properly prevent moisture in the Premises through good housekeeping and ventilation practices. Tenant acknowledges the necessity of housekeeping, ventilation, and moisture control (especially in kitchens, bathrooms, beneath cabinets and around outside walls) for Mold prevention. In signing this Lease, Tenant has first inspected the Premises and certifies that Tenant has not observed Mold or moisture within the Premises. Tenant agrees to immediately report to the Landlord in writing: (1) any evidence of a water leak or excessive moisture in the Premises, as well as in any storage room, garage, or other common area; (2) any evidence of Mold or mildew-like growth that cannot be removed by simply applying a common household cleaner and wiping the area; and (3) any failure or malfunction in the heating, ventilation, or air conditioning system in the Premises. Landlord shall not be responsible for damages arising from or related to the presence of Mold and associated conditions, and Tenant hereby waives all rights to damages and subrogation of damages from Landlord except to the extent due to Landlord’s gross negligence or willful misconduct or failure to comply with its obligations under this Lease. Tenant shall indemnify Landlord and hold Landlord harmless from actual damages, including all cases of personal injury or property damage, caused by the presence of Mold and/or water or moisture in the Premises or in other portions of the Building damages are caused by or otherwise related to Tenant’s negligence in: (i) the creation of, failure to prevent, or failure to address any Mold or excessive moisture or water and the sources of same by Tenant, (ii) the failure to properly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maintain, replace, and monitor the Premises, or (iii) the failure to promptly take appropriate corrective measures, make appropriate repairs or replacements, and minimize any damage caused by water, moisture, or Mold (including, without limitation, failure to promptly notify and engage the help of appropriate professionals or experts).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42.</w:t>
      </w:r>
    </w:p>
    <w:p>
      <w:pPr>
        <w:pStyle w:val="TextBody"/>
        <w:bidi w:val="0"/>
        <w:jc w:val="left"/>
        <w:rPr>
          <w:rFonts w:ascii="Times New Roman" w:hAnsi="Times New Roman"/>
          <w:b/>
          <w:color w:val="000000"/>
          <w:sz w:val="24"/>
        </w:rPr>
      </w:pPr>
      <w:r>
        <w:rPr>
          <w:rFonts w:ascii="Times New Roman" w:hAnsi="Times New Roman"/>
          <w:b/>
          <w:color w:val="000000"/>
          <w:sz w:val="24"/>
        </w:rPr>
        <w:t xml:space="preserve">BROKERS.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Tenant warrants that it has had no dealings with any real estate broker or agent in connection with the negotiation of this Lease. Landlord warrants that it has had no dealings with any real estate broker or agent in connection with the negotiation of this Lease, other than Agent (“Landlord’s Broker”). Landlord shall be responsible for paying a commission to Landlord’s Broker. If Tenant has dealt with any person or real estate broker with respect to leasing or renting space in the Building, other than Landlord’s Broker, Tenant shall be solely responsible for the payment of any fee due said person or firm and Tenant shall hold Landlord free and harmless against any liability in respect thereto, including attorneys’ fees and costs. If Landlord has dealt with any person or real estate broker with respect to leasing or renting space in the Building to Tenant, Landlord shall be solely responsible for the payment of any fee due said person or firm and Landlord shall hold Tenant free and harmless against any liability in respect thereto, including attorneys’ fees and costs.</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43.</w:t>
      </w:r>
    </w:p>
    <w:p>
      <w:pPr>
        <w:pStyle w:val="TextBody"/>
        <w:bidi w:val="0"/>
        <w:jc w:val="both"/>
        <w:rPr>
          <w:rFonts w:ascii="Times New Roman" w:hAnsi="Times New Roman"/>
          <w:b/>
          <w:color w:val="000000"/>
          <w:sz w:val="24"/>
        </w:rPr>
      </w:pPr>
      <w:r>
        <w:rPr>
          <w:rFonts w:ascii="Times New Roman" w:hAnsi="Times New Roman"/>
          <w:b/>
          <w:color w:val="000000"/>
          <w:sz w:val="24"/>
        </w:rPr>
        <w:t>ACCEPTANCE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Following the Commencement Date, the Landlord shall deliver to Tenant an Acceptance Agreement, in a form substantially similar to that attached as </w:t>
      </w:r>
      <w:r>
        <w:rPr>
          <w:rFonts w:ascii="Times New Roman" w:hAnsi="Times New Roman"/>
          <w:b/>
          <w:color w:val="000000"/>
          <w:sz w:val="24"/>
        </w:rPr>
        <w:t>EXHIBIT “H”</w:t>
      </w:r>
      <w:r>
        <w:rPr>
          <w:rFonts w:ascii="Times New Roman" w:hAnsi="Times New Roman"/>
          <w:color w:val="000000"/>
          <w:sz w:val="24"/>
        </w:rPr>
        <w:t>, confirming, among other things, the Commencement Date, Rent Commencement Date, and expiration date of the Term of the Lease; and (ii) that Tenant has accepted the Premises; provided, however, the failure of Landlord to provide such Acceptance Agreement shall not defer the Commencement Date or Rent Commencement Date, or otherwise invalidate this Lease. Tenant’s failure to execute and return the Acceptance Agreement to Landlord within forty-five (45) days of receipt thereof from Landlord shall be deemed Tenant’s agreement to the contents of such document in the form prepared by Landlord and submitted to Tenant.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44.</w:t>
      </w:r>
    </w:p>
    <w:p>
      <w:pPr>
        <w:pStyle w:val="TextBody"/>
        <w:bidi w:val="0"/>
        <w:jc w:val="both"/>
        <w:rPr/>
      </w:pPr>
      <w:r>
        <w:rPr>
          <w:rFonts w:ascii="Times New Roman" w:hAnsi="Times New Roman"/>
          <w:b/>
          <w:color w:val="000000"/>
          <w:sz w:val="24"/>
        </w:rPr>
        <w:t>COMMON AREAS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Landlord shall not take or permit any of the following actions without Tenant’s prior written consent in any manner that would interfere with the Tenant’s use of or access to the Premises: (a) close or alter any portion of the entranceways, hallways, stairways, exits, elevators or other accessways to and from the Premises, except for short term closures for maintenance or emergencies, or (b) close or alter or change the location of, or eliminate or reduce any portion of the Common Areas adjacent to the Premises, except for short term closures for maintenance or emergencies.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FURTHER TERMS AND CONDITIONS OF THIS LEASE, IF ANY, ARE ATTACHED AS </w:t>
      </w:r>
      <w:r>
        <w:rPr>
          <w:rFonts w:ascii="Times New Roman" w:hAnsi="Times New Roman"/>
          <w:b/>
          <w:i/>
          <w:color w:val="000000"/>
          <w:sz w:val="24"/>
        </w:rPr>
        <w:t>EXHIBIT "C"</w:t>
      </w:r>
      <w:r>
        <w:rPr>
          <w:rFonts w:ascii="Times New Roman" w:hAnsi="Times New Roman"/>
          <w:color w:val="000000"/>
          <w:sz w:val="20"/>
        </w:rPr>
        <w:t xml:space="preserve"> </w:t>
      </w:r>
      <w:r>
        <w:rPr>
          <w:rFonts w:ascii="Times New Roman" w:hAnsi="Times New Roman"/>
          <w:b/>
          <w:color w:val="000000"/>
          <w:sz w:val="24"/>
        </w:rPr>
        <w:t xml:space="preserve">AND MADE A PART HEREOF. IN THE EVENT OF A CONFLICT BETWEEN PROVISION HEREOF AND THOSE SET FORTH IN </w:t>
      </w:r>
      <w:r>
        <w:rPr>
          <w:rFonts w:ascii="Times New Roman" w:hAnsi="Times New Roman"/>
          <w:b/>
          <w:i/>
          <w:color w:val="000000"/>
          <w:sz w:val="24"/>
        </w:rPr>
        <w:t>EXHIBIT "C"</w:t>
      </w:r>
      <w:r>
        <w:rPr>
          <w:rFonts w:ascii="Times New Roman" w:hAnsi="Times New Roman"/>
          <w:b/>
          <w:color w:val="000000"/>
          <w:sz w:val="24"/>
        </w:rPr>
        <w:t xml:space="preserve">, THE PROVISIONS OF </w:t>
      </w:r>
      <w:r>
        <w:rPr>
          <w:rFonts w:ascii="Times New Roman" w:hAnsi="Times New Roman"/>
          <w:b/>
          <w:i/>
          <w:color w:val="000000"/>
          <w:sz w:val="24"/>
        </w:rPr>
        <w:t>EXHIBIT "C"</w:t>
      </w:r>
      <w:r>
        <w:rPr>
          <w:rFonts w:ascii="Times New Roman" w:hAnsi="Times New Roman"/>
          <w:color w:val="000000"/>
          <w:sz w:val="20"/>
        </w:rPr>
        <w:t xml:space="preserve"> </w:t>
      </w:r>
      <w:r>
        <w:rPr>
          <w:rFonts w:ascii="Times New Roman" w:hAnsi="Times New Roman"/>
          <w:b/>
          <w:color w:val="000000"/>
          <w:sz w:val="24"/>
        </w:rPr>
        <w:t>SHALL CONTROL.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DONE AND EXECUTED</w:t>
      </w:r>
      <w:r>
        <w:rPr>
          <w:rFonts w:ascii="Times New Roman" w:hAnsi="Times New Roman"/>
          <w:color w:val="000000"/>
          <w:sz w:val="20"/>
        </w:rPr>
        <w:t xml:space="preserve"> </w:t>
      </w:r>
      <w:r>
        <w:rPr>
          <w:rFonts w:ascii="Times New Roman" w:hAnsi="Times New Roman"/>
          <w:color w:val="000000"/>
          <w:sz w:val="24"/>
        </w:rPr>
        <w:t>as of the 16th day of March, 2024.</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WITNESS(ES): LANDLORD: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Sloss Martin Biscuit, Ltd.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By: Sloss Real Estate Company, Inc.,</w:t>
      </w:r>
    </w:p>
    <w:p>
      <w:pPr>
        <w:pStyle w:val="TextBody"/>
        <w:bidi w:val="0"/>
        <w:jc w:val="both"/>
        <w:rPr>
          <w:rFonts w:ascii="Times New Roman" w:hAnsi="Times New Roman"/>
          <w:b/>
          <w:color w:val="000000"/>
          <w:sz w:val="24"/>
        </w:rPr>
      </w:pPr>
      <w:r>
        <w:rPr>
          <w:rFonts w:ascii="Times New Roman" w:hAnsi="Times New Roman"/>
          <w:b/>
          <w:color w:val="000000"/>
          <w:sz w:val="24"/>
        </w:rPr>
        <w:t>its Agent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R. Scott Pulliam </w:t>
      </w:r>
    </w:p>
    <w:p>
      <w:pPr>
        <w:pStyle w:val="TextBody"/>
        <w:bidi w:val="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 xml:space="preserve">R. Scott Pulliam </w:t>
      </w:r>
    </w:p>
    <w:p>
      <w:pPr>
        <w:pStyle w:val="TextBody"/>
        <w:bidi w:val="0"/>
        <w:jc w:val="both"/>
        <w:rPr>
          <w:rFonts w:ascii="Times New Roman" w:hAnsi="Times New Roman"/>
          <w:sz w:val="20"/>
        </w:rPr>
      </w:pPr>
      <w:r>
        <w:rPr>
          <w:rFonts w:ascii="Times New Roman" w:hAnsi="Times New Roman"/>
          <w:color w:val="000000"/>
          <w:sz w:val="24"/>
        </w:rPr>
        <w:t xml:space="preserve">Its: </w:t>
      </w:r>
      <w:r>
        <w:rPr>
          <w:rFonts w:ascii="Times New Roman" w:hAnsi="Times New Roman"/>
          <w:color w:val="000000"/>
          <w:sz w:val="24"/>
          <w:u w:val="single"/>
        </w:rPr>
        <w:t xml:space="preserve">President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Landlord’s Notice Address:</w:t>
      </w:r>
    </w:p>
    <w:p>
      <w:pPr>
        <w:pStyle w:val="TextBody"/>
        <w:bidi w:val="0"/>
        <w:jc w:val="both"/>
        <w:rPr>
          <w:rFonts w:ascii="Times New Roman" w:hAnsi="Times New Roman"/>
          <w:color w:val="000000"/>
          <w:sz w:val="24"/>
        </w:rPr>
      </w:pPr>
      <w:r>
        <w:rPr>
          <w:rFonts w:ascii="Times New Roman" w:hAnsi="Times New Roman"/>
          <w:color w:val="000000"/>
          <w:sz w:val="24"/>
        </w:rPr>
        <w:t>c/o Sloss Real Estate Company, Inc.</w:t>
      </w:r>
    </w:p>
    <w:p>
      <w:pPr>
        <w:pStyle w:val="TextBody"/>
        <w:bidi w:val="0"/>
        <w:jc w:val="both"/>
        <w:rPr>
          <w:rFonts w:ascii="Times New Roman" w:hAnsi="Times New Roman"/>
          <w:sz w:val="20"/>
        </w:rPr>
      </w:pPr>
      <w:r>
        <w:rPr>
          <w:rFonts w:ascii="Times New Roman" w:hAnsi="Times New Roman"/>
          <w:color w:val="000000"/>
          <w:sz w:val="24"/>
        </w:rPr>
        <w:t>1130 22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Street South,</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Suite 3500</w:t>
      </w:r>
    </w:p>
    <w:p>
      <w:pPr>
        <w:pStyle w:val="TextBody"/>
        <w:bidi w:val="0"/>
        <w:jc w:val="both"/>
        <w:rPr>
          <w:rFonts w:ascii="Times New Roman" w:hAnsi="Times New Roman"/>
          <w:color w:val="000000"/>
          <w:sz w:val="24"/>
        </w:rPr>
      </w:pPr>
      <w:r>
        <w:rPr>
          <w:rFonts w:ascii="Times New Roman" w:hAnsi="Times New Roman"/>
          <w:color w:val="000000"/>
          <w:sz w:val="24"/>
        </w:rPr>
        <w:t>Birmingham, Alabama 35205</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TENANT: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In8bio,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William Ho </w:t>
      </w:r>
    </w:p>
    <w:p>
      <w:pPr>
        <w:pStyle w:val="TextBody"/>
        <w:bidi w:val="0"/>
        <w:jc w:val="both"/>
        <w:rPr>
          <w:rFonts w:ascii="Times New Roman" w:hAnsi="Times New Roman"/>
          <w:color w:val="000000"/>
          <w:sz w:val="24"/>
        </w:rPr>
      </w:pPr>
      <w:r>
        <w:rPr>
          <w:rFonts w:ascii="Times New Roman" w:hAnsi="Times New Roman"/>
          <w:color w:val="000000"/>
          <w:sz w:val="24"/>
        </w:rPr>
        <w:t>Name: William Ho</w:t>
      </w:r>
    </w:p>
    <w:p>
      <w:pPr>
        <w:pStyle w:val="TextBody"/>
        <w:bidi w:val="0"/>
        <w:jc w:val="both"/>
        <w:rPr>
          <w:rFonts w:ascii="Times New Roman" w:hAnsi="Times New Roman"/>
          <w:color w:val="000000"/>
          <w:sz w:val="24"/>
        </w:rPr>
      </w:pPr>
      <w:r>
        <w:rPr>
          <w:rFonts w:ascii="Times New Roman" w:hAnsi="Times New Roman"/>
          <w:color w:val="000000"/>
          <w:sz w:val="24"/>
        </w:rPr>
        <w:t>Its: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Kate Rochlin </w:t>
      </w:r>
    </w:p>
    <w:p>
      <w:pPr>
        <w:pStyle w:val="TextBody"/>
        <w:bidi w:val="0"/>
        <w:jc w:val="both"/>
        <w:rPr>
          <w:rFonts w:ascii="Times New Roman" w:hAnsi="Times New Roman"/>
          <w:color w:val="000000"/>
          <w:sz w:val="24"/>
        </w:rPr>
      </w:pPr>
      <w:r>
        <w:rPr>
          <w:rFonts w:ascii="Times New Roman" w:hAnsi="Times New Roman"/>
          <w:color w:val="000000"/>
          <w:sz w:val="24"/>
        </w:rPr>
        <w:t>Name: Kate Rochlin</w:t>
      </w:r>
    </w:p>
    <w:p>
      <w:pPr>
        <w:pStyle w:val="TextBody"/>
        <w:bidi w:val="0"/>
        <w:jc w:val="both"/>
        <w:rPr>
          <w:rFonts w:ascii="Times New Roman" w:hAnsi="Times New Roman"/>
          <w:color w:val="000000"/>
          <w:sz w:val="24"/>
        </w:rPr>
      </w:pPr>
      <w:r>
        <w:rPr>
          <w:rFonts w:ascii="Times New Roman" w:hAnsi="Times New Roman"/>
          <w:color w:val="000000"/>
          <w:sz w:val="24"/>
        </w:rPr>
        <w:t>Its: Chief Operating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Tenant’s Notice Address:</w:t>
      </w:r>
    </w:p>
    <w:p>
      <w:pPr>
        <w:pStyle w:val="TextBody"/>
        <w:bidi w:val="0"/>
        <w:jc w:val="both"/>
        <w:rPr>
          <w:rFonts w:ascii="Times New Roman" w:hAnsi="Times New Roman"/>
          <w:color w:val="000000"/>
          <w:sz w:val="24"/>
        </w:rPr>
      </w:pPr>
      <w:r>
        <w:rPr>
          <w:rFonts w:ascii="Times New Roman" w:hAnsi="Times New Roman"/>
          <w:color w:val="000000"/>
          <w:sz w:val="24"/>
        </w:rPr>
        <w:t>Empire State Building</w:t>
      </w:r>
    </w:p>
    <w:p>
      <w:pPr>
        <w:pStyle w:val="TextBody"/>
        <w:bidi w:val="0"/>
        <w:jc w:val="both"/>
        <w:rPr>
          <w:rFonts w:ascii="Times New Roman" w:hAnsi="Times New Roman"/>
          <w:sz w:val="20"/>
        </w:rPr>
      </w:pPr>
      <w:r>
        <w:rPr>
          <w:rFonts w:ascii="Times New Roman" w:hAnsi="Times New Roman"/>
          <w:color w:val="000000"/>
          <w:sz w:val="24"/>
        </w:rPr>
        <w:t>350 Fifth Avenue, Suite 5330</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New York, New York 10118</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FURTHER TERMS AND CONDITIONS</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jc w:val="both"/>
        <w:rPr/>
      </w:pPr>
      <w:r>
        <w:rPr>
          <w:rFonts w:ascii="Times New Roman" w:hAnsi="Times New Roman"/>
          <w:color w:val="000000"/>
          <w:sz w:val="24"/>
          <w:u w:val="single"/>
        </w:rPr>
        <w:t>Beneficial Occupancy</w:t>
      </w:r>
      <w:r>
        <w:rPr>
          <w:rFonts w:ascii="Times New Roman" w:hAnsi="Times New Roman"/>
          <w:color w:val="000000"/>
          <w:sz w:val="24"/>
        </w:rPr>
        <w:t xml:space="preserve">: Tenant shall have the right to access the Premises prior to the Commencement Date for installation of Tenant performed improvements, telecommunications, cabling and wiring, furniture and other equipment delivery and assembly, taking measurements, visual inspections, taking photography and the creation of digital floor plans, to paint, apply wallpaper and floorcoverings, and to complete any other task necessary to prepare the Premises for the Permitted Use, so long as such activity does not cause Landlord any additional cost or delay in the delivery of the Premises. </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jc w:val="both"/>
        <w:rPr/>
      </w:pPr>
      <w:r>
        <w:rPr>
          <w:rFonts w:ascii="Times New Roman" w:hAnsi="Times New Roman"/>
          <w:color w:val="000000"/>
          <w:sz w:val="24"/>
          <w:u w:val="single"/>
        </w:rPr>
        <w:t>Extension Option</w:t>
      </w:r>
      <w:r>
        <w:rPr>
          <w:rFonts w:ascii="Times New Roman" w:hAnsi="Times New Roman"/>
          <w:color w:val="000000"/>
          <w:sz w:val="24"/>
        </w:rPr>
        <w:t xml:space="preserve">. Provided Tenant has not assigned or subleased all or any portion of the Premises (except for a Permitted Transfer), and no Event of Default then exists, Tenant shall have the right, at its option, to extend the Term of this Lease for one (1) additional five (5) year period (the “Extension Period”) upon the same terms, covenants and conditions set forth in the Lease, except Base Rent shall increase annually by three percent (3%) per annum on November 1, 2029 and on each anniversary of such date thereafter through the Extension Period, as more specifically set forth in the table below, and any terms, covenants, or conditions hereof that are expressly or by their nature inapplicable to the Extension Period shall not apply during such Extension Period. For purposes hereof, the initial Term and the Extension Period, if exercised, shall collectively be referred to as the “Term.” In order to exercise its extension option, Tenant shall be required to give written notice of its intention to extend at least one hundred twenty (120) days prior to the expiration of the initial Term. Tenant’s failure to deliver timely written notice as required above shall cause the extension option to lapse and be of no further force and effect. </w:t>
      </w:r>
    </w:p>
    <w:p>
      <w:pPr>
        <w:pStyle w:val="TextBody"/>
        <w:bidi w:val="0"/>
        <w:jc w:val="both"/>
        <w:rPr/>
      </w:pPr>
      <w:r>
        <w:rPr/>
        <w:t> </w:t>
      </w:r>
    </w:p>
    <w:tbl>
      <w:tblPr>
        <w:tblW w:w="9259" w:type="dxa"/>
        <w:jc w:val="left"/>
        <w:tblInd w:w="0" w:type="dxa"/>
        <w:tblLayout w:type="fixed"/>
        <w:tblCellMar>
          <w:top w:w="28" w:type="dxa"/>
          <w:left w:w="28" w:type="dxa"/>
          <w:bottom w:w="28" w:type="dxa"/>
          <w:right w:w="28" w:type="dxa"/>
        </w:tblCellMar>
      </w:tblPr>
      <w:tblGrid>
        <w:gridCol w:w="3811"/>
        <w:gridCol w:w="2086"/>
        <w:gridCol w:w="1606"/>
        <w:gridCol w:w="1756"/>
      </w:tblGrid>
      <w:tr>
        <w:trPr/>
        <w:tc>
          <w:tcPr>
            <w:tcW w:w="38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Lease Period</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Base Rental Per SF</w:t>
            </w:r>
          </w:p>
        </w:tc>
        <w:tc>
          <w:tcPr>
            <w:tcW w:w="1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Annual Rental</w:t>
            </w:r>
          </w:p>
        </w:tc>
        <w:tc>
          <w:tcPr>
            <w:tcW w:w="17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Monthly Rental</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April 1, 2029 – October 31, 2029</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$26.66</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$216,372.56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$18,031.05</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2029 – October 31, 2030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$27.46</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$222,865.36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$18,572.11</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2030 – October 31, 2031</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$28.29</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$229,601.64</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$19,133.47</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2031 – October 31, 2032</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$29.14</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$236,500.24</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$19,708.35</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2032 – October 31, 2033</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$30.01</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$243,561.16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$20,296.76</w:t>
            </w:r>
          </w:p>
        </w:tc>
      </w:tr>
    </w:tbl>
    <w:p>
      <w:pPr>
        <w:pStyle w:val="TextBody"/>
        <w:bidi w:val="0"/>
        <w:jc w:val="center"/>
        <w:rPr>
          <w:rFonts w:ascii="Times New Roman" w:hAnsi="Times New Roman"/>
          <w:color w:val="000000"/>
          <w:sz w:val="16"/>
        </w:rPr>
      </w:pPr>
      <w:r>
        <w:rPr>
          <w:rFonts w:ascii="Times New Roman" w:hAnsi="Times New Roman"/>
          <w:color w:val="000000"/>
          <w:sz w:val="16"/>
        </w:rPr>
        <w:t>A-1</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64" w:type="dxa"/>
        <w:jc w:val="left"/>
        <w:tblInd w:w="0" w:type="dxa"/>
        <w:tblLayout w:type="fixed"/>
        <w:tblCellMar>
          <w:top w:w="28" w:type="dxa"/>
          <w:left w:w="28" w:type="dxa"/>
          <w:bottom w:w="28" w:type="dxa"/>
          <w:right w:w="28" w:type="dxa"/>
        </w:tblCellMar>
      </w:tblPr>
      <w:tblGrid>
        <w:gridCol w:w="3661"/>
        <w:gridCol w:w="766"/>
        <w:gridCol w:w="1306"/>
        <w:gridCol w:w="1231"/>
      </w:tblGrid>
      <w:tr>
        <w:trPr/>
        <w:tc>
          <w:tcPr>
            <w:tcW w:w="36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6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2033 – March 31, 2034</w:t>
            </w:r>
          </w:p>
        </w:tc>
        <w:tc>
          <w:tcPr>
            <w:tcW w:w="7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$30.91</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$250,867.99</w:t>
            </w:r>
          </w:p>
        </w:tc>
        <w:tc>
          <w:tcPr>
            <w:tcW w:w="1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$20,905.67</w:t>
            </w:r>
          </w:p>
        </w:tc>
      </w:tr>
    </w:tbl>
    <w:p>
      <w:pPr>
        <w:pStyle w:val="TextBody"/>
        <w:bidi w:val="0"/>
        <w:jc w:val="center"/>
        <w:rPr>
          <w:rFonts w:ascii="Times New Roman" w:hAnsi="Times New Roman"/>
          <w:color w:val="000000"/>
          <w:sz w:val="16"/>
        </w:rPr>
      </w:pPr>
      <w:r>
        <w:rPr>
          <w:rFonts w:ascii="Times New Roman" w:hAnsi="Times New Roman"/>
          <w:color w:val="000000"/>
          <w:sz w:val="16"/>
        </w:rPr>
        <w:t>A-2</w:t>
      </w:r>
    </w:p>
    <w:p>
      <w:pPr>
        <w:pStyle w:val="TextBody"/>
        <w:bidi w:val="0"/>
        <w:jc w:val="left"/>
        <w:rPr>
          <w:rFonts w:ascii="Times New Roman" w:hAnsi="Times New Roman"/>
          <w:color w:val="000000"/>
          <w:sz w:val="12"/>
        </w:rPr>
      </w:pPr>
      <w:r>
        <w:rPr>
          <w:rFonts w:ascii="Times New Roman" w:hAnsi="Times New Roman"/>
          <w:color w:val="000000"/>
          <w:sz w:val="12"/>
        </w:rPr>
        <w:t>23134410.6</w:t>
      </w:r>
    </w:p>
    <w:p>
      <w:pPr>
        <w:pStyle w:val="HorizontalLine"/>
        <w:pBdr>
          <w:bottom w:val="double" w:sz="2" w:space="0" w:color="808080"/>
        </w:pBdr>
        <w:bidi w:val="0"/>
        <w:spacing w:before="0" w:after="283"/>
        <w:jc w:val="left"/>
        <w:rPr/>
      </w:pPr>
      <w:r>
        <w:rPr/>
      </w:r>
    </w:p>
    <w:p>
      <w:pPr>
        <w:pStyle w:val="TextBody"/>
        <w:bidi w:val="0"/>
        <w:jc w:val="both"/>
        <w:rPr/>
      </w:pPr>
      <w:bookmarkStart w:id="23" w:name="inab-ex10_3.htm"/>
      <w:bookmarkStart w:id="24" w:name="ksinabex10_3"/>
      <w:bookmarkEnd w:id="23"/>
      <w:bookmarkEnd w:id="24"/>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SECOND AMENDMENT TO LEASE AGREEMENT</w:t>
      </w:r>
    </w:p>
    <w:p>
      <w:pPr>
        <w:pStyle w:val="TextBody"/>
        <w:bidi w:val="0"/>
        <w:jc w:val="center"/>
        <w:rPr>
          <w:rFonts w:ascii="Times New Roman" w:hAnsi="Times New Roman"/>
          <w:b/>
          <w:color w:val="000000"/>
          <w:sz w:val="24"/>
        </w:rPr>
      </w:pPr>
      <w:r>
        <w:rPr>
          <w:rFonts w:ascii="Times New Roman" w:hAnsi="Times New Roman"/>
          <w:b/>
          <w:color w:val="000000"/>
          <w:sz w:val="24"/>
        </w:rPr>
        <w:t>(Suite 230)</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Second Amendment to Lease Agreement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xml:space="preserve">) is made and entered into as of March 16, 2024, by and between </w:t>
      </w:r>
      <w:r>
        <w:rPr>
          <w:rFonts w:ascii="Times New Roman" w:hAnsi="Times New Roman"/>
          <w:b/>
          <w:color w:val="000000"/>
          <w:sz w:val="24"/>
        </w:rPr>
        <w:t>SLOSS MARTIN BISCUIT, LTD.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SMB</w:t>
      </w:r>
      <w:r>
        <w:rPr>
          <w:rFonts w:ascii="Times New Roman" w:hAnsi="Times New Roman"/>
          <w:color w:val="000000"/>
          <w:sz w:val="20"/>
        </w:rPr>
        <w:t>”</w:t>
      </w:r>
      <w:r>
        <w:rPr>
          <w:rFonts w:ascii="Times New Roman" w:hAnsi="Times New Roman"/>
          <w:color w:val="000000"/>
          <w:sz w:val="24"/>
        </w:rPr>
        <w:t xml:space="preserve">), by and through its authorized agent, </w:t>
      </w:r>
      <w:r>
        <w:rPr>
          <w:rFonts w:ascii="Times New Roman" w:hAnsi="Times New Roman"/>
          <w:b/>
          <w:color w:val="000000"/>
          <w:sz w:val="24"/>
        </w:rPr>
        <w:t>SLOSS REAL ESTATE COMPANY, INC.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Agent</w:t>
      </w:r>
      <w:r>
        <w:rPr>
          <w:rFonts w:ascii="Times New Roman" w:hAnsi="Times New Roman"/>
          <w:color w:val="000000"/>
          <w:sz w:val="24"/>
        </w:rPr>
        <w:t>, and together with SMB, the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IN8BIO, INC.</w:t>
      </w:r>
      <w:r>
        <w:rPr>
          <w:rFonts w:ascii="Times New Roman" w:hAnsi="Times New Roman"/>
          <w:color w:val="000000"/>
          <w:sz w:val="24"/>
        </w:rPr>
        <w:t>, (“</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 Capitalized terms used herein and not otherwise defined shall have the meanings assigned to them in the Lease (defined below).</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Background</w:t>
      </w:r>
    </w:p>
    <w:p>
      <w:pPr>
        <w:pStyle w:val="TextBody"/>
        <w:bidi w:val="0"/>
        <w:spacing w:before="0" w:after="240"/>
        <w:jc w:val="both"/>
        <w:rPr>
          <w:rFonts w:ascii="Times New Roman" w:hAnsi="Times New Roman"/>
          <w:sz w:val="20"/>
        </w:rPr>
      </w:pPr>
      <w:r>
        <w:rPr>
          <w:rFonts w:ascii="Times New Roman" w:hAnsi="Times New Roman"/>
          <w:color w:val="000000"/>
          <w:sz w:val="24"/>
        </w:rPr>
        <w:t>A. Landlord and Tenant entered into that certain Lease Agreement dated as of November 17, 2020 (the “</w:t>
      </w:r>
      <w:r>
        <w:rPr>
          <w:rFonts w:ascii="Times New Roman" w:hAnsi="Times New Roman"/>
          <w:b/>
          <w:color w:val="000000"/>
          <w:sz w:val="24"/>
        </w:rPr>
        <w:t>Original Lease</w:t>
      </w:r>
      <w:r>
        <w:rPr>
          <w:rFonts w:ascii="Times New Roman" w:hAnsi="Times New Roman"/>
          <w:color w:val="000000"/>
          <w:sz w:val="20"/>
        </w:rPr>
        <w:t>”</w:t>
      </w:r>
      <w:r>
        <w:rPr>
          <w:rFonts w:ascii="Times New Roman" w:hAnsi="Times New Roman"/>
          <w:color w:val="000000"/>
          <w:sz w:val="24"/>
        </w:rPr>
        <w:t>), as amended by that certain Amendment to the Lease Agreement dated February 4, 2022 (the “</w:t>
      </w:r>
      <w:r>
        <w:rPr>
          <w:rFonts w:ascii="Times New Roman" w:hAnsi="Times New Roman"/>
          <w:b/>
          <w:color w:val="000000"/>
          <w:sz w:val="24"/>
        </w:rPr>
        <w:t>First Amendment</w:t>
      </w:r>
      <w:r>
        <w:rPr>
          <w:rFonts w:ascii="Times New Roman" w:hAnsi="Times New Roman"/>
          <w:color w:val="000000"/>
          <w:sz w:val="20"/>
        </w:rPr>
        <w:t>”</w:t>
      </w:r>
      <w:r>
        <w:rPr>
          <w:rFonts w:ascii="Times New Roman" w:hAnsi="Times New Roman"/>
          <w:color w:val="000000"/>
          <w:sz w:val="24"/>
        </w:rPr>
        <w:t>, and together with the Original Lease,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whereby Landlord leased to Tenant that certain Premises located in the Martin Biscuit Building located at 2901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Avenue South, Suite 230, Birmingham, Alabama 35233, which Premises are more particularly described in the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Landlord and Tenant are agreeing to amend the Lease in accordance with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parties hereto agree to amend the Lease as follows:</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b/>
          <w:color w:val="000000"/>
          <w:sz w:val="24"/>
          <w:u w:val="single"/>
        </w:rPr>
        <w:t>Recitals; Capitalized Terms</w:t>
      </w:r>
      <w:r>
        <w:rPr>
          <w:rFonts w:ascii="Times New Roman" w:hAnsi="Times New Roman"/>
          <w:color w:val="000000"/>
          <w:sz w:val="24"/>
        </w:rPr>
        <w:t>. The foregoing recitals are true and correct and are incorporated herein by reference. All capitalized terms not specifically defined herein shall have the same meaning as set forth in the 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b/>
          <w:color w:val="000000"/>
          <w:sz w:val="24"/>
          <w:u w:val="single"/>
        </w:rPr>
        <w:t>Lease Term</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New Term</w:t>
      </w:r>
      <w:r>
        <w:rPr>
          <w:rFonts w:ascii="Times New Roman" w:hAnsi="Times New Roman"/>
          <w:color w:val="000000"/>
          <w:sz w:val="24"/>
        </w:rPr>
        <w:t>. As of March 15, 2024 (the “</w:t>
      </w:r>
      <w:r>
        <w:rPr>
          <w:rFonts w:ascii="Times New Roman" w:hAnsi="Times New Roman"/>
          <w:b/>
          <w:color w:val="000000"/>
          <w:sz w:val="24"/>
        </w:rPr>
        <w:t>New Term Commencement Date</w:t>
      </w:r>
      <w:r>
        <w:rPr>
          <w:rFonts w:ascii="Times New Roman" w:hAnsi="Times New Roman"/>
          <w:color w:val="000000"/>
          <w:sz w:val="20"/>
        </w:rPr>
        <w:t>”</w:t>
      </w:r>
      <w:r>
        <w:rPr>
          <w:rFonts w:ascii="Times New Roman" w:hAnsi="Times New Roman"/>
          <w:color w:val="000000"/>
          <w:sz w:val="24"/>
        </w:rPr>
        <w:t>), the Term of the Lease shall be amended to commence upon the New Term Commencement Date and end on March 31, 2029 (such revised term shall herein be referred to as the “</w:t>
      </w:r>
      <w:r>
        <w:rPr>
          <w:rFonts w:ascii="Times New Roman" w:hAnsi="Times New Roman"/>
          <w:b/>
          <w:color w:val="000000"/>
          <w:sz w:val="24"/>
        </w:rPr>
        <w:t>New Term</w:t>
      </w:r>
      <w:r>
        <w:rPr>
          <w:rFonts w:ascii="Times New Roman" w:hAnsi="Times New Roman"/>
          <w:color w:val="000000"/>
          <w:sz w:val="20"/>
        </w:rPr>
        <w:t>”</w:t>
      </w:r>
      <w:r>
        <w:rPr>
          <w:rFonts w:ascii="Times New Roman" w:hAnsi="Times New Roman"/>
          <w:color w:val="000000"/>
          <w:sz w:val="24"/>
        </w:rPr>
        <w:t>), upon the same terms, covenants as set forth in the Lease, except as expressly set forth in this Amendment. Landlord and Tenant acknowledge and agree that all of the terms, conditions, obligations, and rights of each party as set forth in the Lease shall continue in full force and effect from the Effective Date through the New Term Commencement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Extension Term</w:t>
      </w:r>
      <w:r>
        <w:rPr>
          <w:rFonts w:ascii="Times New Roman" w:hAnsi="Times New Roman"/>
          <w:color w:val="000000"/>
          <w:sz w:val="24"/>
        </w:rPr>
        <w:t>. Provided Tenant has not assigned or subleased all or any portion of the Premises (except for a Permitted Transfer), and no Event of Default then exists, Tenant shall have the right, at its option, to extend the New Term for one (1) additional five (5) year period (the “</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Extension Period</w:t>
      </w:r>
      <w:r>
        <w:rPr>
          <w:rFonts w:ascii="Times New Roman" w:hAnsi="Times New Roman"/>
          <w:color w:val="000000"/>
          <w:sz w:val="20"/>
        </w:rPr>
        <w:t>”</w:t>
      </w:r>
      <w:r>
        <w:rPr>
          <w:rFonts w:ascii="Times New Roman" w:hAnsi="Times New Roman"/>
          <w:color w:val="000000"/>
          <w:sz w:val="24"/>
        </w:rPr>
        <w:t>) upon the same terms, covenants and as set forth in the Lease, except as expressly set forth in this Amendment. For purposes hereof and for any future amendments to the Lease, the New Term and the New Extension Period, if exercised, shall collectively be referred to as the “</w:t>
      </w:r>
      <w:r>
        <w:rPr>
          <w:rFonts w:ascii="Times New Roman" w:hAnsi="Times New Roman"/>
          <w:b/>
          <w:color w:val="000000"/>
          <w:sz w:val="24"/>
        </w:rPr>
        <w:t>Term</w:t>
      </w:r>
      <w:r>
        <w:rPr>
          <w:rFonts w:ascii="Times New Roman" w:hAnsi="Times New Roman"/>
          <w:color w:val="000000"/>
          <w:sz w:val="24"/>
        </w:rPr>
        <w:t>.”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306626531v.2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order to exercise its extension option, Tenant shall be required to give written notice to Landlord of its intention to extend at least one hundred twenty (120) days prior to the expiration of the New Term. Tenant’s failure to deliver timely written notice as required above shall cause the extension option to lapse and be of no further force and effect. The parties acknowledge and agree that this option to extend shall supersede the option to renew the Lease term provided in Section 2(a) of the 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b/>
          <w:color w:val="000000"/>
          <w:sz w:val="24"/>
          <w:u w:val="single"/>
        </w:rPr>
        <w:t>Base Rent</w:t>
      </w:r>
      <w:r>
        <w:rPr>
          <w:rFonts w:ascii="Times New Roman" w:hAnsi="Times New Roman"/>
          <w:color w:val="000000"/>
          <w:sz w:val="24"/>
        </w:rPr>
        <w:t>. Base Rent for the New Term (as it may be extended into the New Extension Period) shall be paid in accordance with the provisions of the Lease and pursuant to the schedule below, unless or until the Lease is terminated, in the following amounts:</w:t>
      </w:r>
    </w:p>
    <w:tbl>
      <w:tblPr>
        <w:tblW w:w="9259" w:type="dxa"/>
        <w:jc w:val="left"/>
        <w:tblInd w:w="0" w:type="dxa"/>
        <w:tblLayout w:type="fixed"/>
        <w:tblCellMar>
          <w:top w:w="28" w:type="dxa"/>
          <w:left w:w="28" w:type="dxa"/>
          <w:bottom w:w="28" w:type="dxa"/>
          <w:right w:w="28" w:type="dxa"/>
        </w:tblCellMar>
      </w:tblPr>
      <w:tblGrid>
        <w:gridCol w:w="3811"/>
        <w:gridCol w:w="2086"/>
        <w:gridCol w:w="1606"/>
        <w:gridCol w:w="1756"/>
      </w:tblGrid>
      <w:tr>
        <w:trPr/>
        <w:tc>
          <w:tcPr>
            <w:tcW w:w="38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925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Suite 230 – 4,336 Square Feet</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New Term</w:t>
            </w:r>
            <w:r>
              <w:rPr>
                <w:rFonts w:ascii="Times New Roman" w:hAnsi="Times New Roman"/>
                <w:color w:val="000000"/>
                <w:sz w:val="24"/>
              </w:rPr>
              <w:t xml:space="preserve"> </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Base Rental Per SF</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Annual Rental</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Monthly Rental</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March 15, 2024 – October 31, 2024</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$25.13</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$108,963.68</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$9,080.31</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2024 – October 31, 2025</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$25.88</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$112,215.68</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$9,351.31</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2025 – October 31, 2026</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$26.66</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$115,597.76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$9,633.15</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2026 – October 31, 2027</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$27.46</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$119,066.56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$9,922.21</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2027 – October 31, 2028</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$28.29</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$122,665.44</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$10,222.12</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2028 – March 31, 2029</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$29.14</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$126,351.01</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$10,529.25</w:t>
            </w:r>
          </w:p>
        </w:tc>
      </w:tr>
    </w:tbl>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Tenant shall owe no Rent to Landlord for the month of February, 2026.</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Tenant exercises its option to extend the New Term into the New Extension Period, Base Rent shall be paid in accordance with the provisions of the Lease and pursuant to the schedule below:</w:t>
      </w:r>
    </w:p>
    <w:tbl>
      <w:tblPr>
        <w:tblW w:w="9259" w:type="dxa"/>
        <w:jc w:val="left"/>
        <w:tblInd w:w="0" w:type="dxa"/>
        <w:tblLayout w:type="fixed"/>
        <w:tblCellMar>
          <w:top w:w="28" w:type="dxa"/>
          <w:left w:w="28" w:type="dxa"/>
          <w:bottom w:w="28" w:type="dxa"/>
          <w:right w:w="28" w:type="dxa"/>
        </w:tblCellMar>
      </w:tblPr>
      <w:tblGrid>
        <w:gridCol w:w="3811"/>
        <w:gridCol w:w="2086"/>
        <w:gridCol w:w="1606"/>
        <w:gridCol w:w="1756"/>
      </w:tblGrid>
      <w:tr>
        <w:trPr/>
        <w:tc>
          <w:tcPr>
            <w:tcW w:w="38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New Extension Period</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Base Rental Per SF</w:t>
            </w:r>
          </w:p>
        </w:tc>
        <w:tc>
          <w:tcPr>
            <w:tcW w:w="1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Annual Rental</w:t>
            </w:r>
          </w:p>
        </w:tc>
        <w:tc>
          <w:tcPr>
            <w:tcW w:w="17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Monthly Rental</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April 1, 2029 – October 31, 2029</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$29.14</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$126,351.01</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$10,529.25</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2029 – October 31, 2030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$30.01</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$130,123.36</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$10,843.61</w:t>
            </w:r>
          </w:p>
        </w:tc>
      </w:tr>
    </w:tbl>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306626531v.2</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114" w:type="dxa"/>
        <w:jc w:val="left"/>
        <w:tblInd w:w="0" w:type="dxa"/>
        <w:tblLayout w:type="fixed"/>
        <w:tblCellMar>
          <w:top w:w="28" w:type="dxa"/>
          <w:left w:w="28" w:type="dxa"/>
          <w:bottom w:w="28" w:type="dxa"/>
          <w:right w:w="28" w:type="dxa"/>
        </w:tblCellMar>
      </w:tblPr>
      <w:tblGrid>
        <w:gridCol w:w="3811"/>
        <w:gridCol w:w="766"/>
        <w:gridCol w:w="1306"/>
        <w:gridCol w:w="1231"/>
      </w:tblGrid>
      <w:tr>
        <w:trPr/>
        <w:tc>
          <w:tcPr>
            <w:tcW w:w="3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2030 – October 31, 2031</w:t>
            </w:r>
          </w:p>
        </w:tc>
        <w:tc>
          <w:tcPr>
            <w:tcW w:w="7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$30.91</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$134,025.76</w:t>
            </w:r>
          </w:p>
        </w:tc>
        <w:tc>
          <w:tcPr>
            <w:tcW w:w="1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$11,168.81</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2031 – October 31, 2032</w:t>
            </w:r>
          </w:p>
        </w:tc>
        <w:tc>
          <w:tcPr>
            <w:tcW w:w="7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$31.84</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$138,058.24</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$11,504.85</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2032 – October 31, 2033</w:t>
            </w:r>
          </w:p>
        </w:tc>
        <w:tc>
          <w:tcPr>
            <w:tcW w:w="7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$32.79</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$142,177.44</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$11,848.12</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2033 – March 31, 2034</w:t>
            </w:r>
          </w:p>
        </w:tc>
        <w:tc>
          <w:tcPr>
            <w:tcW w:w="7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$33.77</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$146,426.72</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$12,202.23</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Section 22 of the Lease is modified by deleting Tenant’s notice address therefrom and inserting the following in lieu thereof:</w:t>
      </w:r>
    </w:p>
    <w:p>
      <w:pPr>
        <w:pStyle w:val="TextBody"/>
        <w:bidi w:val="0"/>
        <w:jc w:val="left"/>
        <w:rPr>
          <w:rFonts w:ascii="Times New Roman" w:hAnsi="Times New Roman"/>
          <w:color w:val="000000"/>
          <w:sz w:val="24"/>
        </w:rPr>
      </w:pPr>
      <w:r>
        <w:rPr>
          <w:rFonts w:ascii="Times New Roman" w:hAnsi="Times New Roman"/>
          <w:color w:val="000000"/>
          <w:sz w:val="24"/>
        </w:rPr>
        <w:t>IN8BIO, INC.</w:t>
      </w:r>
    </w:p>
    <w:p>
      <w:pPr>
        <w:pStyle w:val="TextBody"/>
        <w:bidi w:val="0"/>
        <w:jc w:val="left"/>
        <w:rPr>
          <w:rFonts w:ascii="Times New Roman" w:hAnsi="Times New Roman"/>
          <w:color w:val="000000"/>
          <w:sz w:val="24"/>
        </w:rPr>
      </w:pPr>
      <w:r>
        <w:rPr>
          <w:rFonts w:ascii="Times New Roman" w:hAnsi="Times New Roman"/>
          <w:color w:val="000000"/>
          <w:sz w:val="24"/>
        </w:rPr>
        <w:t>Empire State Building</w:t>
      </w:r>
    </w:p>
    <w:p>
      <w:pPr>
        <w:pStyle w:val="TextBody"/>
        <w:bidi w:val="0"/>
        <w:jc w:val="left"/>
        <w:rPr>
          <w:rFonts w:ascii="Times New Roman" w:hAnsi="Times New Roman"/>
          <w:sz w:val="20"/>
        </w:rPr>
      </w:pPr>
      <w:r>
        <w:rPr>
          <w:rFonts w:ascii="Times New Roman" w:hAnsi="Times New Roman"/>
          <w:color w:val="000000"/>
          <w:sz w:val="24"/>
        </w:rPr>
        <w:t>350 Fifth Avenue, Suite 5330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New York, New York 10118</w:t>
      </w:r>
    </w:p>
    <w:p>
      <w:pPr>
        <w:pStyle w:val="TextBody"/>
        <w:bidi w:val="0"/>
        <w:jc w:val="left"/>
        <w:rPr>
          <w:rFonts w:ascii="Times New Roman" w:hAnsi="Times New Roman"/>
          <w:color w:val="000000"/>
          <w:sz w:val="24"/>
        </w:rPr>
      </w:pPr>
      <w:r>
        <w:rPr>
          <w:rFonts w:ascii="Times New Roman" w:hAnsi="Times New Roman"/>
          <w:color w:val="000000"/>
          <w:sz w:val="24"/>
        </w:rPr>
        <w:t>Attention: Mr. William Ho and Dr. Kate Rochlin</w:t>
      </w:r>
    </w:p>
    <w:p>
      <w:pPr>
        <w:pStyle w:val="TextBody"/>
        <w:bidi w:val="0"/>
        <w:jc w:val="left"/>
        <w:rPr>
          <w:rFonts w:ascii="Times New Roman" w:hAnsi="Times New Roman"/>
          <w:color w:val="000000"/>
          <w:sz w:val="24"/>
        </w:rPr>
      </w:pPr>
      <w:r>
        <w:rPr>
          <w:rFonts w:ascii="Times New Roman" w:hAnsi="Times New Roman"/>
          <w:color w:val="000000"/>
          <w:sz w:val="24"/>
        </w:rPr>
        <w:t>Telephone Number: (646) 933-5605</w:t>
      </w:r>
    </w:p>
    <w:p>
      <w:pPr>
        <w:pStyle w:val="TextBody"/>
        <w:bidi w:val="0"/>
        <w:jc w:val="left"/>
        <w:rPr>
          <w:rFonts w:ascii="Times New Roman" w:hAnsi="Times New Roman"/>
          <w:color w:val="000000"/>
          <w:sz w:val="24"/>
        </w:rPr>
      </w:pPr>
      <w:r>
        <w:rPr>
          <w:rFonts w:ascii="Times New Roman" w:hAnsi="Times New Roman"/>
          <w:color w:val="000000"/>
          <w:sz w:val="24"/>
        </w:rPr>
        <w:t>Email: LegalNotifications@in8bio.com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Seyfarth Shaw LLP</w:t>
      </w:r>
    </w:p>
    <w:p>
      <w:pPr>
        <w:pStyle w:val="TextBody"/>
        <w:bidi w:val="0"/>
        <w:jc w:val="left"/>
        <w:rPr>
          <w:rFonts w:ascii="Times New Roman" w:hAnsi="Times New Roman"/>
          <w:color w:val="000000"/>
          <w:sz w:val="24"/>
        </w:rPr>
      </w:pPr>
      <w:r>
        <w:rPr>
          <w:rFonts w:ascii="Times New Roman" w:hAnsi="Times New Roman"/>
          <w:color w:val="000000"/>
          <w:sz w:val="24"/>
        </w:rPr>
        <w:t>620 Eighth Avenue</w:t>
      </w:r>
    </w:p>
    <w:p>
      <w:pPr>
        <w:pStyle w:val="TextBody"/>
        <w:bidi w:val="0"/>
        <w:jc w:val="left"/>
        <w:rPr>
          <w:rFonts w:ascii="Times New Roman" w:hAnsi="Times New Roman"/>
          <w:color w:val="000000"/>
          <w:sz w:val="24"/>
        </w:rPr>
      </w:pPr>
      <w:r>
        <w:rPr>
          <w:rFonts w:ascii="Times New Roman" w:hAnsi="Times New Roman"/>
          <w:color w:val="000000"/>
          <w:sz w:val="24"/>
        </w:rPr>
        <w:t>New York, New York 10018-1405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Attn: Michael J. Waters, Esq.</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b/>
          <w:color w:val="000000"/>
          <w:sz w:val="24"/>
          <w:u w:val="single"/>
        </w:rPr>
        <w:t>Brokers or Finders</w:t>
      </w:r>
      <w:r>
        <w:rPr>
          <w:rFonts w:ascii="Times New Roman" w:hAnsi="Times New Roman"/>
          <w:color w:val="000000"/>
          <w:sz w:val="24"/>
        </w:rPr>
        <w:t>. Tenant represents and warrants to Landlord that it has engaged no broker or finder and that no claims for brokerage commissions or finders' fees will arise by or through Tenant in connection with this Amendment, and Tenant agrees to indemnify, defend and hold Landlord harmless from any liability or expense (including attorneys' fees) arising from any such claims asserted against Landlord by any party. Landlord represents and warrants to Tenant that it has engaged no broker or finder and that no claims for brokerage commissions or finders' fees will arise by or through in connection with this Amendment, and Landlord agrees to indemnify, defend and hold Tenant harmless from any liability or expense (including attorneys' fees) arising from any such claims asserted against Tenant by any party.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b/>
          <w:color w:val="000000"/>
          <w:sz w:val="24"/>
          <w:u w:val="single"/>
        </w:rPr>
        <w:t>Ratification</w:t>
      </w:r>
      <w:r>
        <w:rPr>
          <w:rFonts w:ascii="Times New Roman" w:hAnsi="Times New Roman"/>
          <w:color w:val="000000"/>
          <w:sz w:val="24"/>
        </w:rPr>
        <w:t xml:space="preserve">. Landlord and Tenant confirm and ratify all of the terms of the Lease, as amended by this Amendment. Except as amended by this Amendment, the Lease shall remain in full force and effect and binding upon Landlord and Tenant in accordance with its terms throughout the New Term. In the event the terms and provisions of the Lease conflict with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306626531v.2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terms and provisions of this Amendment, the terms and provisions of this Amendment shall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b/>
          <w:color w:val="000000"/>
          <w:sz w:val="24"/>
          <w:u w:val="single"/>
        </w:rPr>
        <w:t>Entire Agreement</w:t>
      </w:r>
      <w:r>
        <w:rPr>
          <w:rFonts w:ascii="Times New Roman" w:hAnsi="Times New Roman"/>
          <w:color w:val="000000"/>
          <w:sz w:val="24"/>
        </w:rPr>
        <w:t>. This Amendment embodies the entire agreement and understanding of the parties hereto as to the subject matter contained herein. This Amendment shall not be modified, changed, terminated, amended, superseded, waived or extended except by a written instrument executed by the parties 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pPr>
      <w:r>
        <w:rPr>
          <w:rFonts w:ascii="Times New Roman" w:hAnsi="Times New Roman"/>
          <w:b/>
          <w:color w:val="000000"/>
          <w:sz w:val="24"/>
          <w:u w:val="single"/>
        </w:rPr>
        <w:t>Miscellaneous</w:t>
      </w:r>
      <w:r>
        <w:rPr>
          <w:rFonts w:ascii="Times New Roman" w:hAnsi="Times New Roman"/>
          <w:color w:val="000000"/>
          <w:sz w:val="24"/>
        </w:rPr>
        <w:t>. Landlord and Tenant agree to execute and deliver such additional documentation and take such actions as may be reasonably necessary to evidence and effectuate the agreement of the parties set forth in this Amendment. This Amendment may be executed in multiple counterparts (including by electronic signature), each of which will be deemed an original and all of which taken together will constitute but a single instrument. Additionally, the parties, and any third party, may rely on a copy or facsimile of an executed counterpart as if such copy or facsimile were an original.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pPr>
      <w:r>
        <w:rPr>
          <w:rFonts w:ascii="Times New Roman" w:hAnsi="Times New Roman"/>
          <w:b/>
          <w:color w:val="000000"/>
          <w:sz w:val="24"/>
          <w:u w:val="single"/>
        </w:rPr>
        <w:t>Effective Date</w:t>
      </w:r>
      <w:r>
        <w:rPr>
          <w:rFonts w:ascii="Times New Roman" w:hAnsi="Times New Roman"/>
          <w:color w:val="000000"/>
          <w:sz w:val="24"/>
        </w:rPr>
        <w:t>. The effective date shall be the date by which the last of the parties hereto executes this Amendment (the “</w:t>
      </w:r>
      <w:r>
        <w:rPr>
          <w:rFonts w:ascii="Times New Roman" w:hAnsi="Times New Roman"/>
          <w:b/>
          <w:color w:val="000000"/>
          <w:sz w:val="24"/>
        </w:rPr>
        <w:t>Effective Date</w:t>
      </w:r>
      <w:r>
        <w:rPr>
          <w:color w:val="000000"/>
        </w:rPr>
        <w:t>”</w:t>
      </w:r>
      <w:r>
        <w:rPr>
          <w:rFonts w:ascii="Times New Roman" w:hAnsi="Times New Roman"/>
          <w:color w:val="000000"/>
          <w:sz w:val="24"/>
        </w:rPr>
        <w:t>).</w:t>
      </w:r>
    </w:p>
    <w:p>
      <w:pPr>
        <w:pStyle w:val="TextBody"/>
        <w:bidi w:val="0"/>
        <w:spacing w:before="0" w:after="240"/>
        <w:jc w:val="center"/>
        <w:rPr>
          <w:rFonts w:ascii="Times New Roman" w:hAnsi="Times New Roman"/>
          <w:b/>
          <w:i/>
          <w:color w:val="000000"/>
          <w:sz w:val="24"/>
        </w:rPr>
      </w:pPr>
      <w:r>
        <w:rPr>
          <w:rFonts w:ascii="Times New Roman" w:hAnsi="Times New Roman"/>
          <w:b/>
          <w:i/>
          <w:color w:val="000000"/>
          <w:sz w:val="24"/>
        </w:rPr>
        <w:t>* * * Signatures on following page * *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306626531v.2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Executed to be effective as of the Effective Date.</w:t>
      </w:r>
    </w:p>
    <w:p>
      <w:pPr>
        <w:pStyle w:val="TextBody"/>
        <w:bidi w:val="0"/>
        <w:jc w:val="left"/>
        <w:rPr>
          <w:rFonts w:ascii="Times New Roman" w:hAnsi="Times New Roman"/>
          <w:sz w:val="20"/>
        </w:rPr>
      </w:pPr>
      <w:r>
        <w:rPr>
          <w:rFonts w:ascii="Times New Roman" w:hAnsi="Times New Roman"/>
          <w:b/>
          <w:color w:val="000000"/>
          <w:sz w:val="24"/>
          <w:u w:val="single"/>
        </w:rPr>
        <w:t>LANDLORD</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SLOSS MARTIN BISCUIT, LTD.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b/>
          <w:color w:val="000000"/>
          <w:sz w:val="24"/>
        </w:rPr>
        <w:t>Sloss Real Estate Company, Inc.</w:t>
      </w:r>
      <w:r>
        <w:rPr>
          <w:rFonts w:ascii="Times New Roman" w:hAnsi="Times New Roman"/>
          <w:color w:val="000000"/>
          <w:sz w:val="24"/>
        </w:rPr>
        <w:t>, its Agent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R. Scott Pulliam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R. Scott Pulliam </w:t>
      </w:r>
    </w:p>
    <w:p>
      <w:pPr>
        <w:pStyle w:val="TextBody"/>
        <w:bidi w:val="0"/>
        <w:jc w:val="left"/>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_______President____________________________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TENANT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IN8BIO, INC.</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William Ho </w:t>
      </w:r>
    </w:p>
    <w:p>
      <w:pPr>
        <w:pStyle w:val="TextBody"/>
        <w:bidi w:val="0"/>
        <w:jc w:val="left"/>
        <w:rPr>
          <w:rFonts w:ascii="Times New Roman" w:hAnsi="Times New Roman"/>
          <w:color w:val="000000"/>
          <w:sz w:val="24"/>
        </w:rPr>
      </w:pPr>
      <w:r>
        <w:rPr>
          <w:rFonts w:ascii="Times New Roman" w:hAnsi="Times New Roman"/>
          <w:color w:val="000000"/>
          <w:sz w:val="24"/>
        </w:rPr>
        <w:t>Name: William Ho</w:t>
      </w:r>
    </w:p>
    <w:p>
      <w:pPr>
        <w:pStyle w:val="TextBody"/>
        <w:bidi w:val="0"/>
        <w:jc w:val="left"/>
        <w:rPr>
          <w:rFonts w:ascii="Times New Roman" w:hAnsi="Times New Roman"/>
          <w:sz w:val="20"/>
        </w:rPr>
      </w:pPr>
      <w:r>
        <w:rPr>
          <w:rFonts w:ascii="Times New Roman" w:hAnsi="Times New Roman"/>
          <w:color w:val="000000"/>
          <w:sz w:val="24"/>
        </w:rPr>
        <w:t>Title: _Chief Executive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Kate Rochlin </w:t>
      </w:r>
    </w:p>
    <w:p>
      <w:pPr>
        <w:pStyle w:val="TextBody"/>
        <w:bidi w:val="0"/>
        <w:jc w:val="left"/>
        <w:rPr>
          <w:rFonts w:ascii="Times New Roman" w:hAnsi="Times New Roman"/>
          <w:color w:val="000000"/>
          <w:sz w:val="24"/>
        </w:rPr>
      </w:pPr>
      <w:r>
        <w:rPr>
          <w:rFonts w:ascii="Times New Roman" w:hAnsi="Times New Roman"/>
          <w:color w:val="000000"/>
          <w:sz w:val="24"/>
        </w:rPr>
        <w:t>Name: Kate Rochlin</w:t>
      </w:r>
    </w:p>
    <w:p>
      <w:pPr>
        <w:pStyle w:val="TextBody"/>
        <w:bidi w:val="0"/>
        <w:jc w:val="left"/>
        <w:rPr>
          <w:rFonts w:ascii="Times New Roman" w:hAnsi="Times New Roman"/>
          <w:sz w:val="20"/>
        </w:rPr>
      </w:pPr>
      <w:r>
        <w:rPr>
          <w:rFonts w:ascii="Times New Roman" w:hAnsi="Times New Roman"/>
          <w:color w:val="000000"/>
          <w:sz w:val="24"/>
        </w:rPr>
        <w:t>Title: Chief Operating Officer</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8"/>
        </w:rPr>
      </w:pPr>
      <w:r>
        <w:rPr>
          <w:rFonts w:ascii="Times New Roman" w:hAnsi="Times New Roman"/>
          <w:color w:val="000000"/>
          <w:sz w:val="18"/>
        </w:rPr>
        <w:t>23127035.2</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306626531v.2</w:t>
      </w:r>
    </w:p>
    <w:p>
      <w:pPr>
        <w:pStyle w:val="HorizontalLine"/>
        <w:pBdr>
          <w:bottom w:val="double" w:sz="2" w:space="0" w:color="808080"/>
        </w:pBdr>
        <w:bidi w:val="0"/>
        <w:spacing w:before="0" w:after="283"/>
        <w:jc w:val="left"/>
        <w:rPr/>
      </w:pPr>
      <w:r>
        <w:rPr/>
      </w:r>
    </w:p>
    <w:p>
      <w:pPr>
        <w:pStyle w:val="TextBody"/>
        <w:bidi w:val="0"/>
        <w:jc w:val="both"/>
        <w:rPr/>
      </w:pPr>
      <w:bookmarkStart w:id="25" w:name="inab-ex10_4.htm"/>
      <w:bookmarkStart w:id="26" w:name="ksinabex10_4"/>
      <w:bookmarkEnd w:id="25"/>
      <w:bookmarkEnd w:id="26"/>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SECOND AMENDMENT TO LEASE AGREEMENT</w:t>
      </w:r>
    </w:p>
    <w:p>
      <w:pPr>
        <w:pStyle w:val="TextBody"/>
        <w:bidi w:val="0"/>
        <w:jc w:val="center"/>
        <w:rPr>
          <w:rFonts w:ascii="Times New Roman" w:hAnsi="Times New Roman"/>
          <w:b/>
          <w:color w:val="000000"/>
          <w:sz w:val="24"/>
        </w:rPr>
      </w:pPr>
      <w:r>
        <w:rPr>
          <w:rFonts w:ascii="Times New Roman" w:hAnsi="Times New Roman"/>
          <w:b/>
          <w:color w:val="000000"/>
          <w:sz w:val="24"/>
        </w:rPr>
        <w:t>(Suite 270)</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Second Amendment to Lease Agreement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xml:space="preserve">) is made and entered into as of March 16, 2024, by and between </w:t>
      </w:r>
      <w:r>
        <w:rPr>
          <w:rFonts w:ascii="Times New Roman" w:hAnsi="Times New Roman"/>
          <w:b/>
          <w:color w:val="000000"/>
          <w:sz w:val="24"/>
        </w:rPr>
        <w:t>SLOSS MARTIN BISCUIT, LTD.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SMB</w:t>
      </w:r>
      <w:r>
        <w:rPr>
          <w:rFonts w:ascii="Times New Roman" w:hAnsi="Times New Roman"/>
          <w:color w:val="000000"/>
          <w:sz w:val="20"/>
        </w:rPr>
        <w:t>”</w:t>
      </w:r>
      <w:r>
        <w:rPr>
          <w:rFonts w:ascii="Times New Roman" w:hAnsi="Times New Roman"/>
          <w:color w:val="000000"/>
          <w:sz w:val="24"/>
        </w:rPr>
        <w:t xml:space="preserve">), by and through its authorized agent, </w:t>
      </w:r>
      <w:r>
        <w:rPr>
          <w:rFonts w:ascii="Times New Roman" w:hAnsi="Times New Roman"/>
          <w:b/>
          <w:color w:val="000000"/>
          <w:sz w:val="24"/>
        </w:rPr>
        <w:t>SLOSS REAL ESTATE COMPANY, INC.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Agent</w:t>
      </w:r>
      <w:r>
        <w:rPr>
          <w:rFonts w:ascii="Times New Roman" w:hAnsi="Times New Roman"/>
          <w:color w:val="000000"/>
          <w:sz w:val="24"/>
        </w:rPr>
        <w:t>, and together with SMB, the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IN8BIO, INC.</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 Capitalized terms used herein and not otherwise defined shall have the meanings assigned to them in the Lease (defined below).</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Background</w:t>
      </w:r>
    </w:p>
    <w:p>
      <w:pPr>
        <w:pStyle w:val="TextBody"/>
        <w:bidi w:val="0"/>
        <w:spacing w:before="0" w:after="240"/>
        <w:jc w:val="both"/>
        <w:rPr>
          <w:rFonts w:ascii="Times New Roman" w:hAnsi="Times New Roman"/>
          <w:sz w:val="20"/>
        </w:rPr>
      </w:pPr>
      <w:r>
        <w:rPr>
          <w:rFonts w:ascii="Times New Roman" w:hAnsi="Times New Roman"/>
          <w:color w:val="000000"/>
          <w:sz w:val="24"/>
        </w:rPr>
        <w:t>A. Landlord and Tenant entered into that certain Lease Agreement dated as of November 17, 2020 (the “</w:t>
      </w:r>
      <w:r>
        <w:rPr>
          <w:rFonts w:ascii="Times New Roman" w:hAnsi="Times New Roman"/>
          <w:b/>
          <w:color w:val="000000"/>
          <w:sz w:val="24"/>
        </w:rPr>
        <w:t>Original Lease</w:t>
      </w:r>
      <w:r>
        <w:rPr>
          <w:rFonts w:ascii="Times New Roman" w:hAnsi="Times New Roman"/>
          <w:color w:val="000000"/>
          <w:sz w:val="20"/>
        </w:rPr>
        <w:t>”</w:t>
      </w:r>
      <w:r>
        <w:rPr>
          <w:rFonts w:ascii="Times New Roman" w:hAnsi="Times New Roman"/>
          <w:color w:val="000000"/>
          <w:sz w:val="24"/>
        </w:rPr>
        <w:t>), as amended by that certain Amendment to the Lease Agreement dated February 4, 2022 (the “</w:t>
      </w:r>
      <w:r>
        <w:rPr>
          <w:rFonts w:ascii="Times New Roman" w:hAnsi="Times New Roman"/>
          <w:b/>
          <w:color w:val="000000"/>
          <w:sz w:val="24"/>
        </w:rPr>
        <w:t>First Amendment</w:t>
      </w:r>
      <w:r>
        <w:rPr>
          <w:rFonts w:ascii="Times New Roman" w:hAnsi="Times New Roman"/>
          <w:color w:val="000000"/>
          <w:sz w:val="20"/>
        </w:rPr>
        <w:t>”</w:t>
      </w:r>
      <w:r>
        <w:rPr>
          <w:rFonts w:ascii="Times New Roman" w:hAnsi="Times New Roman"/>
          <w:color w:val="000000"/>
          <w:sz w:val="24"/>
        </w:rPr>
        <w:t>, and together with the Original Lease,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 whereby Landlord leased to Tenant that certain Premises located in the Martin Biscuit Building located at 2901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Avenue South, Suite 270, Birmingham, Alabama 35233, which Premises are more particularly described in the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Landlord and Tenant are agreeing to amend the Lease in accordance with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parties hereto agree to amend the Lease as follows:</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b/>
          <w:color w:val="000000"/>
          <w:sz w:val="24"/>
          <w:u w:val="single"/>
        </w:rPr>
        <w:t>Recitals; Capitalized Terms</w:t>
      </w:r>
      <w:r>
        <w:rPr>
          <w:rFonts w:ascii="Times New Roman" w:hAnsi="Times New Roman"/>
          <w:color w:val="000000"/>
          <w:sz w:val="24"/>
        </w:rPr>
        <w:t>. The foregoing recitals are true and correct and are incorporated herein by reference. All capitalized terms not specifically defined herein shall have the same meaning as set forth in the Lease.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b/>
          <w:color w:val="000000"/>
          <w:sz w:val="24"/>
          <w:u w:val="single"/>
        </w:rPr>
        <w:t>Lease Term</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New Term</w:t>
      </w:r>
      <w:r>
        <w:rPr>
          <w:rFonts w:ascii="Times New Roman" w:hAnsi="Times New Roman"/>
          <w:color w:val="000000"/>
          <w:sz w:val="24"/>
        </w:rPr>
        <w:t>. As of March 15, 2024 (the “</w:t>
      </w:r>
      <w:r>
        <w:rPr>
          <w:rFonts w:ascii="Times New Roman" w:hAnsi="Times New Roman"/>
          <w:b/>
          <w:color w:val="000000"/>
          <w:sz w:val="24"/>
        </w:rPr>
        <w:t>New Term Commencement Date</w:t>
      </w:r>
      <w:r>
        <w:rPr>
          <w:rFonts w:ascii="Times New Roman" w:hAnsi="Times New Roman"/>
          <w:color w:val="000000"/>
          <w:sz w:val="20"/>
        </w:rPr>
        <w:t>”</w:t>
      </w:r>
      <w:r>
        <w:rPr>
          <w:rFonts w:ascii="Times New Roman" w:hAnsi="Times New Roman"/>
          <w:color w:val="000000"/>
          <w:sz w:val="24"/>
        </w:rPr>
        <w:t>), the Term of the Lease shall be amended to commence upon the New Term Commencement Date and end on March 31, 2029 (such revised term shall herein be referred to as the “</w:t>
      </w:r>
      <w:r>
        <w:rPr>
          <w:rFonts w:ascii="Times New Roman" w:hAnsi="Times New Roman"/>
          <w:b/>
          <w:color w:val="000000"/>
          <w:sz w:val="24"/>
        </w:rPr>
        <w:t>New Term</w:t>
      </w:r>
      <w:r>
        <w:rPr>
          <w:rFonts w:ascii="Times New Roman" w:hAnsi="Times New Roman"/>
          <w:color w:val="000000"/>
          <w:sz w:val="20"/>
        </w:rPr>
        <w:t>”</w:t>
      </w:r>
      <w:r>
        <w:rPr>
          <w:rFonts w:ascii="Times New Roman" w:hAnsi="Times New Roman"/>
          <w:color w:val="000000"/>
          <w:sz w:val="24"/>
        </w:rPr>
        <w:t>), upon the same terms, covenants as set forth in the Lease, except as expressly set forth in this Amendment. Landlord and Tenant acknowledge and agree that all of the terms, conditions, obligations, and rights of each party as set forth in the Lease shall continue in full force and effect from the Effective Date through the New Term Commencement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Extension Term</w:t>
      </w:r>
      <w:r>
        <w:rPr>
          <w:rFonts w:ascii="Times New Roman" w:hAnsi="Times New Roman"/>
          <w:color w:val="000000"/>
          <w:sz w:val="24"/>
        </w:rPr>
        <w:t>. Provided Tenant has not assigned or subleased all or any portion of the Premises (except for a Permitted Transfer), and no Event of Default then exists, Tenant shall have the right, at its option, to extend the New Term for one (1) additional five (5) year period (the “</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Extension Period</w:t>
      </w:r>
      <w:r>
        <w:rPr>
          <w:rFonts w:ascii="Times New Roman" w:hAnsi="Times New Roman"/>
          <w:color w:val="000000"/>
          <w:sz w:val="20"/>
        </w:rPr>
        <w:t>”</w:t>
      </w:r>
      <w:r>
        <w:rPr>
          <w:rFonts w:ascii="Times New Roman" w:hAnsi="Times New Roman"/>
          <w:color w:val="000000"/>
          <w:sz w:val="24"/>
        </w:rPr>
        <w:t>) upon the same terms, covenants as set forth in the Lease, except as expressly set forth in this Amendment. For purposes hereof and for any future amendments to the Lease, the New Term and the New Extension Period, if exercised, shall collectively be referred to as the “</w:t>
      </w:r>
      <w:r>
        <w:rPr>
          <w:rFonts w:ascii="Times New Roman" w:hAnsi="Times New Roman"/>
          <w:b/>
          <w:color w:val="000000"/>
          <w:sz w:val="24"/>
        </w:rPr>
        <w:t>Term</w:t>
      </w:r>
      <w:r>
        <w:rPr>
          <w:rFonts w:ascii="Times New Roman" w:hAnsi="Times New Roman"/>
          <w:color w:val="000000"/>
          <w:sz w:val="24"/>
        </w:rPr>
        <w:t>.” In order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306573176v.2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exercise its extension option, Tenant shall be required to give written notice to Landlord of its intention to extend at least one hundred twenty (120) days prior to the expiration of the New Term. Tenant’s failure to deliver timely written notice as required above shall cause the extension option to lapse and be of no further force and effect. The parties acknowledge and agree that this option to extend shall supersede the option to renew the Lease term provided in Section 2(a) of the Lease.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b/>
          <w:color w:val="000000"/>
          <w:sz w:val="24"/>
          <w:u w:val="single"/>
        </w:rPr>
        <w:t>Base Rent</w:t>
      </w:r>
      <w:r>
        <w:rPr>
          <w:rFonts w:ascii="Times New Roman" w:hAnsi="Times New Roman"/>
          <w:color w:val="000000"/>
          <w:sz w:val="24"/>
        </w:rPr>
        <w:t>. Base Rent for the New Term (as it may be extended into the New Extension Period) shall be paid in accordance with the provisions of the Lease and pursuant to the schedule below, unless or until the Lease is terminated, in the following amounts:</w:t>
      </w:r>
    </w:p>
    <w:tbl>
      <w:tblPr>
        <w:tblW w:w="9259" w:type="dxa"/>
        <w:jc w:val="left"/>
        <w:tblInd w:w="0" w:type="dxa"/>
        <w:tblLayout w:type="fixed"/>
        <w:tblCellMar>
          <w:top w:w="28" w:type="dxa"/>
          <w:left w:w="28" w:type="dxa"/>
          <w:bottom w:w="28" w:type="dxa"/>
          <w:right w:w="28" w:type="dxa"/>
        </w:tblCellMar>
      </w:tblPr>
      <w:tblGrid>
        <w:gridCol w:w="3811"/>
        <w:gridCol w:w="2086"/>
        <w:gridCol w:w="1606"/>
        <w:gridCol w:w="1756"/>
      </w:tblGrid>
      <w:tr>
        <w:trPr/>
        <w:tc>
          <w:tcPr>
            <w:tcW w:w="38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9259"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Suite 270 – 6,103 Square Feet</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New Term</w:t>
            </w:r>
            <w:r>
              <w:rPr>
                <w:rFonts w:ascii="Times New Roman" w:hAnsi="Times New Roman"/>
                <w:color w:val="000000"/>
                <w:sz w:val="24"/>
              </w:rPr>
              <w:t xml:space="preserve"> </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Base Rental Per SF</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Annual Rental</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Monthly Rental</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March 15, 2024 – October 31, 2024</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$19.67</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$120,046.01</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$10,003.83</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2024 – October 31, 2025</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$20.26</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$123,646.78</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$10,303.90</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2025 – October 31, 2026</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$20.87</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$127,369.61</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$10,614.13</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2026 – October 31, 2027</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$21.49</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$131,153.47</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$10,929.46</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2027 – October 31, 2028</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$22.14</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$135,120.42</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$11,260.04</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2028 – March 31, 2029</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$22.80</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$139,148.40</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$11,595.70</w:t>
            </w:r>
          </w:p>
        </w:tc>
      </w:tr>
    </w:tbl>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Tenant shall owe no Rent to Landlord for the month of February, 2026.</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Tenant exercises its option to extend the New Term into the New Extension Period, Base Rent shall be paid in accordance with the provisions of the Lease and pursuant to the schedule below:</w:t>
      </w:r>
    </w:p>
    <w:tbl>
      <w:tblPr>
        <w:tblW w:w="9259" w:type="dxa"/>
        <w:jc w:val="left"/>
        <w:tblInd w:w="0" w:type="dxa"/>
        <w:tblLayout w:type="fixed"/>
        <w:tblCellMar>
          <w:top w:w="28" w:type="dxa"/>
          <w:left w:w="28" w:type="dxa"/>
          <w:bottom w:w="28" w:type="dxa"/>
          <w:right w:w="28" w:type="dxa"/>
        </w:tblCellMar>
      </w:tblPr>
      <w:tblGrid>
        <w:gridCol w:w="3811"/>
        <w:gridCol w:w="2086"/>
        <w:gridCol w:w="1606"/>
        <w:gridCol w:w="1756"/>
      </w:tblGrid>
      <w:tr>
        <w:trPr/>
        <w:tc>
          <w:tcPr>
            <w:tcW w:w="38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New Extension Period</w:t>
            </w:r>
          </w:p>
        </w:tc>
        <w:tc>
          <w:tcPr>
            <w:tcW w:w="2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Base Rental Per SF</w:t>
            </w:r>
          </w:p>
        </w:tc>
        <w:tc>
          <w:tcPr>
            <w:tcW w:w="16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Annual Rental</w:t>
            </w:r>
          </w:p>
        </w:tc>
        <w:tc>
          <w:tcPr>
            <w:tcW w:w="17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Monthly Rental</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April 1, 2029 – October 31, 2029</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$22.80</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$139,148.40</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$11,595.70</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2029 – October 31, 2030</w:t>
            </w:r>
          </w:p>
        </w:tc>
        <w:tc>
          <w:tcPr>
            <w:tcW w:w="2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$23.49</w:t>
            </w:r>
          </w:p>
        </w:tc>
        <w:tc>
          <w:tcPr>
            <w:tcW w:w="16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$143,359.47</w:t>
            </w:r>
          </w:p>
        </w:tc>
        <w:tc>
          <w:tcPr>
            <w:tcW w:w="17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$11,946.62</w:t>
            </w:r>
          </w:p>
        </w:tc>
      </w:tr>
    </w:tbl>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306573176v.2</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114" w:type="dxa"/>
        <w:jc w:val="left"/>
        <w:tblInd w:w="0" w:type="dxa"/>
        <w:tblLayout w:type="fixed"/>
        <w:tblCellMar>
          <w:top w:w="28" w:type="dxa"/>
          <w:left w:w="28" w:type="dxa"/>
          <w:bottom w:w="28" w:type="dxa"/>
          <w:right w:w="28" w:type="dxa"/>
        </w:tblCellMar>
      </w:tblPr>
      <w:tblGrid>
        <w:gridCol w:w="3811"/>
        <w:gridCol w:w="766"/>
        <w:gridCol w:w="1306"/>
        <w:gridCol w:w="1231"/>
      </w:tblGrid>
      <w:tr>
        <w:trPr/>
        <w:tc>
          <w:tcPr>
            <w:tcW w:w="3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8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2030 – October 31, 2031</w:t>
            </w:r>
          </w:p>
        </w:tc>
        <w:tc>
          <w:tcPr>
            <w:tcW w:w="7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$24.19</w:t>
            </w:r>
          </w:p>
        </w:tc>
        <w:tc>
          <w:tcPr>
            <w:tcW w:w="13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$147,631.57</w:t>
            </w:r>
          </w:p>
        </w:tc>
        <w:tc>
          <w:tcPr>
            <w:tcW w:w="1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$12,302.63</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2031 – October 31, 2032</w:t>
            </w:r>
          </w:p>
        </w:tc>
        <w:tc>
          <w:tcPr>
            <w:tcW w:w="7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$24.92</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$152,086.76</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$12,673.90</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2032 – October 31, 2033</w:t>
            </w:r>
          </w:p>
        </w:tc>
        <w:tc>
          <w:tcPr>
            <w:tcW w:w="7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$25.66</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$156,602.98</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$13,050.25</w:t>
            </w:r>
          </w:p>
        </w:tc>
      </w:tr>
      <w:tr>
        <w:trPr/>
        <w:tc>
          <w:tcPr>
            <w:tcW w:w="38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November 1, 2033 – March 31, 2034</w:t>
            </w:r>
          </w:p>
        </w:tc>
        <w:tc>
          <w:tcPr>
            <w:tcW w:w="7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$26.43</w:t>
            </w:r>
          </w:p>
        </w:tc>
        <w:tc>
          <w:tcPr>
            <w:tcW w:w="13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$161,302.29</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$13,441.86</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color w:val="000000"/>
          <w:sz w:val="24"/>
        </w:rPr>
        <w:t>. Section 22 of the Lease is modified by deleting Tenant’s notice address therefrom and inserting the following in lieu thereof:</w:t>
      </w:r>
    </w:p>
    <w:p>
      <w:pPr>
        <w:pStyle w:val="TextBody"/>
        <w:bidi w:val="0"/>
        <w:jc w:val="left"/>
        <w:rPr>
          <w:rFonts w:ascii="Times New Roman" w:hAnsi="Times New Roman"/>
          <w:color w:val="000000"/>
          <w:sz w:val="24"/>
        </w:rPr>
      </w:pPr>
      <w:r>
        <w:rPr>
          <w:rFonts w:ascii="Times New Roman" w:hAnsi="Times New Roman"/>
          <w:color w:val="000000"/>
          <w:sz w:val="24"/>
        </w:rPr>
        <w:t>IN8BIO, INC.</w:t>
      </w:r>
    </w:p>
    <w:p>
      <w:pPr>
        <w:pStyle w:val="TextBody"/>
        <w:bidi w:val="0"/>
        <w:jc w:val="left"/>
        <w:rPr>
          <w:rFonts w:ascii="Times New Roman" w:hAnsi="Times New Roman"/>
          <w:color w:val="000000"/>
          <w:sz w:val="24"/>
        </w:rPr>
      </w:pPr>
      <w:r>
        <w:rPr>
          <w:rFonts w:ascii="Times New Roman" w:hAnsi="Times New Roman"/>
          <w:color w:val="000000"/>
          <w:sz w:val="24"/>
        </w:rPr>
        <w:t>Empire State Building</w:t>
      </w:r>
    </w:p>
    <w:p>
      <w:pPr>
        <w:pStyle w:val="TextBody"/>
        <w:bidi w:val="0"/>
        <w:jc w:val="left"/>
        <w:rPr>
          <w:rFonts w:ascii="Times New Roman" w:hAnsi="Times New Roman"/>
          <w:sz w:val="20"/>
        </w:rPr>
      </w:pPr>
      <w:r>
        <w:rPr>
          <w:rFonts w:ascii="Times New Roman" w:hAnsi="Times New Roman"/>
          <w:color w:val="000000"/>
          <w:sz w:val="24"/>
        </w:rPr>
        <w:t>350 Fifth Avenue, Suite 5330</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New York, New York 10118</w:t>
      </w:r>
    </w:p>
    <w:p>
      <w:pPr>
        <w:pStyle w:val="TextBody"/>
        <w:bidi w:val="0"/>
        <w:jc w:val="left"/>
        <w:rPr>
          <w:rFonts w:ascii="Times New Roman" w:hAnsi="Times New Roman"/>
          <w:color w:val="000000"/>
          <w:sz w:val="24"/>
        </w:rPr>
      </w:pPr>
      <w:r>
        <w:rPr>
          <w:rFonts w:ascii="Times New Roman" w:hAnsi="Times New Roman"/>
          <w:color w:val="000000"/>
          <w:sz w:val="24"/>
        </w:rPr>
        <w:t>Attention: Mr. William Ho and Dr. Kate Rochlin</w:t>
      </w:r>
    </w:p>
    <w:p>
      <w:pPr>
        <w:pStyle w:val="TextBody"/>
        <w:bidi w:val="0"/>
        <w:jc w:val="left"/>
        <w:rPr>
          <w:rFonts w:ascii="Times New Roman" w:hAnsi="Times New Roman"/>
          <w:color w:val="000000"/>
          <w:sz w:val="24"/>
        </w:rPr>
      </w:pPr>
      <w:r>
        <w:rPr>
          <w:rFonts w:ascii="Times New Roman" w:hAnsi="Times New Roman"/>
          <w:color w:val="000000"/>
          <w:sz w:val="24"/>
        </w:rPr>
        <w:t>Telephone Number: (646) 933-5605</w:t>
      </w:r>
    </w:p>
    <w:p>
      <w:pPr>
        <w:pStyle w:val="TextBody"/>
        <w:bidi w:val="0"/>
        <w:jc w:val="left"/>
        <w:rPr>
          <w:rFonts w:ascii="Times New Roman" w:hAnsi="Times New Roman"/>
          <w:color w:val="000000"/>
          <w:sz w:val="24"/>
        </w:rPr>
      </w:pPr>
      <w:r>
        <w:rPr>
          <w:rFonts w:ascii="Times New Roman" w:hAnsi="Times New Roman"/>
          <w:color w:val="000000"/>
          <w:sz w:val="24"/>
        </w:rPr>
        <w:t>Email: LegalNotifications@in8bio.com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Seyfarth Shaw LLP</w:t>
      </w:r>
    </w:p>
    <w:p>
      <w:pPr>
        <w:pStyle w:val="TextBody"/>
        <w:bidi w:val="0"/>
        <w:jc w:val="left"/>
        <w:rPr>
          <w:rFonts w:ascii="Times New Roman" w:hAnsi="Times New Roman"/>
          <w:color w:val="000000"/>
          <w:sz w:val="24"/>
        </w:rPr>
      </w:pPr>
      <w:r>
        <w:rPr>
          <w:rFonts w:ascii="Times New Roman" w:hAnsi="Times New Roman"/>
          <w:color w:val="000000"/>
          <w:sz w:val="24"/>
        </w:rPr>
        <w:t>620 Eighth Avenue</w:t>
      </w:r>
    </w:p>
    <w:p>
      <w:pPr>
        <w:pStyle w:val="TextBody"/>
        <w:bidi w:val="0"/>
        <w:jc w:val="left"/>
        <w:rPr>
          <w:rFonts w:ascii="Times New Roman" w:hAnsi="Times New Roman"/>
          <w:color w:val="000000"/>
          <w:sz w:val="24"/>
        </w:rPr>
      </w:pPr>
      <w:r>
        <w:rPr>
          <w:rFonts w:ascii="Times New Roman" w:hAnsi="Times New Roman"/>
          <w:color w:val="000000"/>
          <w:sz w:val="24"/>
        </w:rPr>
        <w:t>New York, New York 10018-1405</w:t>
      </w:r>
    </w:p>
    <w:p>
      <w:pPr>
        <w:pStyle w:val="TextBody"/>
        <w:bidi w:val="0"/>
        <w:spacing w:before="0" w:after="240"/>
        <w:jc w:val="both"/>
        <w:rPr>
          <w:rFonts w:ascii="Times New Roman" w:hAnsi="Times New Roman"/>
          <w:sz w:val="20"/>
        </w:rPr>
      </w:pPr>
      <w:r>
        <w:rPr>
          <w:rFonts w:ascii="Times New Roman" w:hAnsi="Times New Roman"/>
          <w:color w:val="000000"/>
          <w:sz w:val="24"/>
        </w:rPr>
        <w:t>Attn: Michael J. Waters, Esq.</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b/>
          <w:color w:val="000000"/>
          <w:sz w:val="24"/>
          <w:u w:val="single"/>
        </w:rPr>
        <w:t>Brokers or Finders</w:t>
      </w:r>
      <w:r>
        <w:rPr>
          <w:rFonts w:ascii="Times New Roman" w:hAnsi="Times New Roman"/>
          <w:color w:val="000000"/>
          <w:sz w:val="24"/>
        </w:rPr>
        <w:t xml:space="preserve">. Tenant represents and warrants to Landlord that it has engaged no broker or finder and that no claims for brokerage commissions or finders' fees will arise by or through Tenant in connection with this Amendment, and Tenant agrees to indemnify, defend and hold Landlord harmless from any liability or expense (including attorneys' fees) arising from any such claims asserted against Landlord by any party. Landlord represents and warrants to Tenant that it has engaged no broker or finder and that no claims for brokerage commissions or finders' fees will arise by or through in connection with this Amendment, and Landlord agrees to indemnify, defend and hold Tenant harmless from any liability or expense (including attorneys' fees) arising from any such claims asserted against Tenant by any party.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b/>
          <w:color w:val="000000"/>
          <w:sz w:val="24"/>
          <w:u w:val="single"/>
        </w:rPr>
        <w:t>Ratification</w:t>
      </w:r>
      <w:r>
        <w:rPr>
          <w:rFonts w:ascii="Times New Roman" w:hAnsi="Times New Roman"/>
          <w:color w:val="000000"/>
          <w:sz w:val="24"/>
        </w:rPr>
        <w:t xml:space="preserve">. Landlord and Tenant confirm and ratify all of the terms of the Lease, as amended by this Amendment. Except as amended by this Amendment, the Lease shall remain in full force and effect and binding upon Landlord and Tenant in accordance with its terms throughout the New Term. In the event the terms and provisions of the Lease conflict with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306573176v.2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terms and provisions of this Amendment, the terms and provisions of this Amendment shall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b/>
          <w:color w:val="000000"/>
          <w:sz w:val="24"/>
          <w:u w:val="single"/>
        </w:rPr>
        <w:t>Entire Agreement</w:t>
      </w:r>
      <w:r>
        <w:rPr>
          <w:rFonts w:ascii="Times New Roman" w:hAnsi="Times New Roman"/>
          <w:color w:val="000000"/>
          <w:sz w:val="24"/>
        </w:rPr>
        <w:t xml:space="preserve">. This Amendment embodies the entire agreement and understanding of the parties hereto as to the subject matter contained herein. This Amendment shall not be modified, changed, terminated, amended, superseded, waived or extended except by a written instrument executed by the parties hereto.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pPr>
      <w:r>
        <w:rPr>
          <w:rFonts w:ascii="Times New Roman" w:hAnsi="Times New Roman"/>
          <w:b/>
          <w:color w:val="000000"/>
          <w:sz w:val="24"/>
          <w:u w:val="single"/>
        </w:rPr>
        <w:t>Miscellaneous</w:t>
      </w:r>
      <w:r>
        <w:rPr>
          <w:rFonts w:ascii="Times New Roman" w:hAnsi="Times New Roman"/>
          <w:color w:val="000000"/>
          <w:sz w:val="24"/>
        </w:rPr>
        <w:t>. Landlord and Tenant agree to execute and deliver such additional documentation and take such actions as may be reasonably necessary to evidence and effectuate the agreement of the parties set forth in this Amendment. This Amendment may be executed in multiple counterparts (including by electronic signature), each of which will be deemed an original and all of which taken together will constitute but a single instrument. Additionally, the parties, and any third party, may rely on a copy or facsimile of an executed counterpart as if such copy or facsimile were an original.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pPr>
      <w:r>
        <w:rPr>
          <w:rFonts w:ascii="Times New Roman" w:hAnsi="Times New Roman"/>
          <w:b/>
          <w:color w:val="000000"/>
          <w:sz w:val="24"/>
          <w:u w:val="single"/>
        </w:rPr>
        <w:t>Effective Date</w:t>
      </w:r>
      <w:r>
        <w:rPr>
          <w:rFonts w:ascii="Times New Roman" w:hAnsi="Times New Roman"/>
          <w:color w:val="000000"/>
          <w:sz w:val="24"/>
        </w:rPr>
        <w:t>. The effective date shall be the date by which the last of the parties hereto executes this Amendment (the “</w:t>
      </w:r>
      <w:r>
        <w:rPr>
          <w:rFonts w:ascii="Times New Roman" w:hAnsi="Times New Roman"/>
          <w:b/>
          <w:color w:val="000000"/>
          <w:sz w:val="24"/>
        </w:rPr>
        <w:t>Effective Date</w:t>
      </w:r>
      <w:r>
        <w:rPr>
          <w:color w:val="000000"/>
        </w:rPr>
        <w:t>”</w:t>
      </w:r>
      <w:r>
        <w:rPr>
          <w:rFonts w:ascii="Times New Roman" w:hAnsi="Times New Roman"/>
          <w:color w:val="000000"/>
          <w:sz w:val="24"/>
        </w:rPr>
        <w:t>).</w:t>
      </w:r>
    </w:p>
    <w:p>
      <w:pPr>
        <w:pStyle w:val="TextBody"/>
        <w:bidi w:val="0"/>
        <w:spacing w:before="0" w:after="240"/>
        <w:jc w:val="center"/>
        <w:rPr>
          <w:rFonts w:ascii="Times New Roman" w:hAnsi="Times New Roman"/>
          <w:b/>
          <w:i/>
          <w:color w:val="000000"/>
          <w:sz w:val="24"/>
        </w:rPr>
      </w:pPr>
      <w:r>
        <w:rPr>
          <w:rFonts w:ascii="Times New Roman" w:hAnsi="Times New Roman"/>
          <w:b/>
          <w:i/>
          <w:color w:val="000000"/>
          <w:sz w:val="24"/>
        </w:rPr>
        <w:t>* * * Signatures on following page * *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306573176v.2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Executed to be effective as of the Effective Date.</w:t>
      </w:r>
    </w:p>
    <w:p>
      <w:pPr>
        <w:pStyle w:val="TextBody"/>
        <w:bidi w:val="0"/>
        <w:jc w:val="left"/>
        <w:rPr>
          <w:rFonts w:ascii="Times New Roman" w:hAnsi="Times New Roman"/>
          <w:sz w:val="20"/>
        </w:rPr>
      </w:pPr>
      <w:r>
        <w:rPr>
          <w:rFonts w:ascii="Times New Roman" w:hAnsi="Times New Roman"/>
          <w:b/>
          <w:color w:val="000000"/>
          <w:sz w:val="24"/>
          <w:u w:val="single"/>
        </w:rPr>
        <w:t>LANDLORD</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SLOSS MARTIN BISCUIT, LTD.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b/>
          <w:color w:val="000000"/>
          <w:sz w:val="24"/>
        </w:rPr>
        <w:t>Sloss Real Estate Company, Inc.</w:t>
      </w:r>
      <w:r>
        <w:rPr>
          <w:rFonts w:ascii="Times New Roman" w:hAnsi="Times New Roman"/>
          <w:color w:val="000000"/>
          <w:sz w:val="24"/>
        </w:rPr>
        <w:t>, its Agent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R. Scott Pulliam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R. Scott Pulliam </w:t>
      </w:r>
    </w:p>
    <w:p>
      <w:pPr>
        <w:pStyle w:val="TextBody"/>
        <w:bidi w:val="0"/>
        <w:jc w:val="left"/>
        <w:rPr>
          <w:rFonts w:ascii="Times New Roman" w:hAnsi="Times New Roman"/>
          <w:sz w:val="20"/>
        </w:rPr>
      </w:pPr>
      <w:r>
        <w:rPr>
          <w:rFonts w:ascii="Times New Roman" w:hAnsi="Times New Roman"/>
          <w:color w:val="000000"/>
          <w:sz w:val="24"/>
        </w:rPr>
        <w:t>Title: ______</w:t>
      </w:r>
      <w:r>
        <w:rPr>
          <w:rFonts w:ascii="Times New Roman" w:hAnsi="Times New Roman"/>
          <w:color w:val="000000"/>
          <w:sz w:val="24"/>
          <w:u w:val="single"/>
        </w:rPr>
        <w:t>President</w:t>
      </w:r>
      <w:r>
        <w:rPr>
          <w:rFonts w:ascii="Times New Roman" w:hAnsi="Times New Roman"/>
          <w:color w:val="000000"/>
          <w:sz w:val="24"/>
        </w:rPr>
        <w:t>_____________________________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TENANT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IN8BIO, INC.</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William Ho </w:t>
      </w:r>
    </w:p>
    <w:p>
      <w:pPr>
        <w:pStyle w:val="TextBody"/>
        <w:bidi w:val="0"/>
        <w:jc w:val="left"/>
        <w:rPr>
          <w:rFonts w:ascii="Times New Roman" w:hAnsi="Times New Roman"/>
          <w:color w:val="000000"/>
          <w:sz w:val="24"/>
        </w:rPr>
      </w:pPr>
      <w:r>
        <w:rPr>
          <w:rFonts w:ascii="Times New Roman" w:hAnsi="Times New Roman"/>
          <w:color w:val="000000"/>
          <w:sz w:val="24"/>
        </w:rPr>
        <w:t>Name: William Ho</w:t>
      </w:r>
    </w:p>
    <w:p>
      <w:pPr>
        <w:pStyle w:val="TextBody"/>
        <w:bidi w:val="0"/>
        <w:jc w:val="left"/>
        <w:rPr>
          <w:rFonts w:ascii="Times New Roman" w:hAnsi="Times New Roman"/>
          <w:sz w:val="20"/>
        </w:rPr>
      </w:pPr>
      <w:r>
        <w:rPr>
          <w:rFonts w:ascii="Times New Roman" w:hAnsi="Times New Roman"/>
          <w:color w:val="000000"/>
          <w:sz w:val="24"/>
        </w:rPr>
        <w:t>Title: _Chief Executive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Kate Rochlin </w:t>
      </w:r>
    </w:p>
    <w:p>
      <w:pPr>
        <w:pStyle w:val="TextBody"/>
        <w:bidi w:val="0"/>
        <w:jc w:val="left"/>
        <w:rPr>
          <w:rFonts w:ascii="Times New Roman" w:hAnsi="Times New Roman"/>
          <w:color w:val="000000"/>
          <w:sz w:val="24"/>
        </w:rPr>
      </w:pPr>
      <w:r>
        <w:rPr>
          <w:rFonts w:ascii="Times New Roman" w:hAnsi="Times New Roman"/>
          <w:color w:val="000000"/>
          <w:sz w:val="24"/>
        </w:rPr>
        <w:t>Name: Kate Rochlin</w:t>
      </w:r>
    </w:p>
    <w:p>
      <w:pPr>
        <w:pStyle w:val="TextBody"/>
        <w:bidi w:val="0"/>
        <w:jc w:val="left"/>
        <w:rPr>
          <w:rFonts w:ascii="Times New Roman" w:hAnsi="Times New Roman"/>
          <w:sz w:val="20"/>
        </w:rPr>
      </w:pPr>
      <w:r>
        <w:rPr>
          <w:rFonts w:ascii="Times New Roman" w:hAnsi="Times New Roman"/>
          <w:color w:val="000000"/>
          <w:sz w:val="24"/>
        </w:rPr>
        <w:t>Title: Chief Operating Officer</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8"/>
        </w:rPr>
      </w:pPr>
      <w:r>
        <w:rPr>
          <w:rFonts w:ascii="Times New Roman" w:hAnsi="Times New Roman"/>
          <w:color w:val="000000"/>
          <w:sz w:val="18"/>
        </w:rPr>
        <w:t>DOCPROPERTY DOCXDOCID DMS=InterwovenIManage Format=&lt;&lt;NUM&gt;&gt;v.&lt;&lt;VER&gt;&gt; PRESERVELOCATION \* MERGEFORMAT 306573176v.2</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7" w:name="inab-ex10_5.htm"/>
      <w:bookmarkStart w:id="28" w:name="ksinabex10_5"/>
      <w:bookmarkEnd w:id="27"/>
      <w:bookmarkEnd w:id="28"/>
      <w:r>
        <w:rPr/>
        <w:t> </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pBdr>
          <w:bottom w:val="single" w:sz="4" w:space="9" w:color="000000"/>
        </w:pBdr>
        <w:bidi w:val="0"/>
        <w:spacing w:before="0" w:after="240"/>
        <w:jc w:val="left"/>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IN8bio,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will be eligible to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 Unless otherwise defined herein, capitalized terms used in this Policy will have the meaning given to such terms in the Company’s 2020 Equity Incentive Plan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This Policy may be amended at any time in the sole discretion of the Board or the Compensation Committee of the Board.</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jc w:val="left"/>
        <w:rPr/>
      </w:pPr>
      <w:r>
        <w:rPr/>
        <w:t> </w:t>
      </w:r>
    </w:p>
    <w:p>
      <w:pPr>
        <w:pStyle w:val="TextBody"/>
        <w:bidi w:val="0"/>
        <w:ind w:left="720" w:right="0" w:hanging="0"/>
        <w:jc w:val="both"/>
        <w:rPr>
          <w:rFonts w:ascii="Times New Roman" w:hAnsi="Times New Roman"/>
          <w:sz w:val="20"/>
        </w:rPr>
      </w:pPr>
      <w:r>
        <w:rPr>
          <w:rFonts w:ascii="Times New Roman" w:hAnsi="Times New Roman"/>
          <w:b/>
          <w:color w:val="000000"/>
          <w:sz w:val="22"/>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0"/>
        <w:ind w:left="1354" w:right="0" w:hanging="0"/>
        <w:jc w:val="both"/>
        <w:rPr>
          <w:color w:val="000000"/>
        </w:rPr>
      </w:pPr>
      <w:r>
        <w:rPr>
          <w:color w:val="000000"/>
        </w:rPr>
        <w:t>•</w:t>
      </w:r>
    </w:p>
    <w:p>
      <w:pPr>
        <w:pStyle w:val="TextBody"/>
        <w:bidi w:val="0"/>
        <w:spacing w:before="0" w:after="0"/>
        <w:jc w:val="both"/>
        <w:rPr/>
      </w:pPr>
      <w:r>
        <w:rPr>
          <w:rFonts w:ascii="Times New Roman" w:hAnsi="Times New Roman"/>
          <w:color w:val="000000"/>
          <w:sz w:val="22"/>
        </w:rPr>
        <w:t>All Non-Employee Directors: $40,000</w:t>
      </w:r>
      <w:r>
        <w:rPr>
          <w:color w:val="000000"/>
        </w:rPr>
        <w:t xml:space="preserve"> </w:t>
      </w:r>
    </w:p>
    <w:p>
      <w:pPr>
        <w:pStyle w:val="TextBody"/>
        <w:bidi w:val="0"/>
        <w:spacing w:before="0" w:after="0"/>
        <w:ind w:left="1354" w:right="0" w:hanging="0"/>
        <w:jc w:val="both"/>
        <w:rPr>
          <w:color w:val="000000"/>
        </w:rPr>
      </w:pPr>
      <w:r>
        <w:rPr>
          <w:color w:val="000000"/>
        </w:rPr>
        <w:t>•</w:t>
      </w:r>
    </w:p>
    <w:p>
      <w:pPr>
        <w:pStyle w:val="TextBody"/>
        <w:bidi w:val="0"/>
        <w:jc w:val="both"/>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$65,000</w:t>
      </w:r>
      <w:r>
        <w:rPr>
          <w:color w:val="000000"/>
        </w:rPr>
        <w:t xml:space="preserve"> </w:t>
      </w:r>
    </w:p>
    <w:p>
      <w:pPr>
        <w:pStyle w:val="TextBody"/>
        <w:bidi w:val="0"/>
        <w:ind w:left="1440" w:right="0" w:hanging="0"/>
        <w:jc w:val="both"/>
        <w:rPr/>
      </w:pPr>
      <w:r>
        <w:rPr/>
        <w:t> </w:t>
      </w:r>
    </w:p>
    <w:p>
      <w:pPr>
        <w:pStyle w:val="TextBody"/>
        <w:bidi w:val="0"/>
        <w:ind w:left="720" w:right="0" w:hanging="0"/>
        <w:jc w:val="both"/>
        <w:rPr>
          <w:rFonts w:ascii="Times New Roman" w:hAnsi="Times New Roman"/>
          <w:sz w:val="20"/>
        </w:rPr>
      </w:pPr>
      <w:r>
        <w:rPr>
          <w:rFonts w:ascii="Times New Roman" w:hAnsi="Times New Roman"/>
          <w:b/>
          <w:color w:val="000000"/>
          <w:sz w:val="22"/>
        </w:rPr>
        <w:t>Annual Committee Member Service Retainer</w:t>
      </w:r>
      <w:r>
        <w:rPr>
          <w:rFonts w:ascii="Times New Roman" w:hAnsi="Times New Roman"/>
          <w:color w:val="000000"/>
          <w:sz w:val="22"/>
        </w:rPr>
        <w:t>:</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$10,000</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Science and Technology Committee: $7,500</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$5,000</w:t>
      </w:r>
    </w:p>
    <w:p>
      <w:pPr>
        <w:pStyle w:val="TextBody"/>
        <w:bidi w:val="0"/>
        <w:spacing w:before="0" w:after="0"/>
        <w:ind w:left="1440" w:right="0" w:hanging="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Member of the Nominating and Corporate Governance Committee: $4,000</w:t>
      </w:r>
    </w:p>
    <w:p>
      <w:pPr>
        <w:pStyle w:val="TextBody"/>
        <w:bidi w:val="0"/>
        <w:ind w:left="1440" w:right="0" w:hanging="0"/>
        <w:jc w:val="both"/>
        <w:rPr/>
      </w:pPr>
      <w:r>
        <w:rPr/>
        <w:t> </w:t>
      </w:r>
    </w:p>
    <w:p>
      <w:pPr>
        <w:pStyle w:val="TextBody"/>
        <w:bidi w:val="0"/>
        <w:ind w:left="720" w:right="0" w:hanging="0"/>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w:t>
      </w:r>
      <w:r>
        <w:rPr>
          <w:rFonts w:ascii="Times New Roman" w:hAnsi="Times New Roman"/>
          <w:color w:val="000000"/>
          <w:sz w:val="20"/>
        </w:rPr>
        <w:t xml:space="preserve"> </w:t>
      </w:r>
      <w:r>
        <w:rPr>
          <w:rFonts w:ascii="Times New Roman" w:hAnsi="Times New Roman"/>
          <w:b/>
          <w:i/>
          <w:color w:val="000000"/>
          <w:sz w:val="22"/>
        </w:rPr>
        <w:t>Service Retainer)</w:t>
      </w:r>
      <w:r>
        <w:rPr>
          <w:rFonts w:ascii="Times New Roman" w:hAnsi="Times New Roman"/>
          <w:color w:val="000000"/>
          <w:sz w:val="22"/>
        </w:rPr>
        <w:t>:</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$25,000</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Science and Technology Committee: $22,500</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$15,000</w:t>
      </w:r>
    </w:p>
    <w:p>
      <w:pPr>
        <w:pStyle w:val="TextBody"/>
        <w:bidi w:val="0"/>
        <w:spacing w:before="0" w:after="0"/>
        <w:ind w:left="1440" w:right="0" w:hanging="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Chairperson of the Nominating and Corporate Governance Committee: $12,000</w:t>
      </w:r>
    </w:p>
    <w:p>
      <w:pPr>
        <w:pStyle w:val="TextBody"/>
        <w:bidi w:val="0"/>
        <w:ind w:left="720" w:right="0" w:hanging="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 in which the service occurred, prorated for any partial quarter of service (based on the number of days served in the applicable position divided by the total number of days in the quarter). All annual cash fees are vested upon payment.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Election to Receive Shares of Common Stock in Lieu of Cash Retainer</w:t>
      </w:r>
    </w:p>
    <w:p>
      <w:pPr>
        <w:pStyle w:val="TextBody"/>
        <w:bidi w:val="0"/>
        <w:spacing w:before="240" w:after="283"/>
        <w:ind w:left="720" w:right="0" w:hanging="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convert all of his or her cash compensation under Section I for the first calendar quarter that commences after December 31, 2021 and for any subsequent calendar quarter into an RSU Award (each, a “</w:t>
      </w:r>
      <w:r>
        <w:rPr>
          <w:rFonts w:ascii="Times New Roman" w:hAnsi="Times New Roman"/>
          <w:b/>
          <w:i/>
          <w:color w:val="000000"/>
          <w:sz w:val="22"/>
        </w:rPr>
        <w:t>Retainer Grant</w:t>
      </w:r>
      <w:r>
        <w:rPr>
          <w:color w:val="000000"/>
        </w:rPr>
        <w:t>”</w:t>
      </w:r>
      <w:r>
        <w:rPr>
          <w:rFonts w:ascii="Times New Roman" w:hAnsi="Times New Roman"/>
          <w:color w:val="000000"/>
          <w:sz w:val="22"/>
        </w:rPr>
        <w:t>) in accordance with this Section II(A)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xml:space="preserve">). If a Non-Employee Director timely makes a Retainer Grant Election pursuant to Section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720" w:right="0" w:hanging="0"/>
        <w:jc w:val="both"/>
        <w:rPr>
          <w:rFonts w:ascii="Times New Roman" w:hAnsi="Times New Roman"/>
          <w:color w:val="000000"/>
          <w:sz w:val="22"/>
        </w:rPr>
      </w:pPr>
      <w:r>
        <w:rPr>
          <w:rFonts w:ascii="Times New Roman" w:hAnsi="Times New Roman"/>
          <w:color w:val="000000"/>
          <w:sz w:val="22"/>
        </w:rPr>
        <w:t>II(B) below, then on the first business day following the applicable Retainer Accrual Date to which the Retainer Grant Election applies, and without any further action by the Board or designated committee of the Board, such Non-Employee Director automatically will be granted an RSU Award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Each Retainer Grant will be fully vested on the applicable grant date.</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Election Mechanics</w:t>
      </w:r>
      <w:r>
        <w:rPr>
          <w:rFonts w:ascii="Times New Roman" w:hAnsi="Times New Roman"/>
          <w:color w:val="000000"/>
          <w:sz w:val="22"/>
        </w:rPr>
        <w:t xml:space="preserve">. Each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Eligible Director revokes it in accordance with Section II(C) below. A Non-Employee Director who fails to make a timely Retainer Grant Election will not receive a Retainer Grant and instead will receive the cash compensation set forth under Section I. </w:t>
      </w:r>
    </w:p>
    <w:p>
      <w:pPr>
        <w:pStyle w:val="TextBody"/>
        <w:bidi w:val="0"/>
        <w:ind w:left="1440" w:right="0" w:hanging="0"/>
        <w:jc w:val="both"/>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pPr>
      <w:r>
        <w:rPr>
          <w:rFonts w:ascii="Times New Roman" w:hAnsi="Times New Roman"/>
          <w:b/>
          <w:color w:val="000000"/>
          <w:sz w:val="22"/>
        </w:rPr>
        <w:t>Revocation Mechanics</w:t>
      </w:r>
      <w:r>
        <w:rPr>
          <w:rFonts w:ascii="Times New Roman" w:hAnsi="Times New Roman"/>
          <w:color w:val="000000"/>
          <w:sz w:val="22"/>
        </w:rPr>
        <w:t>. The revocation of any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(II)(B).</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 and will be automatic and nondiscretionary (without the need for any additional corporate action by the Board or designated committee of the Board) and will be made in accordance with the following provisions: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b/>
          <w:color w:val="000000"/>
          <w:sz w:val="22"/>
        </w:rPr>
        <w:t>Initial Grant</w:t>
      </w:r>
      <w:r>
        <w:rPr>
          <w:rFonts w:ascii="Times New Roman" w:hAnsi="Times New Roman"/>
          <w:color w:val="000000"/>
          <w:sz w:val="22"/>
        </w:rPr>
        <w:t xml:space="preserve">. On the date of such Non-Employee Director’s initial election or appointment to the Board (or, if such date is not a market trading day, the first market trading day thereafter), the Non-Employee Director will be automatically, and without further action by the Board or Compensation Committee of the Board, granted a stock option to purchase a number of shares of the Company’s common stock equal to 67,300 shares of the Company’s common stock. The shares subject to each such stock option will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720" w:right="0" w:hanging="0"/>
        <w:jc w:val="both"/>
        <w:rPr>
          <w:rFonts w:ascii="Times New Roman" w:hAnsi="Times New Roman"/>
          <w:color w:val="000000"/>
          <w:sz w:val="22"/>
        </w:rPr>
      </w:pPr>
      <w:r>
        <w:rPr>
          <w:rFonts w:ascii="Times New Roman" w:hAnsi="Times New Roman"/>
          <w:color w:val="000000"/>
          <w:sz w:val="22"/>
        </w:rPr>
        <w:t>vest monthly over a three-year period, subject to the Non-Employee Director’s Continuous Service (as defined in the Plan) on each vesting date.</w:t>
      </w:r>
    </w:p>
    <w:p>
      <w:pPr>
        <w:pStyle w:val="TextBody"/>
        <w:bidi w:val="0"/>
        <w:ind w:left="0" w:right="0" w:firstLine="1440"/>
        <w:jc w:val="both"/>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Annual Grant</w:t>
      </w:r>
      <w:r>
        <w:rPr>
          <w:rFonts w:ascii="Times New Roman" w:hAnsi="Times New Roman"/>
          <w:color w:val="000000"/>
          <w:sz w:val="22"/>
        </w:rPr>
        <w:t>.</w:t>
      </w:r>
      <w:r>
        <w:rPr>
          <w:color w:val="000000"/>
        </w:rPr>
        <w:t xml:space="preserve"> </w:t>
      </w:r>
      <w:r>
        <w:rPr>
          <w:rFonts w:ascii="Times New Roman" w:hAnsi="Times New Roman"/>
          <w:color w:val="000000"/>
          <w:sz w:val="22"/>
        </w:rPr>
        <w:t>On the date of each annual stockholder meeting of the Company, each Non-Employee Director who continues to serve as a non-employee member of the Board following such stockholder meeting will be automatically, and without further action by the Board or Compensation Committee of the Board, granted a stock option to purchase 33,650 shares of the Company’s common stock (the “</w:t>
      </w:r>
      <w:r>
        <w:rPr>
          <w:rFonts w:ascii="Times New Roman" w:hAnsi="Times New Roman"/>
          <w:b/>
          <w:i/>
          <w:color w:val="000000"/>
          <w:sz w:val="22"/>
        </w:rPr>
        <w:t>Annual Grant</w:t>
      </w:r>
      <w:r>
        <w:rPr>
          <w:color w:val="000000"/>
        </w:rPr>
        <w:t>”</w:t>
      </w:r>
      <w:r>
        <w:rPr>
          <w:rFonts w:ascii="Times New Roman" w:hAnsi="Times New Roman"/>
          <w:color w:val="000000"/>
          <w:sz w:val="22"/>
        </w:rPr>
        <w:t xml:space="preserve">). The shares subject to the Annual Grant will vest in equal monthly installments over the 12 months following the date of grant, provided that the Annual Grant will in any case be fully vested on the date of Company’s next annual stockholder meeting, subject to the Non-Employee Director’s Continuous Service (as defined in the Plan) through such vesting date. </w:t>
      </w:r>
    </w:p>
    <w:p>
      <w:pPr>
        <w:pStyle w:val="TextBody"/>
        <w:bidi w:val="0"/>
        <w:ind w:left="0" w:right="0" w:firstLine="1440"/>
        <w:jc w:val="both"/>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pPr>
      <w:r>
        <w:rPr>
          <w:rFonts w:ascii="Times New Roman" w:hAnsi="Times New Roman"/>
          <w:b/>
          <w:color w:val="000000"/>
          <w:sz w:val="22"/>
        </w:rPr>
        <w:t>Change in Control.</w:t>
      </w:r>
      <w:r>
        <w:rPr>
          <w:color w:val="000000"/>
        </w:rPr>
        <w:t xml:space="preserve"> </w:t>
      </w:r>
      <w:r>
        <w:rPr>
          <w:rFonts w:ascii="Times New Roman" w:hAnsi="Times New Roman"/>
          <w:color w:val="000000"/>
          <w:sz w:val="22"/>
        </w:rPr>
        <w:t>Notwithstanding the foregoing, for each Non-Employee Director who remains in Continuous Service as of, or immediately prior to, a Change in Control, the equity awards that were granted pursuant to this Policy will become fully vested immediately prior to such Change in Control.</w:t>
      </w:r>
    </w:p>
    <w:p>
      <w:pPr>
        <w:pStyle w:val="TextBody"/>
        <w:bidi w:val="0"/>
        <w:ind w:left="1440" w:right="0" w:hanging="0"/>
        <w:jc w:val="both"/>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D.</w:t>
      </w:r>
    </w:p>
    <w:p>
      <w:pPr>
        <w:pStyle w:val="TextBody"/>
        <w:bidi w:val="0"/>
        <w:jc w:val="both"/>
        <w:rPr/>
      </w:pPr>
      <w:r>
        <w:rPr>
          <w:rFonts w:ascii="Times New Roman" w:hAnsi="Times New Roman"/>
          <w:b/>
          <w:color w:val="000000"/>
          <w:sz w:val="22"/>
        </w:rPr>
        <w:t>Additional Provisions</w:t>
      </w:r>
      <w:r>
        <w:rPr>
          <w:rFonts w:ascii="Times New Roman" w:hAnsi="Times New Roman"/>
          <w:color w:val="000000"/>
          <w:sz w:val="22"/>
        </w:rPr>
        <w:t xml:space="preserve">: All provisions of the Plan not inconsistent with this policy will apply to awards granted to a Non-Employee Director. Non-Employee Directors will be required to execute an award agreement in a form satisfactory to the Company prior to receipt of an Initial Grant or Annual Grant. </w:t>
      </w:r>
    </w:p>
    <w:p>
      <w:pPr>
        <w:pStyle w:val="TextBody"/>
        <w:pBdr/>
        <w:bidi w:val="0"/>
        <w:ind w:left="1440" w:right="0" w:hanging="72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IV.</w:t>
      </w:r>
    </w:p>
    <w:p>
      <w:pPr>
        <w:pStyle w:val="TextBody"/>
        <w:bidi w:val="0"/>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ind w:left="72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the cash compensation and equity compensation that each Non-Employee Director is entitled to receive under this Policy shall be subject to the limits set forth in Section 3(d) of the Plan.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w:t>
      </w:r>
    </w:p>
    <w:p>
      <w:pPr>
        <w:pStyle w:val="TextBody"/>
        <w:bidi w:val="0"/>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both"/>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pStyle w:val="TextBody"/>
        <w:pBdr/>
        <w:bidi w:val="0"/>
        <w:ind w:left="720" w:right="0" w:hanging="720"/>
        <w:jc w:val="both"/>
        <w:rPr/>
      </w:pPr>
      <w:r>
        <w:rPr/>
        <w:t> </w:t>
      </w:r>
    </w:p>
    <w:p>
      <w:pPr>
        <w:pStyle w:val="TextBody"/>
        <w:pBdr/>
        <w:bidi w:val="0"/>
        <w:ind w:left="720" w:right="0" w:hanging="720"/>
        <w:jc w:val="both"/>
        <w:rPr/>
      </w:pPr>
      <w:r>
        <w:rPr/>
        <w:t> </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Approved by the Board of Directors: November 4, 2020</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Effective: July 30, 2021</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Amended: February 5, 2024</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9" w:name="inab-ex10_8.htm"/>
      <w:bookmarkStart w:id="30" w:name="ksinabex10_8"/>
      <w:bookmarkEnd w:id="29"/>
      <w:bookmarkEnd w:id="30"/>
      <w:r>
        <w:rPr/>
        <w:t> </w:t>
      </w:r>
      <w:r>
        <w:br w:type="page"/>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September 6, 2024</w:t>
      </w:r>
    </w:p>
    <w:p>
      <w:pPr>
        <w:pStyle w:val="TextBody"/>
        <w:bidi w:val="0"/>
        <w:spacing w:before="480" w:after="283"/>
        <w:jc w:val="left"/>
        <w:rPr>
          <w:rFonts w:ascii="Times New Roman" w:hAnsi="Times New Roman"/>
          <w:sz w:val="20"/>
        </w:rPr>
      </w:pPr>
      <w:r>
        <w:rPr>
          <w:rFonts w:ascii="Times New Roman" w:hAnsi="Times New Roman"/>
          <w:i/>
          <w:color w:val="000000"/>
          <w:sz w:val="24"/>
        </w:rPr>
        <w:t>Via Email</w:t>
      </w:r>
      <w:r>
        <w:rPr>
          <w:rFonts w:ascii="Times New Roman" w:hAnsi="Times New Roman"/>
          <w:color w:val="000000"/>
          <w:sz w:val="24"/>
        </w:rPr>
        <w:br/>
        <w:br/>
        <w:t>Dr. Trishna Goswami</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Trishna:</w:t>
      </w:r>
    </w:p>
    <w:p>
      <w:pPr>
        <w:pStyle w:val="TextBody"/>
        <w:bidi w:val="0"/>
        <w:spacing w:before="0" w:after="240"/>
        <w:jc w:val="both"/>
        <w:rPr>
          <w:rFonts w:ascii="Times New Roman" w:hAnsi="Times New Roman"/>
          <w:sz w:val="20"/>
        </w:rPr>
      </w:pPr>
      <w:r>
        <w:rPr>
          <w:rFonts w:ascii="Times New Roman" w:hAnsi="Times New Roman"/>
          <w:color w:val="000000"/>
          <w:sz w:val="24"/>
        </w:rPr>
        <w:t>This letter sets forth the substance of the separation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that IN8bio,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Separation</w:t>
      </w:r>
      <w:r>
        <w:rPr>
          <w:rFonts w:ascii="Times New Roman" w:hAnsi="Times New Roman"/>
          <w:color w:val="000000"/>
          <w:sz w:val="24"/>
        </w:rPr>
        <w:t>. Your last day of work with the Company and your employment termination date will be September 6, 2024 (the “</w:t>
      </w:r>
      <w:r>
        <w:rPr>
          <w:rFonts w:ascii="Times New Roman" w:hAnsi="Times New Roman"/>
          <w:b/>
          <w:color w:val="000000"/>
          <w:sz w:val="24"/>
        </w:rPr>
        <w:t>Separation Date</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Accrued Compensation</w:t>
      </w:r>
      <w:r>
        <w:rPr>
          <w:rFonts w:ascii="Times New Roman" w:hAnsi="Times New Roman"/>
          <w:color w:val="000000"/>
          <w:sz w:val="24"/>
        </w:rPr>
        <w:t>. In the next scheduled payroll cycle after the Separation Date, the Company will pay you all accrued salary earned through the Separation Date, subject to standard payroll deductions and withholdings. You will receive your accrued but unpaid compensation regardless of whether you sign this Agreement. Because the Company has a nonaccrual vacation policy, you do not have any accrued vacation or other paid time off and thus will not be paid out for any accrued vacation or other paid time off.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Severance Payment.</w:t>
      </w:r>
      <w:r>
        <w:rPr>
          <w:color w:val="000000"/>
        </w:rPr>
        <w:t xml:space="preserve"> </w:t>
      </w:r>
      <w:r>
        <w:rPr>
          <w:rFonts w:ascii="Times New Roman" w:hAnsi="Times New Roman"/>
          <w:color w:val="000000"/>
          <w:sz w:val="24"/>
        </w:rPr>
        <w:t>Although the Company has no obligation to do so, if you timely sign this Agreement and comply with your obligations under it (collectively, the “</w:t>
      </w:r>
      <w:r>
        <w:rPr>
          <w:rFonts w:ascii="Times New Roman" w:hAnsi="Times New Roman"/>
          <w:b/>
          <w:color w:val="000000"/>
          <w:sz w:val="24"/>
        </w:rPr>
        <w:t>Severance Preconditions</w:t>
      </w:r>
      <w:r>
        <w:rPr>
          <w:color w:val="000000"/>
        </w:rPr>
        <w:t>”</w:t>
      </w:r>
      <w:r>
        <w:rPr>
          <w:rFonts w:ascii="Times New Roman" w:hAnsi="Times New Roman"/>
          <w:color w:val="000000"/>
          <w:sz w:val="24"/>
        </w:rPr>
        <w:t xml:space="preserve">), the Company will pay you, as severance, the equivalent of two (2) months of your base salary in effect as of the Separation Date, subject to standard payroll deductions and withholdings. This amount will be paid in a lump sum within ten (10) business days after the Effective Date (as defined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Health Insurance.</w:t>
      </w:r>
      <w:r>
        <w:rPr>
          <w:color w:val="000000"/>
        </w:rPr>
        <w:t xml:space="preserve"> </w:t>
      </w:r>
      <w:r>
        <w:rPr>
          <w:rFonts w:ascii="Times New Roman" w:hAnsi="Times New Roman"/>
          <w:color w:val="000000"/>
          <w:sz w:val="24"/>
        </w:rPr>
        <w:t>Unless you follow the procedures set forth in this section, your participation in the Company’s group health insurance plan will end on the last day of the month in which the Separation Date occurs. To the extent provided by the federal COBRA law or, if applicable, 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Equity Interests.</w:t>
      </w:r>
      <w:r>
        <w:rPr>
          <w:color w:val="000000"/>
        </w:rPr>
        <w:t xml:space="preserve"> </w:t>
      </w:r>
      <w:r>
        <w:rPr>
          <w:rFonts w:ascii="Times New Roman" w:hAnsi="Times New Roman"/>
          <w:color w:val="000000"/>
          <w:sz w:val="24"/>
        </w:rPr>
        <w:t xml:space="preserve">Under the terms of your stock option agreement(s) and the applicable plan documents (if any), vesting of your stock option(s) (if any) will cease as of the Separation Date. Your right to exercise any vested shares, and all other rights and obligations with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2</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to your stock option(s), will be as set forth in your stock option agreement(s), grant notice(s), and applicable plan documents.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You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You agree that, within five (5) calendar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Release of Claims</w:t>
      </w:r>
      <w:r>
        <w:rPr>
          <w:rFonts w:ascii="Times New Roman" w:hAnsi="Times New Roman"/>
          <w:color w:val="000000"/>
          <w:sz w:val="24"/>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(a)</w:t>
      </w:r>
    </w:p>
    <w:p>
      <w:pPr>
        <w:pStyle w:val="TextBody"/>
        <w:bidi w:val="0"/>
        <w:spacing w:before="0" w:after="240"/>
        <w:jc w:val="both"/>
        <w:rPr/>
      </w:pPr>
      <w:r>
        <w:rPr>
          <w:rFonts w:ascii="Times New Roman" w:hAnsi="Times New Roman"/>
          <w:b/>
          <w:color w:val="000000"/>
          <w:sz w:val="24"/>
        </w:rPr>
        <w:t>Scope of Release</w:t>
      </w:r>
      <w:r>
        <w:rPr>
          <w:rFonts w:ascii="Times New Roman" w:hAnsi="Times New Roman"/>
          <w:color w:val="000000"/>
          <w:sz w:val="24"/>
        </w:rPr>
        <w:t>. 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investors, administrators, attorneys, benefit plans, plan administrators, professional employer organization or co-employer, trustees, divisions, predecessors, successors, insurers, affiliates, and assigns (collectively, the “</w:t>
      </w:r>
      <w:r>
        <w:rPr>
          <w:rFonts w:ascii="Times New Roman" w:hAnsi="Times New Roman"/>
          <w:b/>
          <w:color w:val="000000"/>
          <w:sz w:val="24"/>
        </w:rPr>
        <w:t>Releasees</w:t>
      </w:r>
      <w:r>
        <w:rPr>
          <w:color w:val="000000"/>
        </w:rPr>
        <w:t>”</w:t>
      </w:r>
      <w:r>
        <w:rPr>
          <w:rFonts w:ascii="Times New Roman" w:hAnsi="Times New Roman"/>
          <w:color w:val="000000"/>
          <w:sz w:val="24"/>
        </w:rPr>
        <w:t>) from any and all claims, liabilities, demands, causes of action, and obligations, both known and unknown, arising from or in any way related to events, acts, conduct, or omissions occurring at any time prior to and including the date you sign this Agreement. This general release includes, but is not limited to: (a) all claims arising from or in any way related to your employment or relationship with the Releasees or the termination of that employment or relationship; (b) all claims related to your compensation or benefits from the Releasees, including salary, bonuses, commissions, vacation pay, expense reimbursements, severance pay, fringe benefits, stock, stock options, or any other ownership, equity, or profits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hAnsi="Times New Roman"/>
          <w:b/>
          <w:color w:val="000000"/>
          <w:sz w:val="24"/>
        </w:rPr>
        <w:t>ADEA</w:t>
      </w:r>
      <w:r>
        <w:rPr>
          <w:color w:val="000000"/>
        </w:rPr>
        <w:t>”</w:t>
      </w:r>
      <w:r>
        <w:rPr>
          <w:rFonts w:ascii="Times New Roman" w:hAnsi="Times New Roman"/>
          <w:color w:val="000000"/>
          <w:sz w:val="24"/>
        </w:rPr>
        <w:t xml:space="preserve">), the New York State Human Rights Law, the New York Executive Law, the New York Civil Practice Law and Rules, the New York Judiciary Law, the New York Corrections Law, the New York Labor Law, the New York Civil Rights Law, the New York City Administrative Code, the New York City Human Rights Law, the New York Hours of Labor Law, the New York Wage Payment Law, the New York Minimum Wage Act, the New York Whistleblower Law, and the New York Off-Duty Conduct Lawful Activities Discrimination Law.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(b)</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Notwithstanding the foregoing, you are not releasing the Releasees hereby from: (i) any obligation to indemnify you pursuant to the Articles and Bylaws of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3</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the Company or any of the other Releasees, any valid fully executed indemnification agreement with the Company or any of the other Releasees, applicable law, or applicable directors and officers liability insurance; (ii) any claims that cannot be waived by law; or (iii) any claims for breach of this Agreement.</w:t>
      </w:r>
      <w:r>
        <w:rPr>
          <w:color w:val="000000"/>
        </w:rPr>
        <w:t xml:space="preserve"> </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w:t>
      </w:r>
    </w:p>
    <w:p>
      <w:pPr>
        <w:pStyle w:val="TextBody"/>
        <w:bidi w:val="0"/>
        <w:spacing w:before="0" w:after="240"/>
        <w:jc w:val="both"/>
        <w:rPr/>
      </w:pPr>
      <w:r>
        <w:rPr>
          <w:rFonts w:ascii="Times New Roman" w:hAnsi="Times New Roman"/>
          <w:b/>
          <w:color w:val="000000"/>
          <w:sz w:val="24"/>
        </w:rPr>
        <w:t xml:space="preserve">Protected Rights. </w:t>
      </w:r>
      <w:r>
        <w:rPr>
          <w:rFonts w:ascii="Times New Roman" w:hAnsi="Times New Roman"/>
          <w:color w:val="000000"/>
          <w:sz w:val="24"/>
        </w:rPr>
        <w:t>You understand that nothing in this Agreement limits your ability to file a charge or complaint with the Equal Employment Opportunity Commission, the Department of Labor, the National Labor Relations Board, the Occupational Safety and Health Administration, the New York State Department of Labor, the Securities and Exchange Commission, or any other government agency, law enforcement agency, or commission (“</w:t>
      </w:r>
      <w:r>
        <w:rPr>
          <w:rFonts w:ascii="Times New Roman" w:hAnsi="Times New Roman"/>
          <w:b/>
          <w:color w:val="000000"/>
          <w:sz w:val="24"/>
        </w:rPr>
        <w:t>Government Agencies</w:t>
      </w:r>
      <w:r>
        <w:rPr>
          <w:color w:val="000000"/>
        </w:rPr>
        <w:t>”</w:t>
      </w:r>
      <w:r>
        <w:rPr>
          <w:rFonts w:ascii="Times New Roman" w:hAnsi="Times New Roman"/>
          <w:color w:val="000000"/>
          <w:sz w:val="24"/>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waives any rights you may have under Section 7 of the National Labor Relations Act (subject to the release of claims set forth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Return of Company Property</w:t>
      </w:r>
      <w:r>
        <w:rPr>
          <w:rFonts w:ascii="Times New Roman" w:hAnsi="Times New Roman"/>
          <w:color w:val="000000"/>
          <w:sz w:val="24"/>
        </w:rPr>
        <w:t xml:space="preserve">. You agree that, by the Separation Date,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If you have used any personally owned computer or other electronic device, server, or e-mail system to receive, store, review, prepare, or transmit any Company confidential or proprietary data, materials or information, by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You agree that, as of the Separation Date, you are no longer authorized to access Company confidential information and systems, including, without limitation, Company email and software programs, and you will not attempt to access or gain entry to such information or systems. </w:t>
      </w:r>
      <w:r>
        <w:rPr>
          <w:rFonts w:ascii="Times New Roman" w:hAnsi="Times New Roman"/>
          <w:b/>
          <w:color w:val="000000"/>
          <w:sz w:val="24"/>
        </w:rPr>
        <w:t>Your compliance with this section, including your timely return of Company property, is a condition to your receipt of the severance benefits provided under this Agreement.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4</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Proprietary Information Obligations</w:t>
      </w:r>
      <w:r>
        <w:rPr>
          <w:rFonts w:ascii="Times New Roman" w:hAnsi="Times New Roman"/>
          <w:color w:val="000000"/>
          <w:sz w:val="24"/>
        </w:rPr>
        <w:t>. You acknowledge and reaffirm your continuing obligations under your Employee Confidential Information and Inventions Assignment Agreement dated October 7, 2021 (the “</w:t>
      </w:r>
      <w:r>
        <w:rPr>
          <w:rFonts w:ascii="Times New Roman" w:hAnsi="Times New Roman"/>
          <w:b/>
          <w:color w:val="000000"/>
          <w:sz w:val="24"/>
        </w:rPr>
        <w:t>Confidentiality Agreement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Confidentiality</w:t>
      </w:r>
      <w:r>
        <w:rPr>
          <w:rFonts w:ascii="Times New Roman" w:hAnsi="Times New Roman"/>
          <w:color w:val="000000"/>
          <w:sz w:val="24"/>
        </w:rPr>
        <w:t xml:space="preserve">. The provisions of this Agreement will be held in strictest confidence by you and will not be publicized or disclosed by you in any manner whatsoever;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(a) you may disclose this Agreement in confidence to your immediate family and to your attorneys, accountants, tax preparers and financial advisors; (b) you may disclose this Agreement insofar as such disclosure may be necessary to enforce its terms or as otherwise required by law; and (c) you may disclose this Agreement to the extent permitted by the “Protected Rights” section above or in furtherance of your rights under Section 7 of the National Labor Relations Act, if applicable. You acknowledge and agree that you have not raised any claim or allegation involving harassment, discrimination, or retaliation, that may be subject to or covered under N.Y. C.P.L.R. § 5003-b and N.Y. General Obligations Law § 5-336.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 xml:space="preserve">Non-disparagement. </w:t>
      </w:r>
      <w:r>
        <w:rPr>
          <w:rFonts w:ascii="Times New Roman" w:hAnsi="Times New Roman"/>
          <w:color w:val="000000"/>
          <w:sz w:val="24"/>
        </w:rPr>
        <w:t xml:space="preserve">Except to the extent permitted by the “Protected Rights” section above, you agree to refrain from any disparaging statements about the Company or any of the other Releasees, including, without limitation, the business, products, intellectual property, financial standing, future, or employment/compensation/benefit practices of the Company or any of the other Releasees; provided that you may respond accurately and fully to any request for information if required by legal process or in connection with a governmental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You affirm that you have not disparaged the Releasees from the date you receive this Agreement through the date you sign this Agreement. You further agree that, by no later than the Effective Date, you shall delete or otherwise remove any and all disparaging public comments or statements that you made prior to the Effective Date about or relating to the Releasees, including, but not limited to, comments in online forums or on websites (including, but not limited to, Facebook, Instagram, Twitter, Glassdoor, Yelp, and LinkedIn), except those comments or statements permitted by the “Protected Rights” section. You shall direct any inquiries by potential future employers to the Company’s human resources department, which shall use its best efforts to provide only your last position and dates of employment. You agree to revise and update publicly available information, including professional and social networking websites such as LinkedIn and Facebook, within one (1) week of the Separation Date to remove any indication that you are employed by the Company. </w:t>
      </w:r>
      <w:r>
        <w:rPr>
          <w:rFonts w:ascii="Times New Roman" w:hAnsi="Times New Roman"/>
          <w:b/>
          <w:color w:val="000000"/>
          <w:sz w:val="24"/>
        </w:rPr>
        <w:t xml:space="preserve">Your violation of this section shall be a material breach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Voluntary Adverse Action. You agree that you will not voluntarily (except in response to legal compulsion or as permitted under the “Protected Rights” section above)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Cooperation.</w:t>
      </w:r>
      <w:r>
        <w:rPr>
          <w:color w:val="000000"/>
        </w:rPr>
        <w:t xml:space="preserve"> </w:t>
      </w:r>
      <w:r>
        <w:rPr>
          <w:rFonts w:ascii="Times New Roman" w:hAnsi="Times New Roman"/>
          <w:color w:val="000000"/>
          <w:sz w:val="24"/>
        </w:rPr>
        <w:t xml:space="preserve">You agree to cooperate fully with the Company in connection with its actual or contemplated defense, prosecution, or investigation of any claims or demands by or against third parties, or other matters arising from events, acts, or failures to act that occurred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5</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No Admissions. </w:t>
      </w:r>
      <w:r>
        <w:rPr>
          <w:rFonts w:ascii="Times New Roman" w:hAnsi="Times New Roman"/>
          <w:color w:val="000000"/>
          <w:sz w:val="24"/>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Breach; Attorneys’ Fees</w:t>
      </w:r>
      <w:r>
        <w:rPr>
          <w:rFonts w:ascii="Times New Roman" w:hAnsi="Times New Roman"/>
          <w:color w:val="000000"/>
          <w:sz w:val="24"/>
        </w:rPr>
        <w:t xml:space="preserve">. You acknowledge and agree that any material breach of this Agreement, or its exhibits (if any), shall entitle the Company immediately to recover and/or cease providing the consideration provided to you under this Agreement and to obtain damages and injunctive relief, except as provided by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shall not recover Fifty Dollars ($50.00) of the consideration already paid pursuant to this Agreement and such amount shall serve as full and complete consideration for the promises and obligations assumed by you under this Agreement and its exhibits (if any). In addition, in the event that the Company prevails in an action to enforce or effect its rights under this Agreement or its exhibits (if any), the Company shall be entitled to recover its costs and expenses, including the costs of mediation, arbitration, litigation, court fees, and reasonable attorneys’ fees incurred in connection with such an 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Representations.</w:t>
      </w:r>
      <w:r>
        <w:rPr>
          <w:color w:val="000000"/>
        </w:rPr>
        <w:t xml:space="preserve"> </w:t>
      </w:r>
      <w:r>
        <w:rPr>
          <w:rFonts w:ascii="Times New Roman" w:hAnsi="Times New Roman"/>
          <w:color w:val="000000"/>
          <w:sz w:val="24"/>
        </w:rPr>
        <w:t>You hereby represent that you have: been paid all compensation owed and for all hours worked; received all leave and leave benefits and protections for which you are eligible pursuant to the Family and Medical Leave Act, the New York Paid Family Leave Act, or otherwise; and not suffered any on-the-job injury for which you have not already filed a workers’ compensation claim. In addition, you hereby represent that, prior to your execution of this Agreement, you have not engaged in any knowing or intentional wrongful or fraudulent conduct which resulted in, or was reasonably likely to result in, material harm to the Company, and you agree that you will not engage in such conduct following your execution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Dispute Resolution</w:t>
      </w:r>
      <w:r>
        <w:rPr>
          <w:rFonts w:ascii="Times New Roman" w:hAnsi="Times New Roman"/>
          <w:b/>
          <w:smallCaps/>
          <w:color w:val="000000"/>
          <w:sz w:val="24"/>
        </w:rPr>
        <w:t>.</w:t>
      </w:r>
      <w:r>
        <w:rPr>
          <w:color w:val="000000"/>
        </w:rPr>
        <w:t xml:space="preserve"> </w:t>
      </w:r>
      <w:bookmarkStart w:id="31" w:name="ole_link3"/>
      <w:bookmarkEnd w:id="31"/>
      <w:r>
        <w:rPr>
          <w:rFonts w:ascii="Times New Roman" w:hAnsi="Times New Roman"/>
          <w:color w:val="000000"/>
          <w:sz w:val="24"/>
        </w:rPr>
        <w:t>You and the Company agree that any and all disputes, claims, or controversies of any nature whatsoever arising from, or relating to, this Agreement or its interpretation, enforcement, breach, performance, or execution, or any of the matters herein released (collectively, “</w:t>
      </w:r>
      <w:r>
        <w:rPr>
          <w:rFonts w:ascii="Times New Roman" w:hAnsi="Times New Roman"/>
          <w:b/>
          <w:color w:val="000000"/>
          <w:sz w:val="24"/>
        </w:rPr>
        <w:t>Claims</w:t>
      </w:r>
      <w:r>
        <w:rPr>
          <w:rFonts w:ascii="Times New Roman" w:hAnsi="Times New Roman"/>
          <w:color w:val="000000"/>
          <w:sz w:val="24"/>
        </w:rPr>
        <w:t>,” each a “</w:t>
      </w:r>
      <w:r>
        <w:rPr>
          <w:rFonts w:ascii="Times New Roman" w:hAnsi="Times New Roman"/>
          <w:b/>
          <w:color w:val="000000"/>
          <w:sz w:val="24"/>
        </w:rPr>
        <w:t>Claim</w:t>
      </w:r>
      <w:r>
        <w:rPr>
          <w:color w:val="000000"/>
        </w:rPr>
        <w:t>”</w:t>
      </w:r>
      <w:r>
        <w:rPr>
          <w:rFonts w:ascii="Times New Roman" w:hAnsi="Times New Roman"/>
          <w:color w:val="000000"/>
          <w:sz w:val="24"/>
        </w:rPr>
        <w:t>), shall be resolved, pursuant to the Federal Arbitration Act, 9 U.S.C. §1-16, and to the fullest extent permitted by law, by final, binding, and confidential arbitration at a location closest to where you last worked for the Company or another mutually agreeable location. The arbitration shall be conducted before a single neutral arbitrator by JAMS, Inc. (“</w:t>
      </w:r>
      <w:r>
        <w:rPr>
          <w:rFonts w:ascii="Times New Roman" w:hAnsi="Times New Roman"/>
          <w:b/>
          <w:color w:val="000000"/>
          <w:sz w:val="24"/>
        </w:rPr>
        <w:t>JAMS</w:t>
      </w:r>
      <w:r>
        <w:rPr>
          <w:color w:val="000000"/>
        </w:rPr>
        <w:t>”</w:t>
      </w:r>
      <w:r>
        <w:rPr>
          <w:rFonts w:ascii="Times New Roman" w:hAnsi="Times New Roman"/>
          <w:color w:val="000000"/>
          <w:sz w:val="24"/>
        </w:rPr>
        <w:t>) or its successor, under the then applicable JAMS Comprehensive Arbitration Rules and Procedures (currently available at https://www.jamsadr.com/rules-comprehensive-arbitration) (“</w:t>
      </w:r>
      <w:r>
        <w:rPr>
          <w:rFonts w:ascii="Times New Roman" w:hAnsi="Times New Roman"/>
          <w:b/>
          <w:color w:val="000000"/>
          <w:sz w:val="24"/>
        </w:rPr>
        <w:t>JAMS Rules</w:t>
      </w:r>
      <w:r>
        <w:rPr>
          <w:color w:val="000000"/>
        </w:rPr>
        <w:t>”</w:t>
      </w:r>
      <w:r>
        <w:rPr>
          <w:rFonts w:ascii="Times New Roman" w:hAnsi="Times New Roman"/>
          <w:color w:val="000000"/>
          <w:sz w:val="24"/>
        </w:rPr>
        <w:t xml:space="preserve">) and New York law. Both you and the Company opt into the Expedited Procedures under the JAMS Rules. The arbitrator shall apply substantive and procedural New York law to any dispute or claim, without reference to any conflict-of-law provisions of any jurisdiction. To the extent that the JAMS Rules conflict with New York law,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6</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 xml:space="preserve">New York law shall take precedence. The parties agree that punitive damages shall not be available in arbitration. </w:t>
      </w:r>
      <w:r>
        <w:rPr>
          <w:rFonts w:ascii="Times New Roman" w:hAnsi="Times New Roman"/>
          <w:b/>
          <w:color w:val="000000"/>
          <w:sz w:val="24"/>
        </w:rPr>
        <w:t xml:space="preserve">By agreeing to this arbitration procedure, both you and the Company waive the right to have any Claim resolved through a trial by jury or judge or an administrative proceeding. </w:t>
      </w:r>
      <w:r>
        <w:rPr>
          <w:rFonts w:ascii="Times New Roman" w:hAnsi="Times New Roman"/>
          <w:color w:val="000000"/>
          <w:sz w:val="24"/>
        </w:rPr>
        <w:t>This section shall not apply to any action or claim that cannot be subject 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provided, however, that the arbitrator shall award attorneys’ fees and costs to the prevailing party,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 xml:space="preserve">Effective Date. </w:t>
      </w:r>
      <w:r>
        <w:rPr>
          <w:rFonts w:ascii="Times New Roman" w:hAnsi="Times New Roman"/>
          <w:color w:val="000000"/>
          <w:sz w:val="24"/>
        </w:rPr>
        <w:t>This Agreement will be null and void if not signed and returned to the undersigned by the close of business on September 9, 2024. Subject to the prior sentence, this Agreement will become effective on the day you sign it (the “</w:t>
      </w:r>
      <w:r>
        <w:rPr>
          <w:rFonts w:ascii="Times New Roman" w:hAnsi="Times New Roman"/>
          <w:b/>
          <w:color w:val="000000"/>
          <w:sz w:val="24"/>
        </w:rPr>
        <w:t>Effective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 xml:space="preserve">This Agreement, including its exhibits (if any), constitutes the complete, final, and exclusive embodiment of the entire agreement between you and the Company with regard to its subject matter, and supersedes and replaces any and all prior agreements and understandings concerning the subject matter of this Agreement and your relationship with the Company, including under any applicable offer letter or employment agreement, provided, however, that nothing in this Agreement modifies, supersedes, voids, or otherwise alters your Confidentiality Agreement or other documents specifically identified in this agreement (except as expressly modified herein), or any other continuing obligations you owe the Company which survive the termination of your employment.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New York without regard to conflict of laws principles. Any ambiguity in this Agreement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7</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 You acknowledge that you have been advised that you should consult with an attorney prior to signing this Agreement (although you may choose voluntarily not to do so).</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8</w:t>
      </w:r>
    </w:p>
    <w:p>
      <w:pPr>
        <w:pStyle w:val="TextBody"/>
        <w:bidi w:val="0"/>
        <w:jc w:val="both"/>
        <w:rPr/>
      </w:pPr>
      <w:r>
        <w:rPr/>
        <w:t> </w:t>
      </w:r>
    </w:p>
    <w:p>
      <w:pPr>
        <w:pStyle w:val="TextBody"/>
        <w:bidi w:val="0"/>
        <w:spacing w:before="0" w:after="24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Page 9</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If this Agreement is acceptable to you, please sign below and return the original to 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 wish you the best in your future endeavors.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Sincerely,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William Ho </w:t>
      </w:r>
    </w:p>
    <w:p>
      <w:pPr>
        <w:pStyle w:val="TextBody"/>
        <w:bidi w:val="0"/>
        <w:jc w:val="both"/>
        <w:rPr>
          <w:rFonts w:ascii="Times New Roman" w:hAnsi="Times New Roman"/>
          <w:color w:val="000000"/>
          <w:sz w:val="24"/>
        </w:rPr>
      </w:pPr>
      <w:r>
        <w:rPr>
          <w:rFonts w:ascii="Times New Roman" w:hAnsi="Times New Roman"/>
          <w:color w:val="000000"/>
          <w:sz w:val="24"/>
        </w:rPr>
        <w:t>William Ho</w:t>
      </w:r>
    </w:p>
    <w:p>
      <w:pPr>
        <w:pStyle w:val="TextBody"/>
        <w:bidi w:val="0"/>
        <w:jc w:val="both"/>
        <w:rPr>
          <w:rFonts w:ascii="Times New Roman" w:hAnsi="Times New Roman"/>
          <w:color w:val="000000"/>
          <w:sz w:val="24"/>
        </w:rPr>
      </w:pPr>
      <w:r>
        <w:rPr>
          <w:rFonts w:ascii="Times New Roman" w:hAnsi="Times New Roman"/>
          <w:color w:val="000000"/>
          <w:sz w:val="24"/>
        </w:rPr>
        <w:t>Chief Executive Officer</w:t>
      </w:r>
    </w:p>
    <w:p>
      <w:pPr>
        <w:pStyle w:val="TextBody"/>
        <w:bidi w:val="0"/>
        <w:jc w:val="both"/>
        <w:rPr/>
      </w:pPr>
      <w:r>
        <w:rPr/>
        <w:t> </w:t>
      </w:r>
    </w:p>
    <w:p>
      <w:pPr>
        <w:pStyle w:val="TextBody"/>
        <w:bidi w:val="0"/>
        <w:spacing w:before="0" w:after="480"/>
        <w:jc w:val="both"/>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I have read, understand and agree fully to the foregoing Agreement:</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Trishna Goswami, MD </w:t>
      </w:r>
    </w:p>
    <w:p>
      <w:pPr>
        <w:pStyle w:val="TextBody"/>
        <w:bidi w:val="0"/>
        <w:jc w:val="left"/>
        <w:rPr>
          <w:rFonts w:ascii="Times New Roman" w:hAnsi="Times New Roman"/>
          <w:b/>
          <w:color w:val="000000"/>
          <w:sz w:val="24"/>
        </w:rPr>
      </w:pPr>
      <w:r>
        <w:rPr>
          <w:rFonts w:ascii="Times New Roman" w:hAnsi="Times New Roman"/>
          <w:b/>
          <w:color w:val="000000"/>
          <w:sz w:val="24"/>
        </w:rPr>
        <w:t>Trishna Goswami, MD</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September 8, 2024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Date</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smallCaps/>
          <w:color w:val="000000"/>
          <w:sz w:val="24"/>
        </w:rPr>
      </w:pPr>
      <w:bookmarkStart w:id="32" w:name="inab-ex10_9.htm"/>
      <w:bookmarkStart w:id="33" w:name="ksinabex10_9"/>
      <w:bookmarkEnd w:id="32"/>
      <w:bookmarkEnd w:id="33"/>
      <w:r>
        <w:rPr>
          <w:rFonts w:ascii="Times New Roman" w:hAnsi="Times New Roman"/>
          <w:b/>
          <w:smallCaps/>
          <w:color w:val="000000"/>
          <w:sz w:val="24"/>
        </w:rPr>
        <w:t>IN8BIO, Inc.</w:t>
      </w:r>
      <w:r>
        <w:br w:type="page"/>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pBdr>
          <w:bottom w:val="single" w:sz="4" w:space="9" w:color="000000"/>
        </w:pBdr>
        <w:bidi w:val="0"/>
        <w:spacing w:before="0" w:after="240"/>
        <w:jc w:val="left"/>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IN8bio,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will be eligible to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 Unless otherwise defined herein, capitalized terms used in this Policy will have the meaning given to such terms in the Company’s 2020 Equity Incentive Plan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may be amended at any time in the sole discretion of the Board or the Compensation Committee of the Board.</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2"/>
        </w:rPr>
        <w:t>All Non-Employee Directors: $35,600</w:t>
      </w:r>
      <w:r>
        <w:rPr>
          <w:color w:val="000000"/>
        </w:rPr>
        <w:t xml:space="preserve">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$57,850</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Annual Committee Member 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$8,900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Science and Technology Committee: $6,675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$4,450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Member of the Nominating and Corporate Governance Committee: $3,560</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w:t>
      </w:r>
      <w:r>
        <w:rPr>
          <w:rFonts w:ascii="Times New Roman" w:hAnsi="Times New Roman"/>
          <w:color w:val="000000"/>
          <w:sz w:val="20"/>
        </w:rPr>
        <w:t xml:space="preserve"> </w:t>
      </w:r>
      <w:r>
        <w:rPr>
          <w:rFonts w:ascii="Times New Roman" w:hAnsi="Times New Roman"/>
          <w:b/>
          <w:i/>
          <w:color w:val="000000"/>
          <w:sz w:val="22"/>
        </w:rPr>
        <w:t>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$22,250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Science and Technology Committee: $20,025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$13,350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Chairperson of the Nominating and Corporate Governance Committee: $10,680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 in which the service occurred, prorated for any partial quarter of service (based on the number of days served in the applicable position divided by the total number of days in the quarter). All annual cash fees are vested upon payment.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Election to Receive Shares of Common Stock in Lieu of Cash Retainer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convert all of his or her cash compensation under Section I for the first calendar quarter that commences after December 31, 2021 and for any subsequent calendar quarter into an RSU Award (each, a “</w:t>
      </w:r>
      <w:r>
        <w:rPr>
          <w:rFonts w:ascii="Times New Roman" w:hAnsi="Times New Roman"/>
          <w:b/>
          <w:i/>
          <w:color w:val="000000"/>
          <w:sz w:val="22"/>
        </w:rPr>
        <w:t xml:space="preserve">Retainer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b/>
          <w:i/>
          <w:color w:val="000000"/>
          <w:sz w:val="22"/>
        </w:rPr>
        <w:t>Grant</w:t>
      </w:r>
      <w:r>
        <w:rPr>
          <w:color w:val="000000"/>
        </w:rPr>
        <w:t>”</w:t>
      </w:r>
      <w:r>
        <w:rPr>
          <w:rFonts w:ascii="Times New Roman" w:hAnsi="Times New Roman"/>
          <w:color w:val="000000"/>
          <w:sz w:val="22"/>
        </w:rPr>
        <w:t>) in accordance with this Section II(A)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If a Non-Employee Director timely makes a Retainer Grant Election pursuant to Section II(B) below, then on the first business day following the applicable Retainer Accrual Date to which the Retainer Grant Election applies, and without any further action by the Board or designated committee of the Board, such Non-Employee Director automatically will be granted an RSU Award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Each Retainer Grant will be fully vested on the applicable grant date.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Election Mechanics</w:t>
      </w:r>
      <w:r>
        <w:rPr>
          <w:rFonts w:ascii="Times New Roman" w:hAnsi="Times New Roman"/>
          <w:color w:val="000000"/>
          <w:sz w:val="22"/>
        </w:rPr>
        <w:t xml:space="preserve">. Each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Eligible Director revokes it in accordance with Section II(C) below. A Non-Employee Director who fails to make a timely Retainer Grant Election will not receive a Retainer Grant and instead will receive the cash compensation set forth under Section I.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pPr>
      <w:r>
        <w:rPr>
          <w:rFonts w:ascii="Times New Roman" w:hAnsi="Times New Roman"/>
          <w:b/>
          <w:color w:val="000000"/>
          <w:sz w:val="22"/>
        </w:rPr>
        <w:t>Revocation Mechanics</w:t>
      </w:r>
      <w:r>
        <w:rPr>
          <w:rFonts w:ascii="Times New Roman" w:hAnsi="Times New Roman"/>
          <w:color w:val="000000"/>
          <w:sz w:val="22"/>
        </w:rPr>
        <w:t>. The revocation of any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(II)(B).</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 and will be automatic and nondiscretionary (without the need for any additional corporate action by the Board or designated committee of the Board) and will be made in accordance with the following provisions: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b/>
          <w:color w:val="000000"/>
          <w:sz w:val="22"/>
        </w:rPr>
        <w:t>Initial Grant</w:t>
      </w:r>
      <w:r>
        <w:rPr>
          <w:rFonts w:ascii="Times New Roman" w:hAnsi="Times New Roman"/>
          <w:color w:val="000000"/>
          <w:sz w:val="22"/>
        </w:rPr>
        <w:t xml:space="preserve">. On the date of such Non-Employee Director’s initial election or appointment to the Board (or, if such date is not a market trading day, the first market trading day thereafter), the Non-Employee Director will be automatically, and without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further action by the Board or Compensation Committee of the Board, granted a stock option to purchase a number of shares of the Company’s common stock equal to 67,300 shares of the Company’s common stock. The shares subject to each such stock option will vest monthly over a three-year period, subject to the Non-Employee Director’s Continuous Service (as defined in the Plan) on each vesting date.</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Annual Grant</w:t>
      </w:r>
      <w:r>
        <w:rPr>
          <w:rFonts w:ascii="Times New Roman" w:hAnsi="Times New Roman"/>
          <w:color w:val="000000"/>
          <w:sz w:val="22"/>
        </w:rPr>
        <w:t>.</w:t>
      </w:r>
      <w:r>
        <w:rPr>
          <w:color w:val="000000"/>
        </w:rPr>
        <w:t xml:space="preserve"> </w:t>
      </w:r>
      <w:r>
        <w:rPr>
          <w:rFonts w:ascii="Times New Roman" w:hAnsi="Times New Roman"/>
          <w:color w:val="000000"/>
          <w:sz w:val="22"/>
        </w:rPr>
        <w:t>On the date of each annual stockholder meeting of the Company, each Non-Employee Director who continues to serve as a non-employee member of the Board following such stockholder meeting will be automatically, and without further action by the Board or Compensation Committee of the Board, granted a stock option to purchase 33,650 shares of the Company’s common stock (the “</w:t>
      </w:r>
      <w:r>
        <w:rPr>
          <w:rFonts w:ascii="Times New Roman" w:hAnsi="Times New Roman"/>
          <w:b/>
          <w:i/>
          <w:color w:val="000000"/>
          <w:sz w:val="22"/>
        </w:rPr>
        <w:t>Annual Grant</w:t>
      </w:r>
      <w:r>
        <w:rPr>
          <w:color w:val="000000"/>
        </w:rPr>
        <w:t>”</w:t>
      </w:r>
      <w:r>
        <w:rPr>
          <w:rFonts w:ascii="Times New Roman" w:hAnsi="Times New Roman"/>
          <w:color w:val="000000"/>
          <w:sz w:val="22"/>
        </w:rPr>
        <w:t xml:space="preserve">). The shares subject to the Annual Grant will vest in equal monthly installments over the 12 months following the date of grant, provided that the Annual Grant will in any case be fully vested on the date of Company’s next annual stockholder meeting, subject to the Non-Employee Director’s Continuous Service (as defined in the Plan) through such vesting date.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pPr>
      <w:r>
        <w:rPr>
          <w:rFonts w:ascii="Times New Roman" w:hAnsi="Times New Roman"/>
          <w:b/>
          <w:color w:val="000000"/>
          <w:sz w:val="22"/>
        </w:rPr>
        <w:t>Change in Control.</w:t>
      </w:r>
      <w:r>
        <w:rPr>
          <w:color w:val="000000"/>
        </w:rPr>
        <w:t xml:space="preserve"> </w:t>
      </w:r>
      <w:r>
        <w:rPr>
          <w:rFonts w:ascii="Times New Roman" w:hAnsi="Times New Roman"/>
          <w:color w:val="000000"/>
          <w:sz w:val="22"/>
        </w:rPr>
        <w:t>Notwithstanding the foregoing, for each Non-Employee Director who remains in Continuous Service as of, or immediately prior to, a Change in Control, the equity awards that were granted pursuant to this Policy will become fully vested immediately prior to such Change in Control.</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jc w:val="both"/>
        <w:rPr/>
      </w:pPr>
      <w:r>
        <w:rPr>
          <w:rFonts w:ascii="Times New Roman" w:hAnsi="Times New Roman"/>
          <w:b/>
          <w:color w:val="000000"/>
          <w:sz w:val="22"/>
        </w:rPr>
        <w:t>Additional Provisions</w:t>
      </w:r>
      <w:r>
        <w:rPr>
          <w:rFonts w:ascii="Times New Roman" w:hAnsi="Times New Roman"/>
          <w:color w:val="000000"/>
          <w:sz w:val="22"/>
        </w:rPr>
        <w:t xml:space="preserve">: All provisions of the Plan not inconsistent with this policy will apply to awards granted to a Non-Employee Director. Non-Employee Directors will be required to execute an award agreement in a form satisfactory to the Company prior to receipt of an Initial Grant or Annual Grant.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IV.</w:t>
      </w:r>
    </w:p>
    <w:p>
      <w:pPr>
        <w:pStyle w:val="TextBody"/>
        <w:bidi w:val="0"/>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the cash compensation and equity compensation that each Non-Employee Director is entitled to receive under this Policy shall be subject to the limits set forth in Section 3(d) of the Plan.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w:t>
      </w:r>
    </w:p>
    <w:p>
      <w:pPr>
        <w:pStyle w:val="TextBody"/>
        <w:bidi w:val="0"/>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pStyle w:val="TextBody"/>
        <w:bidi w:val="0"/>
        <w:jc w:val="both"/>
        <w:rPr/>
      </w:pPr>
      <w:r>
        <w:rPr/>
        <w:t> </w:t>
      </w:r>
    </w:p>
    <w:p>
      <w:pPr>
        <w:pStyle w:val="TextBody"/>
        <w:bidi w:val="0"/>
        <w:jc w:val="both"/>
        <w:rPr/>
      </w:pPr>
      <w:r>
        <w:rPr/>
        <w:t> </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Approved by the Board of Directors: November 4, 2020</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Effective: July 30, 2021</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Amended: August 30, 2024</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inab-ex31_1.htm"/>
      <w:bookmarkStart w:id="35" w:name="ksinabex31_1"/>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240" w:after="283"/>
        <w:jc w:val="left"/>
        <w:rPr>
          <w:rFonts w:ascii="Arial" w:hAnsi="Arial"/>
          <w:color w:val="000000"/>
          <w:sz w:val="18"/>
        </w:rPr>
      </w:pPr>
      <w:r>
        <w:rPr>
          <w:rFonts w:ascii="Arial" w:hAnsi="Arial"/>
          <w:color w:val="000000"/>
          <w:sz w:val="18"/>
        </w:rPr>
        <w:t>I, William Ho,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w:t>
      </w:r>
      <w:r>
        <w:rPr>
          <w:rFonts w:ascii="Times New Roman" w:hAnsi="Times New Roman"/>
          <w:color w:val="000000"/>
          <w:sz w:val="20"/>
        </w:rPr>
        <w:t xml:space="preserve"> </w:t>
      </w: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(c)</w:t>
      </w:r>
      <w:r>
        <w:rPr>
          <w:rFonts w:ascii="Times New Roman" w:hAnsi="Times New Roman"/>
          <w:color w:val="000000"/>
          <w:sz w:val="20"/>
        </w:rPr>
        <w:t xml:space="preserve"> </w:t>
      </w: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w:t>
      </w:r>
      <w:r>
        <w:rPr>
          <w:rFonts w:ascii="Times New Roman" w:hAnsi="Times New Roman"/>
          <w:color w:val="000000"/>
          <w:sz w:val="20"/>
        </w:rPr>
        <w:t xml:space="preserve"> </w:t>
      </w: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5.</w:t>
      </w:r>
      <w:r>
        <w:rPr>
          <w:rFonts w:ascii="Times New Roman" w:hAnsi="Times New Roman"/>
          <w:color w:val="000000"/>
          <w:sz w:val="20"/>
        </w:rPr>
        <w:t xml:space="preserve"> </w:t>
      </w:r>
      <w:r>
        <w:rPr>
          <w:rFonts w:ascii="Arial" w:hAnsi="Arial"/>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w:t>
      </w:r>
      <w:r>
        <w:rPr>
          <w:rFonts w:ascii="Times New Roman" w:hAnsi="Times New Roman"/>
          <w:color w:val="000000"/>
          <w:sz w:val="20"/>
        </w:rPr>
        <w:t xml:space="preserve"> </w:t>
      </w: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w:t>
      </w:r>
      <w:r>
        <w:rPr>
          <w:rFonts w:ascii="Times New Roman" w:hAnsi="Times New Roman"/>
          <w:color w:val="000000"/>
          <w:sz w:val="20"/>
        </w:rPr>
        <w:t xml:space="preserve"> </w:t>
      </w:r>
      <w:r>
        <w:rPr>
          <w:rFonts w:ascii="Arial" w:hAnsi="Arial"/>
          <w:color w:val="000000"/>
          <w:sz w:val="18"/>
        </w:rPr>
        <w:t>Any fraud, whether or not material, that involves management or other employees who have a significant role in the registrant’s internal control over financial reporting.</w:t>
      </w:r>
    </w:p>
    <w:tbl>
      <w:tblPr>
        <w:tblW w:w="5179" w:type="dxa"/>
        <w:jc w:val="left"/>
        <w:tblInd w:w="0" w:type="dxa"/>
        <w:tblLayout w:type="fixed"/>
        <w:tblCellMar>
          <w:top w:w="28" w:type="dxa"/>
          <w:left w:w="28" w:type="dxa"/>
          <w:bottom w:w="28" w:type="dxa"/>
          <w:right w:w="28" w:type="dxa"/>
        </w:tblCellMar>
      </w:tblPr>
      <w:tblGrid>
        <w:gridCol w:w="556"/>
        <w:gridCol w:w="1711"/>
        <w:gridCol w:w="40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br/>
            </w:r>
            <w:r>
              <w:rPr>
                <w:rFonts w:ascii="Times New Roman" w:hAnsi="Times New Roman"/>
                <w:i/>
                <w:color w:val="000000"/>
                <w:sz w:val="20"/>
              </w:rPr>
              <w:t>(Principal Executive Officer)</w:t>
            </w:r>
            <w:r>
              <w:rPr>
                <w:rFonts w:ascii="Times New Roman" w:hAnsi="Times New Roman"/>
                <w:b/>
                <w:color w:val="000000"/>
                <w:sz w:val="20"/>
              </w:rPr>
              <w:br/>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inab-ex31_2.htm"/>
      <w:bookmarkStart w:id="37" w:name="ksinabex31_2"/>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240" w:after="283"/>
        <w:jc w:val="left"/>
        <w:rPr>
          <w:rFonts w:ascii="Arial" w:hAnsi="Arial"/>
          <w:color w:val="000000"/>
          <w:sz w:val="18"/>
        </w:rPr>
      </w:pPr>
      <w:r>
        <w:rPr>
          <w:rFonts w:ascii="Arial" w:hAnsi="Arial"/>
          <w:color w:val="000000"/>
          <w:sz w:val="18"/>
        </w:rPr>
        <w:t>I, Patrick McCall,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(d)</w:t>
      </w:r>
      <w:r>
        <w:rPr>
          <w:rFonts w:ascii="Times New Roman" w:hAnsi="Times New Roman"/>
          <w:color w:val="000000"/>
          <w:sz w:val="20"/>
        </w:rPr>
        <w:t xml:space="preserve"> </w:t>
      </w: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5.</w:t>
      </w:r>
      <w:r>
        <w:rPr>
          <w:rFonts w:ascii="Times New Roman" w:hAnsi="Times New Roman"/>
          <w:color w:val="000000"/>
          <w:sz w:val="20"/>
        </w:rPr>
        <w:t xml:space="preserve"> </w:t>
      </w:r>
      <w:r>
        <w:rPr>
          <w:rFonts w:ascii="Arial" w:hAnsi="Arial"/>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w:t>
      </w:r>
      <w:r>
        <w:rPr>
          <w:rFonts w:ascii="Times New Roman" w:hAnsi="Times New Roman"/>
          <w:color w:val="000000"/>
          <w:sz w:val="20"/>
        </w:rPr>
        <w:t xml:space="preserve"> </w:t>
      </w: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w:t>
      </w:r>
      <w:r>
        <w:rPr>
          <w:rFonts w:ascii="Times New Roman" w:hAnsi="Times New Roman"/>
          <w:color w:val="000000"/>
          <w:sz w:val="20"/>
        </w:rPr>
        <w:t xml:space="preserve"> </w:t>
      </w:r>
      <w:r>
        <w:rPr>
          <w:rFonts w:ascii="Arial" w:hAnsi="Arial"/>
          <w:color w:val="000000"/>
          <w:sz w:val="18"/>
        </w:rPr>
        <w:t>Any fraud, whether or not material, that involves management or other employees who have a significant role in the registrant’s internal control over financial reporting.</w:t>
      </w:r>
    </w:p>
    <w:tbl>
      <w:tblPr>
        <w:tblW w:w="6544" w:type="dxa"/>
        <w:jc w:val="left"/>
        <w:tblInd w:w="0" w:type="dxa"/>
        <w:tblLayout w:type="fixed"/>
        <w:tblCellMar>
          <w:top w:w="28" w:type="dxa"/>
          <w:left w:w="28" w:type="dxa"/>
          <w:bottom w:w="28" w:type="dxa"/>
          <w:right w:w="28" w:type="dxa"/>
        </w:tblCellMar>
      </w:tblPr>
      <w:tblGrid>
        <w:gridCol w:w="556"/>
        <w:gridCol w:w="171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Secretary</w:t>
            </w:r>
            <w:r>
              <w:rPr>
                <w:rFonts w:ascii="Times New Roman" w:hAnsi="Times New Roman"/>
                <w:i/>
                <w:color w:val="000000"/>
                <w:sz w:val="20"/>
              </w:rPr>
              <w:br/>
              <w:t>(Principal Financial and Accounting Officer)</w:t>
              <w:br/>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inab-ex32_1.htm"/>
      <w:bookmarkStart w:id="39" w:name="ksinabex32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Quarterly Report on Form 10-Q of IN8bio, Inc. (the “Company”) for the period ended September 30, 2024 as filed with the Securities and Exchange Commission on the date hereof (the “Report”), I certify, pursuant to 18 U.S.C. §1350, as adopted pursuant to §906 of the Sarbanes-Oxley Act of 2002, that, to the best of my knowledge:</w:t>
      </w:r>
    </w:p>
    <w:p>
      <w:pPr>
        <w:pStyle w:val="TextBody"/>
        <w:bidi w:val="0"/>
        <w:spacing w:before="24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544" w:type="dxa"/>
        <w:jc w:val="left"/>
        <w:tblInd w:w="0" w:type="dxa"/>
        <w:tblLayout w:type="fixed"/>
        <w:tblCellMar>
          <w:top w:w="28" w:type="dxa"/>
          <w:left w:w="28" w:type="dxa"/>
          <w:bottom w:w="28" w:type="dxa"/>
          <w:right w:w="28" w:type="dxa"/>
        </w:tblCellMar>
      </w:tblPr>
      <w:tblGrid>
        <w:gridCol w:w="556"/>
        <w:gridCol w:w="171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pPr>
            <w:r>
              <w:rPr/>
              <w:t> </w:t>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br/>
            </w:r>
            <w:r>
              <w:rPr>
                <w:rFonts w:ascii="Times New Roman" w:hAnsi="Times New Roman"/>
                <w:i/>
                <w:color w:val="000000"/>
                <w:sz w:val="20"/>
              </w:rPr>
              <w:t>(Principal Executive Officer)</w:t>
            </w:r>
            <w:r>
              <w:rPr>
                <w:rFonts w:ascii="Times New Roman" w:hAnsi="Times New Roman"/>
                <w:b/>
                <w:color w:val="000000"/>
                <w:sz w:val="20"/>
              </w:rPr>
              <w:br/>
            </w:r>
            <w:r>
              <w:rPr>
                <w:rFonts w:ascii="Times New Roman" w:hAnsi="Times New Roman"/>
                <w:color w:val="000000"/>
                <w:sz w:val="20"/>
              </w:rPr>
              <w:t> </w:t>
            </w:r>
          </w:p>
        </w:tc>
      </w:tr>
      <w:tr>
        <w:trPr/>
        <w:tc>
          <w:tcPr>
            <w:tcW w:w="556" w:type="dxa"/>
            <w:tcBorders/>
            <w:shd w:fill="FFFFFF" w:val="clear"/>
            <w:vAlign w:val="center"/>
          </w:tcPr>
          <w:p>
            <w:pPr>
              <w:pStyle w:val="TableContents"/>
              <w:bidi w:val="0"/>
              <w:spacing w:before="0" w:after="283"/>
              <w:jc w:val="left"/>
              <w:rPr/>
            </w:pPr>
            <w:r>
              <w:rPr/>
              <w:t> </w:t>
            </w:r>
          </w:p>
        </w:tc>
        <w:tc>
          <w:tcPr>
            <w:tcW w:w="1711"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871" w:type="dxa"/>
            <w:tcBorders/>
            <w:shd w:fill="FFFFFF" w:val="clear"/>
            <w:vAlign w:val="center"/>
          </w:tcPr>
          <w:p>
            <w:pPr>
              <w:pStyle w:val="TableContents"/>
              <w:bidi w:val="0"/>
              <w:spacing w:before="0" w:after="283"/>
              <w:jc w:val="center"/>
              <w:rPr/>
            </w:pPr>
            <w:r>
              <w:rPr/>
              <w:t> </w:t>
            </w:r>
          </w:p>
        </w:tc>
      </w:tr>
      <w:tr>
        <w:trPr/>
        <w:tc>
          <w:tcPr>
            <w:tcW w:w="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2024</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Secretary</w:t>
              <w:br/>
            </w:r>
            <w:r>
              <w:rPr>
                <w:rFonts w:ascii="Times New Roman" w:hAnsi="Times New Roman"/>
                <w:i/>
                <w:color w:val="000000"/>
                <w:sz w:val="20"/>
              </w:rPr>
              <w:t>(Principal Financial and Accounting Officer)</w:t>
              <w:br/>
            </w:r>
            <w:r>
              <w:rPr>
                <w:rFonts w:ascii="Times New Roman" w:hAnsi="Times New Roman"/>
                <w:color w:val="000000"/>
                <w:sz w:val="20"/>
              </w:rPr>
              <w:t> </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0279/000110465921099436/tm2030088d31_ex3-1.htm" TargetMode="External"/><Relationship Id="rId4" Type="http://schemas.openxmlformats.org/officeDocument/2006/relationships/hyperlink" Target="https://www.sec.gov/Archives/edgar/data/1740279/000119312523290707/d634027dex31.htm" TargetMode="External"/><Relationship Id="rId5" Type="http://schemas.openxmlformats.org/officeDocument/2006/relationships/hyperlink" Target="https://www.sec.gov/Archives/edgar/data/1740279/000119312524215154/d806767dex101.htm" TargetMode="External"/><Relationship Id="rId6" Type="http://schemas.openxmlformats.org/officeDocument/2006/relationships/hyperlink" Target="https://www.sec.gov/Archives/edgar/data/1740279/000119312524215154/d806767dex102.htm" TargetMode="External"/><Relationship Id="rId7" Type="http://schemas.openxmlformats.org/officeDocument/2006/relationships/hyperlink" Target="https://www.sec.gov/Archives/edgar/data/1740279/000119312524215154/d806767dex103.htm" TargetMode="External"/><Relationship Id="rId8" Type="http://schemas.openxmlformats.org/officeDocument/2006/relationships/hyperlink" Target="https://www.sec.gov/Archives/edgar/data/1740279/000119312524215154/d806767dex104.htm" TargetMode="External"/><Relationship Id="rId9" Type="http://schemas.openxmlformats.org/officeDocument/2006/relationships/hyperlink" Target="https://www.sec.gov/Archives/edgar/data/1740279/000119312524215154/d806767dex105.htm" TargetMode="External"/><Relationship Id="rId10" Type="http://schemas.openxmlformats.org/officeDocument/2006/relationships/hyperlink" Target="https://www.sec.gov/Archives/edgar/data/1740279/000119312524230283/d895981dex101.htm" TargetMode="External"/><Relationship Id="rId11" Type="http://schemas.openxmlformats.org/officeDocument/2006/relationships/hyperlink" Target="https://www.sec.gov/Archives/edgar/data/1740279/000119312524230283/d895981dex10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85130</Words>
  <Characters>469067</Characters>
  <CharactersWithSpaces>553868</CharactersWithSpaces>
  <Paragraphs>5890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