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November 7, 2025</w:t>
      </w:r>
    </w:p>
    <w:p>
      <w:pPr>
        <w:ind w:left="838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954405</wp:posOffset>
            </wp:positionH>
            <wp:positionV relativeFrom="paragraph">
              <wp:posOffset>45085</wp:posOffset>
            </wp:positionV>
            <wp:extent cx="525907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59070" cy="6350"/>
                    </a:xfrm>
                    <a:prstGeom prst="rect">
                      <a:avLst/>
                    </a:prstGeom>
                    <a:noFill/>
                  </pic:spPr>
                </pic:pic>
              </a:graphicData>
            </a:graphic>
          </wp:anchor>
        </w:drawing>
      </w:r>
    </w:p>
    <w:p>
      <w:pPr>
        <w:spacing w:after="0" w:line="9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954405</wp:posOffset>
            </wp:positionH>
            <wp:positionV relativeFrom="paragraph">
              <wp:posOffset>-171450</wp:posOffset>
            </wp:positionV>
            <wp:extent cx="52590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59070" cy="6350"/>
                    </a:xfrm>
                    <a:prstGeom prst="rect">
                      <a:avLst/>
                    </a:prstGeom>
                    <a:noFill/>
                  </pic:spPr>
                </pic:pic>
              </a:graphicData>
            </a:graphic>
          </wp:anchor>
        </w:drawing>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FORM S-3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-171450</wp:posOffset>
            </wp:positionV>
            <wp:extent cx="11087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jc w:val="center"/>
        <w:ind w:right="-1140"/>
        <w:spacing w:after="0" w:line="238" w:lineRule="auto"/>
        <w:rPr>
          <w:sz w:val="20"/>
          <w:szCs w:val="20"/>
          <w:color w:val="auto"/>
        </w:rPr>
      </w:pPr>
      <w:r>
        <w:rPr>
          <w:rFonts w:ascii="Times New Roman" w:cs="Times New Roman" w:eastAsia="Times New Roman" w:hAnsi="Times New Roman"/>
          <w:sz w:val="16"/>
          <w:szCs w:val="16"/>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11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32"/>
          <w:szCs w:val="32"/>
          <w:b w:val="1"/>
          <w:bCs w:val="1"/>
          <w:color w:val="auto"/>
        </w:rPr>
        <w:t>IN8BIO,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-228600</wp:posOffset>
            </wp:positionV>
            <wp:extent cx="11087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71120</wp:posOffset>
            </wp:positionV>
            <wp:extent cx="11087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140" w:lineRule="exact"/>
        <w:rPr>
          <w:sz w:val="24"/>
          <w:szCs w:val="24"/>
          <w:color w:val="auto"/>
        </w:rPr>
      </w:pPr>
    </w:p>
    <w:tbl>
      <w:tblPr>
        <w:tblLayout w:type="fixed"/>
        <w:tblInd w:w="2880" w:type="dxa"/>
        <w:tblCellMar>
          <w:top w:w="0" w:type="dxa"/>
          <w:left w:w="0" w:type="dxa"/>
          <w:bottom w:w="0" w:type="dxa"/>
          <w:right w:w="0" w:type="dxa"/>
        </w:tblCellMar>
      </w:tblPr>
      <w:tr>
        <w:trPr>
          <w:trHeight w:val="146"/>
        </w:trPr>
        <w:tc>
          <w:tcPr>
            <w:tcW w:w="2880" w:type="dxa"/>
            <w:vAlign w:val="bottom"/>
          </w:tcPr>
          <w:p>
            <w:pPr>
              <w:jc w:val="center"/>
              <w:ind w:right="1404"/>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2560" w:type="dxa"/>
            <w:vAlign w:val="bottom"/>
          </w:tcPr>
          <w:p>
            <w:pPr>
              <w:jc w:val="center"/>
              <w:ind w:left="1404"/>
              <w:spacing w:after="0"/>
              <w:rPr>
                <w:sz w:val="20"/>
                <w:szCs w:val="20"/>
                <w:color w:val="auto"/>
              </w:rPr>
            </w:pPr>
            <w:r>
              <w:rPr>
                <w:rFonts w:ascii="Times New Roman" w:cs="Times New Roman" w:eastAsia="Times New Roman" w:hAnsi="Times New Roman"/>
                <w:sz w:val="12"/>
                <w:szCs w:val="12"/>
                <w:b w:val="1"/>
                <w:bCs w:val="1"/>
                <w:color w:val="auto"/>
                <w:w w:val="99"/>
              </w:rPr>
              <w:t>82-5462585</w:t>
            </w:r>
          </w:p>
        </w:tc>
      </w:tr>
      <w:tr>
        <w:trPr>
          <w:trHeight w:val="112"/>
        </w:trPr>
        <w:tc>
          <w:tcPr>
            <w:tcW w:w="2880" w:type="dxa"/>
            <w:vAlign w:val="bottom"/>
          </w:tcPr>
          <w:p>
            <w:pPr>
              <w:jc w:val="center"/>
              <w:ind w:right="1404"/>
              <w:spacing w:after="0" w:line="11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2560" w:type="dxa"/>
            <w:vAlign w:val="bottom"/>
          </w:tcPr>
          <w:p>
            <w:pPr>
              <w:jc w:val="center"/>
              <w:ind w:left="1404"/>
              <w:spacing w:after="0" w:line="11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880" w:type="dxa"/>
            <w:vAlign w:val="bottom"/>
          </w:tcPr>
          <w:p>
            <w:pPr>
              <w:jc w:val="center"/>
              <w:ind w:right="1404"/>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560" w:type="dxa"/>
            <w:vAlign w:val="bottom"/>
          </w:tcPr>
          <w:p>
            <w:pPr>
              <w:jc w:val="center"/>
              <w:ind w:left="1424"/>
              <w:spacing w:after="0"/>
              <w:rPr>
                <w:sz w:val="20"/>
                <w:szCs w:val="20"/>
                <w:color w:val="auto"/>
              </w:rPr>
            </w:pPr>
            <w:r>
              <w:rPr>
                <w:rFonts w:ascii="Times New Roman" w:cs="Times New Roman" w:eastAsia="Times New Roman" w:hAnsi="Times New Roman"/>
                <w:sz w:val="11"/>
                <w:szCs w:val="11"/>
                <w:b w:val="1"/>
                <w:bCs w:val="1"/>
                <w:color w:val="auto"/>
                <w:w w:val="98"/>
              </w:rPr>
              <w:t>Identification Number)</w:t>
            </w:r>
          </w:p>
        </w:tc>
      </w:tr>
    </w:tbl>
    <w:p>
      <w:pPr>
        <w:spacing w:after="0" w:line="1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350 5th Avenue, Suite 5330</w:t>
      </w:r>
    </w:p>
    <w:p>
      <w:pPr>
        <w:spacing w:after="0" w:line="2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New York, New York 10118</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(646) 600-6438</w:t>
      </w:r>
    </w:p>
    <w:p>
      <w:pPr>
        <w:spacing w:after="0" w:line="1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64770</wp:posOffset>
            </wp:positionV>
            <wp:extent cx="11087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17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William Ho</w:t>
      </w:r>
    </w:p>
    <w:p>
      <w:pPr>
        <w:spacing w:after="0" w:line="2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President and Chief Executive Officer</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IN8bio, Inc.</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350 5th Avenue, Suite 5330</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New York, New York 10118</w:t>
      </w:r>
    </w:p>
    <w:p>
      <w:pPr>
        <w:spacing w:after="0" w:line="1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(646) 600-6438</w:t>
      </w:r>
    </w:p>
    <w:p>
      <w:pPr>
        <w:spacing w:after="0" w:line="14"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64770</wp:posOffset>
            </wp:positionV>
            <wp:extent cx="11087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99" w:lineRule="exact"/>
        <w:rPr>
          <w:sz w:val="24"/>
          <w:szCs w:val="24"/>
          <w:color w:val="auto"/>
        </w:rPr>
      </w:pPr>
    </w:p>
    <w:tbl>
      <w:tblPr>
        <w:tblLayout w:type="fixed"/>
        <w:tblInd w:w="252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3460" w:type="dxa"/>
            <w:vAlign w:val="bottom"/>
          </w:tcPr>
          <w:p>
            <w:pPr>
              <w:ind w:left="380"/>
              <w:spacing w:after="0"/>
              <w:rPr>
                <w:sz w:val="20"/>
                <w:szCs w:val="20"/>
                <w:color w:val="auto"/>
              </w:rPr>
            </w:pPr>
            <w:r>
              <w:rPr>
                <w:rFonts w:ascii="Times New Roman" w:cs="Times New Roman" w:eastAsia="Times New Roman" w:hAnsi="Times New Roman"/>
                <w:sz w:val="12"/>
                <w:szCs w:val="12"/>
                <w:b w:val="1"/>
                <w:bCs w:val="1"/>
                <w:i w:val="1"/>
                <w:iCs w:val="1"/>
                <w:color w:val="auto"/>
              </w:rPr>
              <w:t>Copies to:</w:t>
            </w:r>
          </w:p>
        </w:tc>
      </w:tr>
      <w:tr>
        <w:trPr>
          <w:trHeight w:val="174"/>
        </w:trPr>
        <w:tc>
          <w:tcPr>
            <w:tcW w:w="2500" w:type="dxa"/>
            <w:vAlign w:val="bottom"/>
          </w:tcPr>
          <w:p>
            <w:pPr>
              <w:jc w:val="center"/>
              <w:ind w:right="279"/>
              <w:spacing w:after="0"/>
              <w:rPr>
                <w:sz w:val="20"/>
                <w:szCs w:val="20"/>
                <w:color w:val="auto"/>
              </w:rPr>
            </w:pPr>
            <w:r>
              <w:rPr>
                <w:rFonts w:ascii="Times New Roman" w:cs="Times New Roman" w:eastAsia="Times New Roman" w:hAnsi="Times New Roman"/>
                <w:sz w:val="12"/>
                <w:szCs w:val="12"/>
                <w:b w:val="1"/>
                <w:bCs w:val="1"/>
                <w:color w:val="auto"/>
              </w:rPr>
              <w:t>Jaime L. Chase</w:t>
            </w:r>
          </w:p>
        </w:tc>
        <w:tc>
          <w:tcPr>
            <w:tcW w:w="3460" w:type="dxa"/>
            <w:vAlign w:val="bottom"/>
          </w:tcPr>
          <w:p>
            <w:pPr>
              <w:jc w:val="center"/>
              <w:ind w:left="1999"/>
              <w:spacing w:after="0"/>
              <w:rPr>
                <w:sz w:val="20"/>
                <w:szCs w:val="20"/>
                <w:color w:val="auto"/>
              </w:rPr>
            </w:pPr>
            <w:r>
              <w:rPr>
                <w:rFonts w:ascii="Times New Roman" w:cs="Times New Roman" w:eastAsia="Times New Roman" w:hAnsi="Times New Roman"/>
                <w:sz w:val="12"/>
                <w:szCs w:val="12"/>
                <w:b w:val="1"/>
                <w:bCs w:val="1"/>
                <w:color w:val="auto"/>
              </w:rPr>
              <w:t>Patrick McCall</w:t>
            </w:r>
          </w:p>
        </w:tc>
      </w:tr>
      <w:tr>
        <w:trPr>
          <w:trHeight w:val="152"/>
        </w:trPr>
        <w:tc>
          <w:tcPr>
            <w:tcW w:w="2500" w:type="dxa"/>
            <w:vAlign w:val="bottom"/>
          </w:tcPr>
          <w:p>
            <w:pPr>
              <w:jc w:val="center"/>
              <w:ind w:right="299"/>
              <w:spacing w:after="0"/>
              <w:rPr>
                <w:sz w:val="20"/>
                <w:szCs w:val="20"/>
                <w:color w:val="auto"/>
              </w:rPr>
            </w:pPr>
            <w:r>
              <w:rPr>
                <w:rFonts w:ascii="Times New Roman" w:cs="Times New Roman" w:eastAsia="Times New Roman" w:hAnsi="Times New Roman"/>
                <w:sz w:val="12"/>
                <w:szCs w:val="12"/>
                <w:b w:val="1"/>
                <w:bCs w:val="1"/>
                <w:color w:val="auto"/>
              </w:rPr>
              <w:t>Cooley LLP</w:t>
            </w:r>
          </w:p>
        </w:tc>
        <w:tc>
          <w:tcPr>
            <w:tcW w:w="3460" w:type="dxa"/>
            <w:vAlign w:val="bottom"/>
          </w:tcPr>
          <w:p>
            <w:pPr>
              <w:jc w:val="center"/>
              <w:ind w:left="1999"/>
              <w:spacing w:after="0"/>
              <w:rPr>
                <w:sz w:val="20"/>
                <w:szCs w:val="20"/>
                <w:color w:val="auto"/>
              </w:rPr>
            </w:pPr>
            <w:r>
              <w:rPr>
                <w:rFonts w:ascii="Times New Roman" w:cs="Times New Roman" w:eastAsia="Times New Roman" w:hAnsi="Times New Roman"/>
                <w:sz w:val="12"/>
                <w:szCs w:val="12"/>
                <w:b w:val="1"/>
                <w:bCs w:val="1"/>
                <w:color w:val="auto"/>
              </w:rPr>
              <w:t>Chief Financial Officer</w:t>
            </w:r>
          </w:p>
        </w:tc>
      </w:tr>
      <w:tr>
        <w:trPr>
          <w:trHeight w:val="152"/>
        </w:trPr>
        <w:tc>
          <w:tcPr>
            <w:tcW w:w="2500" w:type="dxa"/>
            <w:vAlign w:val="bottom"/>
          </w:tcPr>
          <w:p>
            <w:pPr>
              <w:jc w:val="center"/>
              <w:ind w:right="299"/>
              <w:spacing w:after="0"/>
              <w:rPr>
                <w:sz w:val="20"/>
                <w:szCs w:val="20"/>
                <w:color w:val="auto"/>
              </w:rPr>
            </w:pPr>
            <w:r>
              <w:rPr>
                <w:rFonts w:ascii="Times New Roman" w:cs="Times New Roman" w:eastAsia="Times New Roman" w:hAnsi="Times New Roman"/>
                <w:sz w:val="12"/>
                <w:szCs w:val="12"/>
                <w:b w:val="1"/>
                <w:bCs w:val="1"/>
                <w:color w:val="auto"/>
              </w:rPr>
              <w:t>1299 Pennsylvania Avenue NW, Suite 700</w:t>
            </w:r>
          </w:p>
        </w:tc>
        <w:tc>
          <w:tcPr>
            <w:tcW w:w="3460" w:type="dxa"/>
            <w:vAlign w:val="bottom"/>
          </w:tcPr>
          <w:p>
            <w:pPr>
              <w:jc w:val="center"/>
              <w:ind w:left="1979"/>
              <w:spacing w:after="0"/>
              <w:rPr>
                <w:sz w:val="20"/>
                <w:szCs w:val="20"/>
                <w:color w:val="auto"/>
              </w:rPr>
            </w:pPr>
            <w:r>
              <w:rPr>
                <w:rFonts w:ascii="Times New Roman" w:cs="Times New Roman" w:eastAsia="Times New Roman" w:hAnsi="Times New Roman"/>
                <w:sz w:val="12"/>
                <w:szCs w:val="12"/>
                <w:b w:val="1"/>
                <w:bCs w:val="1"/>
                <w:color w:val="auto"/>
              </w:rPr>
              <w:t>IN8bio, Inc.</w:t>
            </w:r>
          </w:p>
        </w:tc>
      </w:tr>
      <w:tr>
        <w:trPr>
          <w:trHeight w:val="152"/>
        </w:trPr>
        <w:tc>
          <w:tcPr>
            <w:tcW w:w="2500" w:type="dxa"/>
            <w:vAlign w:val="bottom"/>
          </w:tcPr>
          <w:p>
            <w:pPr>
              <w:jc w:val="center"/>
              <w:ind w:right="299"/>
              <w:spacing w:after="0"/>
              <w:rPr>
                <w:sz w:val="20"/>
                <w:szCs w:val="20"/>
                <w:color w:val="auto"/>
              </w:rPr>
            </w:pPr>
            <w:r>
              <w:rPr>
                <w:rFonts w:ascii="Times New Roman" w:cs="Times New Roman" w:eastAsia="Times New Roman" w:hAnsi="Times New Roman"/>
                <w:sz w:val="12"/>
                <w:szCs w:val="12"/>
                <w:b w:val="1"/>
                <w:bCs w:val="1"/>
                <w:color w:val="auto"/>
              </w:rPr>
              <w:t>Washington, D.C. 20004-2400</w:t>
            </w:r>
          </w:p>
        </w:tc>
        <w:tc>
          <w:tcPr>
            <w:tcW w:w="3460" w:type="dxa"/>
            <w:vAlign w:val="bottom"/>
          </w:tcPr>
          <w:p>
            <w:pPr>
              <w:jc w:val="center"/>
              <w:ind w:left="1979"/>
              <w:spacing w:after="0"/>
              <w:rPr>
                <w:sz w:val="20"/>
                <w:szCs w:val="20"/>
                <w:color w:val="auto"/>
              </w:rPr>
            </w:pPr>
            <w:r>
              <w:rPr>
                <w:rFonts w:ascii="Times New Roman" w:cs="Times New Roman" w:eastAsia="Times New Roman" w:hAnsi="Times New Roman"/>
                <w:sz w:val="12"/>
                <w:szCs w:val="12"/>
                <w:b w:val="1"/>
                <w:bCs w:val="1"/>
                <w:color w:val="auto"/>
                <w:w w:val="99"/>
              </w:rPr>
              <w:t>350 5th Avenue, Suite 5330</w:t>
            </w:r>
          </w:p>
        </w:tc>
      </w:tr>
      <w:tr>
        <w:trPr>
          <w:trHeight w:val="152"/>
        </w:trPr>
        <w:tc>
          <w:tcPr>
            <w:tcW w:w="2500" w:type="dxa"/>
            <w:vAlign w:val="bottom"/>
          </w:tcPr>
          <w:p>
            <w:pPr>
              <w:jc w:val="center"/>
              <w:ind w:right="279"/>
              <w:spacing w:after="0"/>
              <w:rPr>
                <w:sz w:val="20"/>
                <w:szCs w:val="20"/>
                <w:color w:val="auto"/>
              </w:rPr>
            </w:pPr>
            <w:r>
              <w:rPr>
                <w:rFonts w:ascii="Times New Roman" w:cs="Times New Roman" w:eastAsia="Times New Roman" w:hAnsi="Times New Roman"/>
                <w:sz w:val="12"/>
                <w:szCs w:val="12"/>
                <w:b w:val="1"/>
                <w:bCs w:val="1"/>
                <w:color w:val="auto"/>
              </w:rPr>
              <w:t>(202) 842-7800</w:t>
            </w:r>
          </w:p>
        </w:tc>
        <w:tc>
          <w:tcPr>
            <w:tcW w:w="3460" w:type="dxa"/>
            <w:vAlign w:val="bottom"/>
          </w:tcPr>
          <w:p>
            <w:pPr>
              <w:jc w:val="center"/>
              <w:ind w:left="1979"/>
              <w:spacing w:after="0"/>
              <w:rPr>
                <w:sz w:val="20"/>
                <w:szCs w:val="20"/>
                <w:color w:val="auto"/>
              </w:rPr>
            </w:pPr>
            <w:r>
              <w:rPr>
                <w:rFonts w:ascii="Times New Roman" w:cs="Times New Roman" w:eastAsia="Times New Roman" w:hAnsi="Times New Roman"/>
                <w:sz w:val="12"/>
                <w:szCs w:val="12"/>
                <w:b w:val="1"/>
                <w:bCs w:val="1"/>
                <w:color w:val="auto"/>
                <w:w w:val="98"/>
              </w:rPr>
              <w:t>New York, New York 10118</w:t>
            </w:r>
          </w:p>
        </w:tc>
      </w:tr>
      <w:tr>
        <w:trPr>
          <w:trHeight w:val="161"/>
        </w:trPr>
        <w:tc>
          <w:tcPr>
            <w:tcW w:w="2500" w:type="dxa"/>
            <w:vAlign w:val="bottom"/>
          </w:tcPr>
          <w:p>
            <w:pPr>
              <w:spacing w:after="0"/>
              <w:rPr>
                <w:sz w:val="13"/>
                <w:szCs w:val="13"/>
                <w:color w:val="auto"/>
              </w:rPr>
            </w:pPr>
          </w:p>
        </w:tc>
        <w:tc>
          <w:tcPr>
            <w:tcW w:w="3460" w:type="dxa"/>
            <w:vAlign w:val="bottom"/>
          </w:tcPr>
          <w:p>
            <w:pPr>
              <w:jc w:val="center"/>
              <w:ind w:left="1999"/>
              <w:spacing w:after="0"/>
              <w:rPr>
                <w:sz w:val="20"/>
                <w:szCs w:val="20"/>
                <w:color w:val="auto"/>
              </w:rPr>
            </w:pPr>
            <w:r>
              <w:rPr>
                <w:rFonts w:ascii="Times New Roman" w:cs="Times New Roman" w:eastAsia="Times New Roman" w:hAnsi="Times New Roman"/>
                <w:sz w:val="12"/>
                <w:szCs w:val="12"/>
                <w:b w:val="1"/>
                <w:bCs w:val="1"/>
                <w:color w:val="auto"/>
              </w:rPr>
              <w:t>(646) 600-6438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86995</wp:posOffset>
            </wp:positionV>
            <wp:extent cx="110871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134"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2"/>
          <w:szCs w:val="12"/>
          <w:b w:val="1"/>
          <w:bCs w:val="1"/>
          <w:color w:val="auto"/>
        </w:rPr>
        <w:t xml:space="preserve">Approximate date of commencement of proposed sale to the public: </w:t>
      </w:r>
      <w:r>
        <w:rPr>
          <w:rFonts w:ascii="Times New Roman" w:cs="Times New Roman" w:eastAsia="Times New Roman" w:hAnsi="Times New Roman"/>
          <w:sz w:val="12"/>
          <w:szCs w:val="12"/>
          <w:color w:val="auto"/>
        </w:rPr>
        <w:t>From time to time after the effective date of this Registration Statement.</w:t>
      </w:r>
    </w:p>
    <w:p>
      <w:pPr>
        <w:spacing w:after="0" w:line="23" w:lineRule="exact"/>
        <w:rPr>
          <w:sz w:val="24"/>
          <w:szCs w:val="24"/>
          <w:color w:val="auto"/>
        </w:rPr>
      </w:pPr>
    </w:p>
    <w:p>
      <w:pPr>
        <w:ind w:left="1840"/>
        <w:spacing w:after="0" w:line="138" w:lineRule="exact"/>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2"/>
          <w:szCs w:val="12"/>
          <w:color w:val="auto"/>
        </w:rPr>
        <w:t>☐</w:t>
      </w:r>
    </w:p>
    <w:p>
      <w:pPr>
        <w:spacing w:after="0" w:line="69" w:lineRule="exact"/>
        <w:rPr>
          <w:sz w:val="24"/>
          <w:szCs w:val="24"/>
          <w:color w:val="auto"/>
        </w:rPr>
      </w:pPr>
    </w:p>
    <w:p>
      <w:pPr>
        <w:ind w:left="1500" w:right="499" w:firstLine="331"/>
        <w:spacing w:after="0" w:line="166" w:lineRule="exact"/>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1500" w:right="579" w:firstLine="331"/>
        <w:spacing w:after="0" w:line="163" w:lineRule="exact"/>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 w:lineRule="exact"/>
        <w:rPr>
          <w:sz w:val="24"/>
          <w:szCs w:val="24"/>
          <w:color w:val="auto"/>
        </w:rPr>
      </w:pPr>
    </w:p>
    <w:p>
      <w:pPr>
        <w:ind w:left="1500" w:right="499" w:firstLine="331"/>
        <w:spacing w:after="0" w:line="166"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5" w:lineRule="exact"/>
        <w:rPr>
          <w:sz w:val="24"/>
          <w:szCs w:val="24"/>
          <w:color w:val="auto"/>
        </w:rPr>
      </w:pPr>
    </w:p>
    <w:p>
      <w:pPr>
        <w:ind w:left="1500" w:right="479" w:firstLine="331"/>
        <w:spacing w:after="0" w:line="166" w:lineRule="exact"/>
        <w:rPr>
          <w:sz w:val="20"/>
          <w:szCs w:val="20"/>
          <w:color w:val="auto"/>
        </w:rPr>
      </w:pPr>
      <w:r>
        <w:rPr>
          <w:rFonts w:ascii="Times New Roman" w:cs="Times New Roman" w:eastAsia="Times New Roman" w:hAnsi="Times New Roman"/>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1" w:lineRule="exact"/>
        <w:rPr>
          <w:sz w:val="24"/>
          <w:szCs w:val="24"/>
          <w:color w:val="auto"/>
        </w:rPr>
      </w:pPr>
    </w:p>
    <w:p>
      <w:pPr>
        <w:ind w:left="1500" w:right="499" w:firstLine="331"/>
        <w:spacing w:after="0" w:line="163" w:lineRule="exact"/>
        <w:rPr>
          <w:sz w:val="20"/>
          <w:szCs w:val="20"/>
          <w:color w:val="auto"/>
        </w:rPr>
      </w:pPr>
      <w:r>
        <w:rPr>
          <w:rFonts w:ascii="Times New Roman" w:cs="Times New Roman" w:eastAsia="Times New Roman" w:hAnsi="Times New Roman"/>
          <w:sz w:val="12"/>
          <w:szCs w:val="12"/>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2"/>
          <w:szCs w:val="12"/>
          <w:color w:val="auto"/>
        </w:rPr>
        <w:t>☐</w:t>
      </w:r>
    </w:p>
    <w:p>
      <w:pPr>
        <w:spacing w:after="0" w:line="5" w:lineRule="exact"/>
        <w:rPr>
          <w:sz w:val="24"/>
          <w:szCs w:val="24"/>
          <w:color w:val="auto"/>
        </w:rPr>
      </w:pPr>
    </w:p>
    <w:p>
      <w:pPr>
        <w:jc w:val="both"/>
        <w:ind w:left="1500" w:right="439" w:firstLine="331"/>
        <w:spacing w:after="0" w:line="268"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500" w:type="dxa"/>
        <w:tblCellMar>
          <w:top w:w="0" w:type="dxa"/>
          <w:left w:w="0" w:type="dxa"/>
          <w:bottom w:w="0" w:type="dxa"/>
          <w:right w:w="0" w:type="dxa"/>
        </w:tblCellMar>
      </w:tblPr>
      <w:tr>
        <w:trPr>
          <w:trHeight w:val="205"/>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7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40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Accelerated filer</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1"/>
        </w:trPr>
        <w:tc>
          <w:tcPr>
            <w:tcW w:w="12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78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40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33"/>
        </w:trPr>
        <w:tc>
          <w:tcPr>
            <w:tcW w:w="1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0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Emerging growth company</w:t>
            </w:r>
          </w:p>
        </w:tc>
        <w:tc>
          <w:tcPr>
            <w:tcW w:w="2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4" w:lineRule="exact"/>
        <w:rPr>
          <w:sz w:val="24"/>
          <w:szCs w:val="24"/>
          <w:color w:val="auto"/>
        </w:rPr>
      </w:pPr>
    </w:p>
    <w:p>
      <w:pPr>
        <w:ind w:left="1500" w:right="659"/>
        <w:spacing w:after="0" w:line="16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3029585</wp:posOffset>
            </wp:positionH>
            <wp:positionV relativeFrom="paragraph">
              <wp:posOffset>61595</wp:posOffset>
            </wp:positionV>
            <wp:extent cx="110871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105" w:lineRule="exact"/>
        <w:rPr>
          <w:sz w:val="24"/>
          <w:szCs w:val="24"/>
          <w:color w:val="auto"/>
        </w:rPr>
      </w:pPr>
    </w:p>
    <w:p>
      <w:pPr>
        <w:ind w:left="1500" w:right="379"/>
        <w:spacing w:after="0" w:line="277"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954405</wp:posOffset>
            </wp:positionH>
            <wp:positionV relativeFrom="paragraph">
              <wp:posOffset>35560</wp:posOffset>
            </wp:positionV>
            <wp:extent cx="525907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59070" cy="6350"/>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67945</wp:posOffset>
            </wp:positionV>
            <wp:extent cx="525907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9070" cy="6350"/>
                    </a:xfrm>
                    <a:prstGeom prst="rect">
                      <a:avLst/>
                    </a:prstGeom>
                    <a:noFill/>
                  </pic:spPr>
                </pic:pic>
              </a:graphicData>
            </a:graphic>
          </wp:anchor>
        </w:drawing>
      </w:r>
    </w:p>
    <w:p>
      <w:pPr>
        <w:sectPr>
          <w:pgSz w:w="11900" w:h="16838" w:orient="portrait"/>
          <w:cols w:equalWidth="0" w:num="1">
            <w:col w:w="10159"/>
          </w:cols>
          <w:pgMar w:left="300" w:top="20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60" w:lineRule="exact"/>
        <w:rPr>
          <w:sz w:val="20"/>
          <w:szCs w:val="20"/>
          <w:color w:val="auto"/>
        </w:rPr>
      </w:pPr>
    </w:p>
    <w:tbl>
      <w:tblPr>
        <w:tblLayout w:type="fixed"/>
        <w:tblInd w:w="1416" w:type="dxa"/>
        <w:tblCellMar>
          <w:top w:w="0" w:type="dxa"/>
          <w:left w:w="0" w:type="dxa"/>
          <w:bottom w:w="0" w:type="dxa"/>
          <w:right w:w="0" w:type="dxa"/>
        </w:tblCellMar>
      </w:tblPr>
      <w:tr>
        <w:trPr>
          <w:trHeight w:val="8800"/>
        </w:trPr>
        <w:tc>
          <w:tcPr>
            <w:tcW w:w="528" w:type="dxa"/>
            <w:vAlign w:val="bottom"/>
            <w:textDirection w:val="btLr"/>
          </w:tcPr>
          <w:p>
            <w:pPr>
              <w:spacing w:after="0" w:line="306" w:lineRule="auto"/>
              <w:rPr>
                <w:sz w:val="20"/>
                <w:szCs w:val="20"/>
                <w:color w:val="auto"/>
              </w:rPr>
            </w:pPr>
            <w:r>
              <w:rPr>
                <w:rFonts w:ascii="Arial" w:cs="Arial" w:eastAsia="Arial" w:hAnsi="Arial"/>
                <w:sz w:val="12"/>
                <w:szCs w:val="12"/>
                <w:b w:val="1"/>
                <w:bCs w:val="1"/>
                <w:color w:val="FF4338"/>
              </w:rPr>
              <w:t>to sell these securities and it is not soliciting offers to buy these securities in any state where such offer or sale is not permitted. securities until the registration statement filed with the Securities and Exchange Commission is effective. This prospectus is not an offer The information in this prospectus is not complete and may be changed. We may not sell these securities or accept an offer to buy these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FF4338"/>
        </w:rPr>
        <w:t>SUBJECT TO COMPLETION, DATED NOVEMBER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-1383030</wp:posOffset>
            </wp:positionH>
            <wp:positionV relativeFrom="paragraph">
              <wp:posOffset>-574040</wp:posOffset>
            </wp:positionV>
            <wp:extent cx="7204710" cy="31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710" cy="3175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FF4338"/>
        </w:rPr>
        <w:t>PROSPECTUS</w:t>
      </w:r>
    </w:p>
    <w:p>
      <w:pPr>
        <w:spacing w:after="0" w:line="4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4"/>
          <w:szCs w:val="24"/>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556260</wp:posOffset>
            </wp:positionV>
            <wp:extent cx="92773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7735" cy="635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79375</wp:posOffset>
            </wp:positionV>
            <wp:extent cx="927735" cy="367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7735" cy="36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9"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Rights</w:t>
      </w:r>
    </w:p>
    <w:p>
      <w:pPr>
        <w:spacing w:after="0" w:line="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110490</wp:posOffset>
            </wp:positionV>
            <wp:extent cx="92773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7735" cy="6350"/>
                    </a:xfrm>
                    <a:prstGeom prst="rect">
                      <a:avLst/>
                    </a:prstGeom>
                    <a:noFill/>
                  </pic:spPr>
                </pic:pic>
              </a:graphicData>
            </a:graphic>
          </wp:anchor>
        </w:drawing>
      </w:r>
    </w:p>
    <w:p>
      <w:pPr>
        <w:spacing w:after="0" w:line="228" w:lineRule="exact"/>
        <w:rPr>
          <w:sz w:val="20"/>
          <w:szCs w:val="20"/>
          <w:color w:val="auto"/>
        </w:rPr>
      </w:pPr>
    </w:p>
    <w:p>
      <w:pPr>
        <w:ind w:right="1179"/>
        <w:spacing w:after="0" w:line="225" w:lineRule="auto"/>
        <w:rPr>
          <w:sz w:val="20"/>
          <w:szCs w:val="20"/>
          <w:color w:val="auto"/>
        </w:rPr>
      </w:pPr>
      <w:r>
        <w:rPr>
          <w:rFonts w:ascii="Times New Roman" w:cs="Times New Roman" w:eastAsia="Times New Roman" w:hAnsi="Times New Roman"/>
          <w:sz w:val="11"/>
          <w:szCs w:val="11"/>
          <w:color w:val="auto"/>
        </w:rPr>
        <w:t>From time to time, we may offer and sell up to an aggregate amount of $200,000,000 of any combination of the securities described in this prospectus, either individually or in combination, at prices and on terms described in one or more supplements to this prospectus. We may also offer common stock or preferred stock upon conversion of debt securities, or common stock upon conversion of preferred stock, or common stock, preferred stock or debt securities upon exercise of warrants.</w:t>
      </w:r>
    </w:p>
    <w:p>
      <w:pPr>
        <w:spacing w:after="0" w:line="53" w:lineRule="exact"/>
        <w:rPr>
          <w:sz w:val="20"/>
          <w:szCs w:val="20"/>
          <w:color w:val="auto"/>
        </w:rPr>
      </w:pPr>
    </w:p>
    <w:p>
      <w:pPr>
        <w:ind w:right="1039"/>
        <w:spacing w:after="0" w:line="222" w:lineRule="auto"/>
        <w:rPr>
          <w:sz w:val="20"/>
          <w:szCs w:val="20"/>
          <w:color w:val="auto"/>
        </w:rPr>
      </w:pPr>
      <w:r>
        <w:rPr>
          <w:rFonts w:ascii="Times New Roman" w:cs="Times New Roman" w:eastAsia="Times New Roman" w:hAnsi="Times New Roman"/>
          <w:sz w:val="11"/>
          <w:szCs w:val="11"/>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54" w:lineRule="exact"/>
        <w:rPr>
          <w:sz w:val="20"/>
          <w:szCs w:val="20"/>
          <w:color w:val="auto"/>
        </w:rPr>
      </w:pPr>
    </w:p>
    <w:p>
      <w:pPr>
        <w:ind w:right="1099"/>
        <w:spacing w:after="0" w:line="222" w:lineRule="auto"/>
        <w:rPr>
          <w:sz w:val="20"/>
          <w:szCs w:val="20"/>
          <w:color w:val="auto"/>
        </w:rPr>
      </w:pPr>
      <w:r>
        <w:rPr>
          <w:rFonts w:ascii="Times New Roman" w:cs="Times New Roman" w:eastAsia="Times New Roman" w:hAnsi="Times New Roman"/>
          <w:sz w:val="11"/>
          <w:szCs w:val="11"/>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w:t>
      </w:r>
      <w:r>
        <w:rPr>
          <w:rFonts w:ascii="Times New Roman" w:cs="Times New Roman" w:eastAsia="Times New Roman" w:hAnsi="Times New Roman"/>
          <w:sz w:val="11"/>
          <w:szCs w:val="11"/>
          <w:i w:val="1"/>
          <w:iCs w:val="1"/>
          <w:color w:val="auto"/>
        </w:rPr>
        <w:t>Plan of Distribution</w:t>
      </w:r>
      <w:r>
        <w:rPr>
          <w:rFonts w:ascii="Times New Roman" w:cs="Times New Roman" w:eastAsia="Times New Roman" w:hAnsi="Times New Roman"/>
          <w:sz w:val="11"/>
          <w:szCs w:val="11"/>
          <w:color w:val="auto"/>
        </w:rPr>
        <w:t>”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54" w:lineRule="exact"/>
        <w:rPr>
          <w:sz w:val="20"/>
          <w:szCs w:val="20"/>
          <w:color w:val="auto"/>
        </w:rPr>
      </w:pPr>
    </w:p>
    <w:p>
      <w:pPr>
        <w:ind w:right="1099"/>
        <w:spacing w:after="0" w:line="230" w:lineRule="auto"/>
        <w:rPr>
          <w:sz w:val="20"/>
          <w:szCs w:val="20"/>
          <w:color w:val="auto"/>
        </w:rPr>
      </w:pPr>
      <w:r>
        <w:rPr>
          <w:rFonts w:ascii="Times New Roman" w:cs="Times New Roman" w:eastAsia="Times New Roman" w:hAnsi="Times New Roman"/>
          <w:sz w:val="11"/>
          <w:szCs w:val="11"/>
          <w:color w:val="auto"/>
        </w:rPr>
        <w:t>Our common stock is listed on the Nasdaq Capital Market under the trading symbol “INAB.” On November 5, 2025, the last reported sale price of our common stock was $1.63 per share. The applicable prospectus supplement will contain information, where applicable, as to other listings, if any, on the Nasdaq Capital Market or any securities market or other exchange of the securities covered by the applicable prospectus supplement.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aggregate market value of our common stock held by non-affiliates as of November 7, 2025 pursuant to General Instruction I.B.6 of Form S-3 is</w:t>
      </w:r>
    </w:p>
    <w:p>
      <w:pPr>
        <w:ind w:right="1059"/>
        <w:spacing w:after="0" w:line="218" w:lineRule="auto"/>
        <w:rPr>
          <w:sz w:val="20"/>
          <w:szCs w:val="20"/>
          <w:color w:val="auto"/>
        </w:rPr>
      </w:pPr>
      <w:r>
        <w:rPr>
          <w:rFonts w:ascii="Times New Roman" w:cs="Times New Roman" w:eastAsia="Times New Roman" w:hAnsi="Times New Roman"/>
          <w:sz w:val="11"/>
          <w:szCs w:val="11"/>
          <w:color w:val="auto"/>
        </w:rPr>
        <w:t>$10.4 million, which was calculated based on 4,218,313 shares of our common stock outstanding held by non-affiliates and at a price of $2.46 per share, the closing price of our common stock on October 7, 2025. As of the date hereof, we have offered and sold $8.8 million of securities pursuant to General Instruction I.B.6 of Form S-3 during the prior 12 calendar month period that ends on and includes the date hereof. Pursuant to General Instruction I.B.6 of Form S-3, in no event will we sell securities registered on the registration statement of which this prospectus is a part in a public primary offering with a value exceeding more than one-third of our public float in any 12-month period so long as our public float remains below $75.0 million.</w:t>
      </w:r>
    </w:p>
    <w:p>
      <w:pPr>
        <w:spacing w:after="0" w:line="53" w:lineRule="exact"/>
        <w:rPr>
          <w:sz w:val="20"/>
          <w:szCs w:val="20"/>
          <w:color w:val="auto"/>
        </w:rPr>
      </w:pPr>
    </w:p>
    <w:p>
      <w:pPr>
        <w:ind w:right="1019"/>
        <w:spacing w:after="0" w:line="225" w:lineRule="auto"/>
        <w:rPr>
          <w:sz w:val="20"/>
          <w:szCs w:val="20"/>
          <w:color w:val="auto"/>
        </w:rPr>
      </w:pPr>
      <w:r>
        <w:rPr>
          <w:rFonts w:ascii="Times New Roman" w:cs="Times New Roman" w:eastAsia="Times New Roman" w:hAnsi="Times New Roman"/>
          <w:sz w:val="11"/>
          <w:szCs w:val="11"/>
          <w:color w:val="auto"/>
        </w:rPr>
        <w:t>We are an “emerging growth company” and a “smaller reporting company” as defined under the federal securities laws and, as such, have elected to comply with certain reduced public company reporting requirements for this prospectus and the documents incorporated by reference herein and may elect to comply with reduced public company reporting requirements in future filings. For additional information, you should refer to the section titled “</w:t>
      </w:r>
      <w:r>
        <w:rPr>
          <w:rFonts w:ascii="Times New Roman" w:cs="Times New Roman" w:eastAsia="Times New Roman" w:hAnsi="Times New Roman"/>
          <w:sz w:val="11"/>
          <w:szCs w:val="11"/>
          <w:i w:val="1"/>
          <w:iCs w:val="1"/>
          <w:color w:val="auto"/>
        </w:rPr>
        <w:t>Summary—Implications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Being an Emerging Growth Company and Smaller Reporting Company</w:t>
      </w:r>
      <w:r>
        <w:rPr>
          <w:rFonts w:ascii="Times New Roman" w:cs="Times New Roman" w:eastAsia="Times New Roman" w:hAnsi="Times New Roman"/>
          <w:sz w:val="11"/>
          <w:szCs w:val="11"/>
          <w:color w:val="auto"/>
        </w:rPr>
        <w:t>”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109220</wp:posOffset>
            </wp:positionV>
            <wp:extent cx="92773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7735" cy="6350"/>
                    </a:xfrm>
                    <a:prstGeom prst="rect">
                      <a:avLst/>
                    </a:prstGeom>
                    <a:noFill/>
                  </pic:spPr>
                </pic:pic>
              </a:graphicData>
            </a:graphic>
          </wp:anchor>
        </w:drawing>
      </w:r>
    </w:p>
    <w:p>
      <w:pPr>
        <w:spacing w:after="0" w:line="223" w:lineRule="exact"/>
        <w:rPr>
          <w:sz w:val="20"/>
          <w:szCs w:val="20"/>
          <w:color w:val="auto"/>
        </w:rPr>
      </w:pPr>
    </w:p>
    <w:p>
      <w:pPr>
        <w:ind w:right="1219"/>
        <w:spacing w:after="0" w:line="248" w:lineRule="auto"/>
        <w:rPr>
          <w:sz w:val="20"/>
          <w:szCs w:val="20"/>
          <w:color w:val="auto"/>
        </w:rPr>
      </w:pPr>
      <w:r>
        <w:rPr>
          <w:rFonts w:ascii="Times New Roman" w:cs="Times New Roman" w:eastAsia="Times New Roman" w:hAnsi="Times New Roman"/>
          <w:sz w:val="15"/>
          <w:szCs w:val="15"/>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This prospectus may not be used to consummate a sale of securities unless accompanied by a prospectus supplement.</w:t>
      </w:r>
    </w:p>
    <w:p>
      <w:pPr>
        <w:spacing w:after="0" w:line="66" w:lineRule="exact"/>
        <w:rPr>
          <w:sz w:val="20"/>
          <w:szCs w:val="20"/>
          <w:color w:val="auto"/>
        </w:rPr>
      </w:pPr>
    </w:p>
    <w:p>
      <w:pPr>
        <w:ind w:right="1079"/>
        <w:spacing w:after="0" w:line="241"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0"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1"/>
          <w:szCs w:val="11"/>
          <w:b w:val="1"/>
          <w:bCs w:val="1"/>
          <w:color w:val="auto"/>
        </w:rPr>
        <w:t>The date of this prospectus is             , 2025.</w:t>
      </w:r>
    </w:p>
    <w:p>
      <w:pPr>
        <w:sectPr>
          <w:pgSz w:w="11900" w:h="16838" w:orient="portrait"/>
          <w:cols w:equalWidth="0" w:num="2">
            <w:col w:w="1943" w:space="217"/>
            <w:col w:w="7999"/>
          </w:cols>
          <w:pgMar w:left="300" w:top="37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73"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5"/>
        </w:trPr>
        <w:tc>
          <w:tcPr>
            <w:tcW w:w="1680" w:type="dxa"/>
            <w:vAlign w:val="bottom"/>
            <w:tcBorders>
              <w:bottom w:val="single" w:sz="8" w:color="0000EE"/>
            </w:tcBorders>
            <w:gridSpan w:val="9"/>
          </w:tcPr>
          <w:p>
            <w:pPr>
              <w:spacing w:after="0" w:line="145" w:lineRule="exact"/>
              <w:rPr>
                <w:sz w:val="20"/>
                <w:szCs w:val="20"/>
                <w:color w:val="auto"/>
              </w:rPr>
            </w:pPr>
            <w:r>
              <w:rPr>
                <w:rFonts w:ascii="Times New Roman" w:cs="Times New Roman" w:eastAsia="Times New Roman" w:hAnsi="Times New Roman"/>
                <w:sz w:val="14"/>
                <w:szCs w:val="14"/>
                <w:color w:val="0000EE"/>
                <w:w w:val="95"/>
              </w:rPr>
              <w:t>ABOUT THIS PROSPECTUS</w:t>
            </w:r>
          </w:p>
        </w:tc>
        <w:tc>
          <w:tcPr>
            <w:tcW w:w="4340" w:type="dxa"/>
            <w:vAlign w:val="bottom"/>
            <w:gridSpan w:val="8"/>
          </w:tcPr>
          <w:p>
            <w:pPr>
              <w:spacing w:after="0"/>
              <w:rPr>
                <w:sz w:val="12"/>
                <w:szCs w:val="12"/>
                <w:color w:val="auto"/>
              </w:rPr>
            </w:pPr>
          </w:p>
        </w:tc>
        <w:tc>
          <w:tcPr>
            <w:tcW w:w="2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ii</w:t>
            </w:r>
          </w:p>
        </w:tc>
      </w:tr>
      <w:tr>
        <w:trPr>
          <w:trHeight w:val="142"/>
        </w:trPr>
        <w:tc>
          <w:tcPr>
            <w:tcW w:w="1580" w:type="dxa"/>
            <w:vAlign w:val="bottom"/>
            <w:tcBorders>
              <w:bottom w:val="single" w:sz="8" w:color="0000EE"/>
            </w:tcBorders>
            <w:gridSpan w:val="7"/>
          </w:tcPr>
          <w:p>
            <w:pPr>
              <w:spacing w:after="0" w:line="143" w:lineRule="exact"/>
              <w:rPr>
                <w:sz w:val="20"/>
                <w:szCs w:val="20"/>
                <w:color w:val="auto"/>
              </w:rPr>
            </w:pPr>
            <w:r>
              <w:rPr>
                <w:rFonts w:ascii="Times New Roman" w:cs="Times New Roman" w:eastAsia="Times New Roman" w:hAnsi="Times New Roman"/>
                <w:sz w:val="14"/>
                <w:szCs w:val="14"/>
                <w:color w:val="0000EE"/>
                <w:w w:val="95"/>
              </w:rPr>
              <w:t>PROSPECTUS SUMMARY</w:t>
            </w:r>
          </w:p>
        </w:tc>
        <w:tc>
          <w:tcPr>
            <w:tcW w:w="4440" w:type="dxa"/>
            <w:vAlign w:val="bottom"/>
            <w:gridSpan w:val="10"/>
          </w:tcPr>
          <w:p>
            <w:pPr>
              <w:spacing w:after="0"/>
              <w:rPr>
                <w:sz w:val="12"/>
                <w:szCs w:val="12"/>
                <w:color w:val="auto"/>
              </w:rPr>
            </w:pP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r>
      <w:tr>
        <w:trPr>
          <w:trHeight w:val="142"/>
        </w:trPr>
        <w:tc>
          <w:tcPr>
            <w:tcW w:w="6020" w:type="dxa"/>
            <w:vAlign w:val="bottom"/>
            <w:gridSpan w:val="17"/>
          </w:tcPr>
          <w:p>
            <w:pPr>
              <w:spacing w:after="0" w:line="143" w:lineRule="exact"/>
              <w:rPr>
                <w:sz w:val="20"/>
                <w:szCs w:val="20"/>
                <w:color w:val="auto"/>
              </w:rPr>
            </w:pPr>
            <w:r>
              <w:rPr>
                <w:rFonts w:ascii="Times New Roman" w:cs="Times New Roman" w:eastAsia="Times New Roman" w:hAnsi="Times New Roman"/>
                <w:sz w:val="14"/>
                <w:szCs w:val="14"/>
                <w:color w:val="0000EE"/>
              </w:rPr>
              <w:t>RISK FACTORS</w:t>
            </w: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2"/>
        </w:trPr>
        <w:tc>
          <w:tcPr>
            <w:tcW w:w="4020" w:type="dxa"/>
            <w:vAlign w:val="bottom"/>
            <w:tcBorders>
              <w:bottom w:val="single" w:sz="8" w:color="0000EE"/>
            </w:tcBorders>
            <w:gridSpan w:val="16"/>
          </w:tcPr>
          <w:p>
            <w:pPr>
              <w:spacing w:after="0" w:line="143" w:lineRule="exact"/>
              <w:rPr>
                <w:sz w:val="20"/>
                <w:szCs w:val="20"/>
                <w:color w:val="auto"/>
              </w:rPr>
            </w:pPr>
            <w:r>
              <w:rPr>
                <w:rFonts w:ascii="Times New Roman" w:cs="Times New Roman" w:eastAsia="Times New Roman" w:hAnsi="Times New Roman"/>
                <w:sz w:val="14"/>
                <w:szCs w:val="14"/>
                <w:color w:val="0000EE"/>
                <w:w w:val="95"/>
              </w:rPr>
              <w:t>SPECIAL NOTE REGARDING FORWARD-LOOKING STATEMENTS</w:t>
            </w:r>
          </w:p>
        </w:tc>
        <w:tc>
          <w:tcPr>
            <w:tcW w:w="2000" w:type="dxa"/>
            <w:vAlign w:val="bottom"/>
          </w:tcPr>
          <w:p>
            <w:pPr>
              <w:spacing w:after="0"/>
              <w:rPr>
                <w:sz w:val="12"/>
                <w:szCs w:val="12"/>
                <w:color w:val="auto"/>
              </w:rPr>
            </w:pP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w:t>
            </w:r>
          </w:p>
        </w:tc>
      </w:tr>
      <w:tr>
        <w:trPr>
          <w:trHeight w:val="142"/>
        </w:trPr>
        <w:tc>
          <w:tcPr>
            <w:tcW w:w="1200" w:type="dxa"/>
            <w:vAlign w:val="bottom"/>
            <w:tcBorders>
              <w:bottom w:val="single" w:sz="8" w:color="0000EE"/>
            </w:tcBorders>
            <w:gridSpan w:val="4"/>
          </w:tcPr>
          <w:p>
            <w:pPr>
              <w:spacing w:after="0" w:line="143" w:lineRule="exact"/>
              <w:rPr>
                <w:sz w:val="20"/>
                <w:szCs w:val="20"/>
                <w:color w:val="auto"/>
              </w:rPr>
            </w:pPr>
            <w:r>
              <w:rPr>
                <w:rFonts w:ascii="Times New Roman" w:cs="Times New Roman" w:eastAsia="Times New Roman" w:hAnsi="Times New Roman"/>
                <w:sz w:val="14"/>
                <w:szCs w:val="14"/>
                <w:color w:val="0000EE"/>
                <w:w w:val="95"/>
              </w:rPr>
              <w:t>USE OF PROCEEDS</w:t>
            </w:r>
          </w:p>
        </w:tc>
        <w:tc>
          <w:tcPr>
            <w:tcW w:w="4820" w:type="dxa"/>
            <w:vAlign w:val="bottom"/>
            <w:gridSpan w:val="13"/>
          </w:tcPr>
          <w:p>
            <w:pPr>
              <w:spacing w:after="0"/>
              <w:rPr>
                <w:sz w:val="12"/>
                <w:szCs w:val="12"/>
                <w:color w:val="auto"/>
              </w:rPr>
            </w:pP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w:t>
            </w:r>
          </w:p>
        </w:tc>
      </w:tr>
      <w:tr>
        <w:trPr>
          <w:trHeight w:val="142"/>
        </w:trPr>
        <w:tc>
          <w:tcPr>
            <w:tcW w:w="2160" w:type="dxa"/>
            <w:vAlign w:val="bottom"/>
            <w:tcBorders>
              <w:bottom w:val="single" w:sz="8" w:color="0000EE"/>
            </w:tcBorders>
            <w:gridSpan w:val="11"/>
          </w:tcPr>
          <w:p>
            <w:pPr>
              <w:spacing w:after="0" w:line="143" w:lineRule="exact"/>
              <w:rPr>
                <w:sz w:val="20"/>
                <w:szCs w:val="20"/>
                <w:color w:val="auto"/>
              </w:rPr>
            </w:pPr>
            <w:r>
              <w:rPr>
                <w:rFonts w:ascii="Times New Roman" w:cs="Times New Roman" w:eastAsia="Times New Roman" w:hAnsi="Times New Roman"/>
                <w:sz w:val="14"/>
                <w:szCs w:val="14"/>
                <w:color w:val="0000EE"/>
                <w:w w:val="95"/>
              </w:rPr>
              <w:t>DESCRIPTION OF CAPITAL STOCK</w:t>
            </w:r>
          </w:p>
        </w:tc>
        <w:tc>
          <w:tcPr>
            <w:tcW w:w="3860" w:type="dxa"/>
            <w:vAlign w:val="bottom"/>
            <w:gridSpan w:val="6"/>
          </w:tcPr>
          <w:p>
            <w:pPr>
              <w:spacing w:after="0"/>
              <w:rPr>
                <w:sz w:val="12"/>
                <w:szCs w:val="12"/>
                <w:color w:val="auto"/>
              </w:rPr>
            </w:pP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w:t>
            </w:r>
          </w:p>
        </w:tc>
      </w:tr>
      <w:tr>
        <w:trPr>
          <w:trHeight w:val="142"/>
        </w:trPr>
        <w:tc>
          <w:tcPr>
            <w:tcW w:w="2300" w:type="dxa"/>
            <w:vAlign w:val="bottom"/>
            <w:tcBorders>
              <w:bottom w:val="single" w:sz="8" w:color="0000EE"/>
            </w:tcBorders>
            <w:gridSpan w:val="13"/>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DEBT SECURITIES</w:t>
            </w:r>
          </w:p>
        </w:tc>
        <w:tc>
          <w:tcPr>
            <w:tcW w:w="3720" w:type="dxa"/>
            <w:vAlign w:val="bottom"/>
            <w:gridSpan w:val="4"/>
          </w:tcPr>
          <w:p>
            <w:pPr>
              <w:spacing w:after="0"/>
              <w:rPr>
                <w:sz w:val="12"/>
                <w:szCs w:val="12"/>
                <w:color w:val="auto"/>
              </w:rPr>
            </w:pP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14</w:t>
            </w:r>
          </w:p>
        </w:tc>
      </w:tr>
      <w:tr>
        <w:trPr>
          <w:trHeight w:val="142"/>
        </w:trPr>
        <w:tc>
          <w:tcPr>
            <w:tcW w:w="6020" w:type="dxa"/>
            <w:vAlign w:val="bottom"/>
            <w:gridSpan w:val="17"/>
          </w:tcPr>
          <w:p>
            <w:pPr>
              <w:spacing w:after="0" w:line="143" w:lineRule="exact"/>
              <w:rPr>
                <w:sz w:val="20"/>
                <w:szCs w:val="20"/>
                <w:color w:val="auto"/>
              </w:rPr>
            </w:pPr>
            <w:r>
              <w:rPr>
                <w:rFonts w:ascii="Times New Roman" w:cs="Times New Roman" w:eastAsia="Times New Roman" w:hAnsi="Times New Roman"/>
                <w:sz w:val="14"/>
                <w:szCs w:val="14"/>
                <w:color w:val="0000EE"/>
              </w:rPr>
              <w:t>DESCRIPTION OF WARRANTS</w:t>
            </w: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w:t>
            </w:r>
          </w:p>
        </w:tc>
      </w:tr>
      <w:tr>
        <w:trPr>
          <w:trHeight w:val="142"/>
        </w:trPr>
        <w:tc>
          <w:tcPr>
            <w:tcW w:w="1620" w:type="dxa"/>
            <w:vAlign w:val="bottom"/>
            <w:tcBorders>
              <w:top w:val="single" w:sz="8" w:color="0000EE"/>
              <w:bottom w:val="single" w:sz="8" w:color="0000EE"/>
            </w:tcBorders>
            <w:gridSpan w:val="8"/>
          </w:tcPr>
          <w:p>
            <w:pPr>
              <w:spacing w:after="0" w:line="143" w:lineRule="exact"/>
              <w:rPr>
                <w:sz w:val="20"/>
                <w:szCs w:val="20"/>
                <w:color w:val="auto"/>
              </w:rPr>
            </w:pPr>
            <w:r>
              <w:rPr>
                <w:rFonts w:ascii="Times New Roman" w:cs="Times New Roman" w:eastAsia="Times New Roman" w:hAnsi="Times New Roman"/>
                <w:sz w:val="14"/>
                <w:szCs w:val="14"/>
                <w:color w:val="0000EE"/>
                <w:w w:val="96"/>
              </w:rPr>
              <w:t>DESCRIPTION OF RIGHTS</w:t>
            </w:r>
          </w:p>
        </w:tc>
        <w:tc>
          <w:tcPr>
            <w:tcW w:w="240" w:type="dxa"/>
            <w:vAlign w:val="bottom"/>
            <w:tcBorders>
              <w:top w:val="single" w:sz="8" w:color="0000EE"/>
            </w:tcBorders>
            <w:gridSpan w:val="2"/>
          </w:tcPr>
          <w:p>
            <w:pPr>
              <w:spacing w:after="0"/>
              <w:rPr>
                <w:sz w:val="12"/>
                <w:szCs w:val="12"/>
                <w:color w:val="auto"/>
              </w:rPr>
            </w:pPr>
          </w:p>
        </w:tc>
        <w:tc>
          <w:tcPr>
            <w:tcW w:w="4160" w:type="dxa"/>
            <w:vAlign w:val="bottom"/>
            <w:gridSpan w:val="7"/>
          </w:tcPr>
          <w:p>
            <w:pPr>
              <w:spacing w:after="0"/>
              <w:rPr>
                <w:sz w:val="12"/>
                <w:szCs w:val="12"/>
                <w:color w:val="auto"/>
              </w:rPr>
            </w:pP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23</w:t>
            </w:r>
          </w:p>
        </w:tc>
      </w:tr>
      <w:tr>
        <w:trPr>
          <w:trHeight w:val="142"/>
        </w:trPr>
        <w:tc>
          <w:tcPr>
            <w:tcW w:w="6020" w:type="dxa"/>
            <w:vAlign w:val="bottom"/>
            <w:gridSpan w:val="17"/>
          </w:tcPr>
          <w:p>
            <w:pPr>
              <w:spacing w:after="0" w:line="143" w:lineRule="exact"/>
              <w:rPr>
                <w:sz w:val="20"/>
                <w:szCs w:val="20"/>
                <w:color w:val="auto"/>
              </w:rPr>
            </w:pPr>
            <w:r>
              <w:rPr>
                <w:rFonts w:ascii="Times New Roman" w:cs="Times New Roman" w:eastAsia="Times New Roman" w:hAnsi="Times New Roman"/>
                <w:sz w:val="14"/>
                <w:szCs w:val="14"/>
                <w:color w:val="0000EE"/>
              </w:rPr>
              <w:t>DESCRIPTION OF UNITS</w:t>
            </w: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24</w:t>
            </w:r>
          </w:p>
        </w:tc>
      </w:tr>
      <w:tr>
        <w:trPr>
          <w:trHeight w:val="20"/>
        </w:trPr>
        <w:tc>
          <w:tcPr>
            <w:tcW w:w="5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2"/>
        </w:trPr>
        <w:tc>
          <w:tcPr>
            <w:tcW w:w="2280" w:type="dxa"/>
            <w:vAlign w:val="bottom"/>
            <w:tcBorders>
              <w:bottom w:val="single" w:sz="8" w:color="0000EE"/>
            </w:tcBorders>
            <w:gridSpan w:val="12"/>
          </w:tcPr>
          <w:p>
            <w:pPr>
              <w:spacing w:after="0" w:line="143" w:lineRule="exact"/>
              <w:rPr>
                <w:sz w:val="20"/>
                <w:szCs w:val="20"/>
                <w:color w:val="auto"/>
              </w:rPr>
            </w:pPr>
            <w:r>
              <w:rPr>
                <w:rFonts w:ascii="Times New Roman" w:cs="Times New Roman" w:eastAsia="Times New Roman" w:hAnsi="Times New Roman"/>
                <w:sz w:val="14"/>
                <w:szCs w:val="14"/>
                <w:color w:val="0000EE"/>
                <w:w w:val="96"/>
              </w:rPr>
              <w:t>LEGAL OWNERSHIP OF SECURITIES</w:t>
            </w:r>
          </w:p>
        </w:tc>
        <w:tc>
          <w:tcPr>
            <w:tcW w:w="3740" w:type="dxa"/>
            <w:vAlign w:val="bottom"/>
            <w:gridSpan w:val="5"/>
          </w:tcPr>
          <w:p>
            <w:pPr>
              <w:spacing w:after="0"/>
              <w:rPr>
                <w:sz w:val="12"/>
                <w:szCs w:val="12"/>
                <w:color w:val="auto"/>
              </w:rPr>
            </w:pP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26</w:t>
            </w:r>
          </w:p>
        </w:tc>
      </w:tr>
      <w:tr>
        <w:trPr>
          <w:trHeight w:val="142"/>
        </w:trPr>
        <w:tc>
          <w:tcPr>
            <w:tcW w:w="6020" w:type="dxa"/>
            <w:vAlign w:val="bottom"/>
            <w:gridSpan w:val="17"/>
          </w:tcPr>
          <w:p>
            <w:pPr>
              <w:spacing w:after="0" w:line="143" w:lineRule="exact"/>
              <w:rPr>
                <w:sz w:val="20"/>
                <w:szCs w:val="20"/>
                <w:color w:val="auto"/>
              </w:rPr>
            </w:pPr>
            <w:r>
              <w:rPr>
                <w:rFonts w:ascii="Times New Roman" w:cs="Times New Roman" w:eastAsia="Times New Roman" w:hAnsi="Times New Roman"/>
                <w:sz w:val="14"/>
                <w:szCs w:val="14"/>
                <w:color w:val="0000EE"/>
              </w:rPr>
              <w:t>PLAN OF DISTRIBUTION</w:t>
            </w: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30</w:t>
            </w:r>
          </w:p>
        </w:tc>
      </w:tr>
      <w:tr>
        <w:trPr>
          <w:trHeight w:val="142"/>
        </w:trPr>
        <w:tc>
          <w:tcPr>
            <w:tcW w:w="1100" w:type="dxa"/>
            <w:vAlign w:val="bottom"/>
            <w:tcBorders>
              <w:top w:val="single" w:sz="8" w:color="0000EE"/>
              <w:bottom w:val="single" w:sz="8" w:color="0000EE"/>
            </w:tcBorders>
            <w:gridSpan w:val="3"/>
          </w:tcPr>
          <w:p>
            <w:pPr>
              <w:spacing w:after="0" w:line="143" w:lineRule="exact"/>
              <w:rPr>
                <w:sz w:val="20"/>
                <w:szCs w:val="20"/>
                <w:color w:val="auto"/>
              </w:rPr>
            </w:pPr>
            <w:r>
              <w:rPr>
                <w:rFonts w:ascii="Times New Roman" w:cs="Times New Roman" w:eastAsia="Times New Roman" w:hAnsi="Times New Roman"/>
                <w:sz w:val="14"/>
                <w:szCs w:val="14"/>
                <w:color w:val="0000EE"/>
                <w:w w:val="94"/>
              </w:rPr>
              <w:t>LEGAL MATTERS</w:t>
            </w:r>
          </w:p>
        </w:tc>
        <w:tc>
          <w:tcPr>
            <w:tcW w:w="440" w:type="dxa"/>
            <w:vAlign w:val="bottom"/>
            <w:tcBorders>
              <w:top w:val="single" w:sz="8" w:color="0000EE"/>
            </w:tcBorders>
            <w:gridSpan w:val="3"/>
          </w:tcPr>
          <w:p>
            <w:pPr>
              <w:spacing w:after="0"/>
              <w:rPr>
                <w:sz w:val="12"/>
                <w:szCs w:val="12"/>
                <w:color w:val="auto"/>
              </w:rPr>
            </w:pPr>
          </w:p>
        </w:tc>
        <w:tc>
          <w:tcPr>
            <w:tcW w:w="4480" w:type="dxa"/>
            <w:vAlign w:val="bottom"/>
            <w:gridSpan w:val="11"/>
          </w:tcPr>
          <w:p>
            <w:pPr>
              <w:spacing w:after="0"/>
              <w:rPr>
                <w:sz w:val="12"/>
                <w:szCs w:val="12"/>
                <w:color w:val="auto"/>
              </w:rPr>
            </w:pP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32</w:t>
            </w:r>
          </w:p>
        </w:tc>
      </w:tr>
      <w:tr>
        <w:trPr>
          <w:trHeight w:val="142"/>
        </w:trPr>
        <w:tc>
          <w:tcPr>
            <w:tcW w:w="6020" w:type="dxa"/>
            <w:vAlign w:val="bottom"/>
            <w:gridSpan w:val="17"/>
          </w:tcPr>
          <w:p>
            <w:pPr>
              <w:spacing w:after="0" w:line="143" w:lineRule="exact"/>
              <w:rPr>
                <w:sz w:val="20"/>
                <w:szCs w:val="20"/>
                <w:color w:val="auto"/>
              </w:rPr>
            </w:pPr>
            <w:r>
              <w:rPr>
                <w:rFonts w:ascii="Times New Roman" w:cs="Times New Roman" w:eastAsia="Times New Roman" w:hAnsi="Times New Roman"/>
                <w:sz w:val="14"/>
                <w:szCs w:val="14"/>
                <w:color w:val="0000EE"/>
              </w:rPr>
              <w:t>EXPERTS</w:t>
            </w: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32</w:t>
            </w:r>
          </w:p>
        </w:tc>
      </w:tr>
      <w:tr>
        <w:trPr>
          <w:trHeight w:val="20"/>
        </w:trPr>
        <w:tc>
          <w:tcPr>
            <w:tcW w:w="580" w:type="dxa"/>
            <w:vAlign w:val="bottom"/>
            <w:shd w:val="clear" w:color="auto" w:fill="0000EE"/>
          </w:tcPr>
          <w:p>
            <w:pPr>
              <w:spacing w:after="0" w:line="20" w:lineRule="exact"/>
              <w:rPr>
                <w:sz w:val="1"/>
                <w:szCs w:val="1"/>
                <w:color w:val="auto"/>
              </w:rPr>
            </w:pPr>
          </w:p>
        </w:tc>
        <w:tc>
          <w:tcPr>
            <w:tcW w:w="274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2"/>
        </w:trPr>
        <w:tc>
          <w:tcPr>
            <w:tcW w:w="6020" w:type="dxa"/>
            <w:vAlign w:val="bottom"/>
            <w:gridSpan w:val="17"/>
          </w:tcPr>
          <w:p>
            <w:pPr>
              <w:spacing w:after="0" w:line="143" w:lineRule="exact"/>
              <w:rPr>
                <w:sz w:val="20"/>
                <w:szCs w:val="20"/>
                <w:color w:val="auto"/>
              </w:rPr>
            </w:pPr>
            <w:r>
              <w:rPr>
                <w:rFonts w:ascii="Times New Roman" w:cs="Times New Roman" w:eastAsia="Times New Roman" w:hAnsi="Times New Roman"/>
                <w:sz w:val="14"/>
                <w:szCs w:val="14"/>
                <w:color w:val="0000EE"/>
              </w:rPr>
              <w:t>WHERE YOU CAN FIND ADDITIONAL INFORMATION</w:t>
            </w: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32</w:t>
            </w:r>
          </w:p>
        </w:tc>
      </w:tr>
      <w:tr>
        <w:trPr>
          <w:trHeight w:val="20"/>
        </w:trPr>
        <w:tc>
          <w:tcPr>
            <w:tcW w:w="3320" w:type="dxa"/>
            <w:vAlign w:val="bottom"/>
            <w:gridSpan w:val="1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2"/>
        </w:trPr>
        <w:tc>
          <w:tcPr>
            <w:tcW w:w="3900" w:type="dxa"/>
            <w:vAlign w:val="bottom"/>
            <w:tcBorders>
              <w:bottom w:val="single" w:sz="8" w:color="0000EE"/>
            </w:tcBorders>
            <w:gridSpan w:val="15"/>
          </w:tcPr>
          <w:p>
            <w:pPr>
              <w:spacing w:after="0" w:line="143" w:lineRule="exact"/>
              <w:rPr>
                <w:sz w:val="20"/>
                <w:szCs w:val="20"/>
                <w:color w:val="auto"/>
              </w:rPr>
            </w:pPr>
            <w:r>
              <w:rPr>
                <w:rFonts w:ascii="Times New Roman" w:cs="Times New Roman" w:eastAsia="Times New Roman" w:hAnsi="Times New Roman"/>
                <w:sz w:val="14"/>
                <w:szCs w:val="14"/>
                <w:color w:val="0000EE"/>
                <w:w w:val="95"/>
              </w:rPr>
              <w:t>INCORPORATION OF CERTAIN INFORMATION BY REFERENCE</w:t>
            </w:r>
          </w:p>
        </w:tc>
        <w:tc>
          <w:tcPr>
            <w:tcW w:w="2120" w:type="dxa"/>
            <w:vAlign w:val="bottom"/>
            <w:gridSpan w:val="2"/>
          </w:tcPr>
          <w:p>
            <w:pPr>
              <w:spacing w:after="0"/>
              <w:rPr>
                <w:sz w:val="12"/>
                <w:szCs w:val="12"/>
                <w:color w:val="auto"/>
              </w:rPr>
            </w:pPr>
          </w:p>
        </w:tc>
        <w:tc>
          <w:tcPr>
            <w:tcW w:w="22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33</w:t>
            </w:r>
          </w:p>
        </w:tc>
      </w:tr>
    </w:tbl>
    <w:p>
      <w:pPr>
        <w:spacing w:after="0" w:line="1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7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68" w:lineRule="exact"/>
        <w:rPr>
          <w:sz w:val="20"/>
          <w:szCs w:val="20"/>
          <w:color w:val="auto"/>
        </w:rPr>
      </w:pPr>
    </w:p>
    <w:p>
      <w:pPr>
        <w:ind w:left="1500" w:right="439" w:firstLine="331"/>
        <w:spacing w:after="0" w:line="298" w:lineRule="auto"/>
        <w:rPr>
          <w:sz w:val="20"/>
          <w:szCs w:val="20"/>
          <w:color w:val="auto"/>
        </w:rPr>
      </w:pPr>
      <w:r>
        <w:rPr>
          <w:rFonts w:ascii="Times New Roman" w:cs="Times New Roman" w:eastAsia="Times New Roman" w:hAnsi="Times New Roman"/>
          <w:sz w:val="12"/>
          <w:szCs w:val="12"/>
          <w:color w:val="auto"/>
        </w:rPr>
        <w:t>This prospectus is part of a registration statement on Form S-3 that we filed with the Securities and Exchange Commission, or the SEC, using a “shelf” registration process under the Securities Act of 1933, as amended, or the Securities Act. Under this shelf registration statement, we may, from time to time, offer and sell in one or more offerings common stock and preferred stock, various series of debt securities and/or warrants to purchase any of such securities, either individually or in combination with other securities, in one or more offerings, up to a total dollar amount of $200,000,000 of any combination of the securities described in this prospectus. This prospectus provides you with a general description of the securities we may offer.</w:t>
      </w:r>
    </w:p>
    <w:p>
      <w:pPr>
        <w:spacing w:after="0" w:line="118" w:lineRule="exact"/>
        <w:rPr>
          <w:sz w:val="20"/>
          <w:szCs w:val="20"/>
          <w:color w:val="auto"/>
        </w:rPr>
      </w:pPr>
    </w:p>
    <w:p>
      <w:pPr>
        <w:ind w:left="1500" w:right="379" w:firstLine="331"/>
        <w:spacing w:after="0" w:line="291" w:lineRule="auto"/>
        <w:rPr>
          <w:sz w:val="20"/>
          <w:szCs w:val="20"/>
          <w:color w:val="auto"/>
        </w:rPr>
      </w:pPr>
      <w:r>
        <w:rPr>
          <w:rFonts w:ascii="Times New Roman" w:cs="Times New Roman" w:eastAsia="Times New Roman" w:hAnsi="Times New Roman"/>
          <w:sz w:val="12"/>
          <w:szCs w:val="12"/>
          <w:color w:val="auto"/>
        </w:rPr>
        <w:t>Each time we offer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section titled “</w:t>
      </w:r>
      <w:r>
        <w:rPr>
          <w:rFonts w:ascii="Times New Roman" w:cs="Times New Roman" w:eastAsia="Times New Roman" w:hAnsi="Times New Roman"/>
          <w:sz w:val="12"/>
          <w:szCs w:val="12"/>
          <w:i w:val="1"/>
          <w:iCs w:val="1"/>
          <w:color w:val="auto"/>
        </w:rPr>
        <w:t>Incorporation of Certain Information by Reference</w:t>
      </w:r>
      <w:r>
        <w:rPr>
          <w:rFonts w:ascii="Times New Roman" w:cs="Times New Roman" w:eastAsia="Times New Roman" w:hAnsi="Times New Roman"/>
          <w:sz w:val="12"/>
          <w:szCs w:val="12"/>
          <w:color w:val="auto"/>
        </w:rPr>
        <w:t>” before buying any of the securities being offered.</w:t>
      </w:r>
    </w:p>
    <w:p>
      <w:pPr>
        <w:spacing w:after="0" w:line="28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168" w:lineRule="exact"/>
        <w:rPr>
          <w:sz w:val="20"/>
          <w:szCs w:val="20"/>
          <w:color w:val="auto"/>
        </w:rPr>
      </w:pPr>
    </w:p>
    <w:p>
      <w:pPr>
        <w:ind w:left="1500" w:right="379" w:firstLine="331"/>
        <w:spacing w:after="0" w:line="244"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spacing w:after="0" w:line="152" w:lineRule="exact"/>
        <w:rPr>
          <w:sz w:val="20"/>
          <w:szCs w:val="20"/>
          <w:color w:val="auto"/>
        </w:rPr>
      </w:pPr>
    </w:p>
    <w:p>
      <w:pPr>
        <w:ind w:left="1500" w:right="459" w:firstLine="331"/>
        <w:spacing w:after="0" w:line="248" w:lineRule="auto"/>
        <w:rPr>
          <w:sz w:val="20"/>
          <w:szCs w:val="20"/>
          <w:color w:val="auto"/>
        </w:rPr>
      </w:pPr>
      <w:r>
        <w:rPr>
          <w:rFonts w:ascii="Times New Roman" w:cs="Times New Roman" w:eastAsia="Times New Roman" w:hAnsi="Times New Roman"/>
          <w:sz w:val="14"/>
          <w:szCs w:val="14"/>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securities. Our business, financial condition, results of operations and prospects may have changed since those dates.</w:t>
      </w:r>
    </w:p>
    <w:p>
      <w:pPr>
        <w:spacing w:after="0" w:line="147" w:lineRule="exact"/>
        <w:rPr>
          <w:sz w:val="20"/>
          <w:szCs w:val="20"/>
          <w:color w:val="auto"/>
        </w:rPr>
      </w:pPr>
    </w:p>
    <w:p>
      <w:pPr>
        <w:ind w:left="1500" w:right="559" w:firstLine="331"/>
        <w:spacing w:after="0" w:line="294" w:lineRule="auto"/>
        <w:rPr>
          <w:sz w:val="20"/>
          <w:szCs w:val="20"/>
          <w:color w:val="auto"/>
        </w:rPr>
      </w:pPr>
      <w:r>
        <w:rPr>
          <w:rFonts w:ascii="Times New Roman" w:cs="Times New Roman" w:eastAsia="Times New Roman" w:hAnsi="Times New Roman"/>
          <w:sz w:val="12"/>
          <w:szCs w:val="12"/>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23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7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right="399" w:firstLine="331"/>
        <w:spacing w:after="0" w:line="303" w:lineRule="auto"/>
        <w:rPr>
          <w:sz w:val="20"/>
          <w:szCs w:val="20"/>
          <w:color w:val="auto"/>
        </w:rPr>
      </w:pPr>
      <w:r>
        <w:rPr>
          <w:rFonts w:ascii="Times New Roman" w:cs="Times New Roman" w:eastAsia="Times New Roman" w:hAnsi="Times New Roman"/>
          <w:sz w:val="12"/>
          <w:szCs w:val="12"/>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cs="Times New Roman" w:eastAsia="Times New Roman" w:hAnsi="Times New Roman"/>
          <w:sz w:val="12"/>
          <w:szCs w:val="12"/>
          <w:i w:val="1"/>
          <w:iCs w:val="1"/>
          <w:color w:val="auto"/>
        </w:rPr>
        <w:t>Where You Can Find Additional Information</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1500" w:right="499" w:firstLine="331"/>
        <w:spacing w:after="0" w:line="262" w:lineRule="auto"/>
        <w:rPr>
          <w:sz w:val="20"/>
          <w:szCs w:val="20"/>
          <w:color w:val="auto"/>
        </w:rPr>
      </w:pPr>
      <w:r>
        <w:rPr>
          <w:rFonts w:ascii="Times New Roman" w:cs="Times New Roman" w:eastAsia="Times New Roman" w:hAnsi="Times New Roman"/>
          <w:sz w:val="14"/>
          <w:szCs w:val="14"/>
          <w:color w:val="auto"/>
        </w:rPr>
        <w:t>In this prospectus, unless the context suggests otherwise, the terms “IN8bio, Inc.,” “the company,” “we,” “us,” “our” and similar references refer to IN8bio, Inc.</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10159"/>
          </w:cols>
          <w:pgMar w:left="300" w:top="37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156845</wp:posOffset>
            </wp:positionV>
            <wp:extent cx="5264785" cy="4408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64785" cy="4408170"/>
                    </a:xfrm>
                    <a:prstGeom prst="rect">
                      <a:avLst/>
                    </a:prstGeom>
                    <a:noFill/>
                  </pic:spPr>
                </pic:pic>
              </a:graphicData>
            </a:graphic>
          </wp:anchor>
        </w:drawing>
      </w:r>
    </w:p>
    <w:p>
      <w:pPr>
        <w:spacing w:after="0" w:line="34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66" w:lineRule="exact"/>
        <w:rPr>
          <w:sz w:val="20"/>
          <w:szCs w:val="20"/>
          <w:color w:val="auto"/>
        </w:rPr>
      </w:pPr>
    </w:p>
    <w:p>
      <w:pPr>
        <w:ind w:left="1640" w:right="739" w:firstLine="320"/>
        <w:spacing w:after="0" w:line="245"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22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87" w:lineRule="exact"/>
        <w:rPr>
          <w:sz w:val="20"/>
          <w:szCs w:val="20"/>
          <w:color w:val="auto"/>
        </w:rPr>
      </w:pPr>
    </w:p>
    <w:p>
      <w:pPr>
        <w:ind w:left="1640" w:right="539" w:firstLine="320"/>
        <w:spacing w:after="0" w:line="244"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the discovery, development and commercialization of gamma-delta T cell product candidates and T cell engagers, or TCEs, for cancer and autoimmune diseases. We are the most clinically advanced gamma-delta T cell-focused company and are utilizing our suite of DeltEx platform technologies as we aspire to eliminate cancer cells to achieve our mission of what we refer to as Cancer Zero — the safe elimination of all cancer cells in every patient battling the disease. We develop ex vivo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or iPSC, genetically modified cell therapy approaches, and TCEs that are designed to effectively identify and eradicate malignant or pathogenic target cells.</w:t>
      </w:r>
    </w:p>
    <w:p>
      <w:pPr>
        <w:spacing w:after="0" w:line="152" w:lineRule="exact"/>
        <w:rPr>
          <w:sz w:val="20"/>
          <w:szCs w:val="20"/>
          <w:color w:val="auto"/>
        </w:rPr>
      </w:pPr>
    </w:p>
    <w:p>
      <w:pPr>
        <w:ind w:left="1640" w:right="519" w:firstLine="320"/>
        <w:spacing w:after="0" w:line="244" w:lineRule="auto"/>
        <w:rPr>
          <w:sz w:val="20"/>
          <w:szCs w:val="20"/>
          <w:color w:val="auto"/>
        </w:rPr>
      </w:pPr>
      <w:r>
        <w:rPr>
          <w:rFonts w:ascii="Times New Roman" w:cs="Times New Roman" w:eastAsia="Times New Roman" w:hAnsi="Times New Roman"/>
          <w:sz w:val="14"/>
          <w:szCs w:val="14"/>
          <w:color w:val="auto"/>
        </w:rPr>
        <w:t>To date, we have conducted two main investigator-sponsored Phase 1 clinical trials to test our gamma-delta T cell technologies in cancer patients. INB-100 tests our DeltEx Allogeneic gamma-delta T cells in older patients with high-risk leukemias undergoing haploidentical stem cell transplantation and INB-200 tests our DeltEx Drug Resistant Immunotherapy in newly diagnosed glioblastoma patients. Most recently we introduced INB-600, our proprietary and internally developed T cell engager platform. This platform represents a potentially revolutionary advancement in immunotherapy, harnessing the power of gamma-delta T cells through a distinctive mechanism that optimizes effector function and targeted cytotoxicity. We also have a portfolio of preclinical programs in development. These include INB-300, which is applicable to both solid and liquid tumors using a targeted non-signaling gamma-delta T cell based chimeric antigen receptor construct, and INB-500, which encompasses our ability to produce gamma-delta T cells from iPSCs. iPSCs represent a significant step toward next generation approaches of cellular manufacturing for true allogeneic and potentially “off-the-shelf” innate cell therapies.</w:t>
      </w:r>
    </w:p>
    <w:p>
      <w:pPr>
        <w:spacing w:after="0" w:line="22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87" w:lineRule="exact"/>
        <w:rPr>
          <w:sz w:val="20"/>
          <w:szCs w:val="20"/>
          <w:color w:val="auto"/>
        </w:rPr>
      </w:pPr>
    </w:p>
    <w:p>
      <w:pPr>
        <w:ind w:left="1640" w:right="619" w:firstLine="320"/>
        <w:spacing w:after="0" w:line="244" w:lineRule="auto"/>
        <w:rPr>
          <w:sz w:val="20"/>
          <w:szCs w:val="20"/>
          <w:color w:val="auto"/>
        </w:rPr>
      </w:pPr>
      <w:r>
        <w:rPr>
          <w:rFonts w:ascii="Times New Roman" w:cs="Times New Roman" w:eastAsia="Times New Roman" w:hAnsi="Times New Roman"/>
          <w:sz w:val="14"/>
          <w:szCs w:val="14"/>
          <w:color w:val="auto"/>
        </w:rPr>
        <w:t>Incysus, Ltd. was incorporated in Bermuda on February 8, 2016. On May 7, 2018, Incysus, Ltd. reincorporated in the United States in a domestication transaction in which Incysus, Ltd. converted into a newly formed Delaware corporation, Incysus Therapeutics, Inc. Upon the domestication, each Class A share of Incysus, Ltd. was automatically converted into one share of common stock of Incysus Therapeutics, Inc. and each Class B share of Incysus, Ltd. was automatically cancelled and did not convert into any shares of any class of capital stock of Incysus Therapeutics, Inc. In August 2020, we amended our certificate of incorporation, as amended, to change our name to IN8bio, Inc. Our principal executive offices are located at 350 5th Avenue, Suite 5330, New York, New York 10118, and our telephone number is (646) 600-6438. Our corporate website address is www.in8bio.com. Information contained on, or accessible through, our website is not a part of this prospectus. We have included our website in this prospectus solely as an inactive textual reference.</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7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156845</wp:posOffset>
            </wp:positionV>
            <wp:extent cx="5264785" cy="42017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64785" cy="4201795"/>
                    </a:xfrm>
                    <a:prstGeom prst="rect">
                      <a:avLst/>
                    </a:prstGeom>
                    <a:noFill/>
                  </pic:spPr>
                </pic:pic>
              </a:graphicData>
            </a:graphic>
          </wp:anchor>
        </w:drawing>
      </w:r>
    </w:p>
    <w:p>
      <w:pPr>
        <w:spacing w:after="0" w:line="351" w:lineRule="exact"/>
        <w:rPr>
          <w:sz w:val="20"/>
          <w:szCs w:val="20"/>
          <w:color w:val="auto"/>
        </w:rPr>
      </w:pPr>
    </w:p>
    <w:p>
      <w:pPr>
        <w:ind w:left="1640" w:right="519" w:firstLine="320"/>
        <w:spacing w:after="0" w:line="222" w:lineRule="auto"/>
        <w:rPr>
          <w:sz w:val="20"/>
          <w:szCs w:val="20"/>
          <w:color w:val="auto"/>
        </w:rPr>
      </w:pPr>
      <w:r>
        <w:rPr>
          <w:rFonts w:ascii="Times New Roman" w:cs="Times New Roman" w:eastAsia="Times New Roman" w:hAnsi="Times New Roman"/>
          <w:sz w:val="14"/>
          <w:szCs w:val="14"/>
          <w:color w:val="auto"/>
        </w:rPr>
        <w:t xml:space="preserve">“IN8BIO,” “INEIGHTBIO,” the IN8BIO logo, DeltEx and other trademarks, trade names or service marks of IN8bio, Inc. appearing in this prospectus are the property of IN8bio, Inc. All other trademarks, trade names and service marks appearing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symbols, but such references should not be construed as any indicator that their respective owners will not assert their rights thereto.</w:t>
      </w:r>
    </w:p>
    <w:p>
      <w:pPr>
        <w:spacing w:after="0" w:line="23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 Status</w:t>
      </w:r>
    </w:p>
    <w:p>
      <w:pPr>
        <w:spacing w:after="0" w:line="87" w:lineRule="exact"/>
        <w:rPr>
          <w:sz w:val="20"/>
          <w:szCs w:val="20"/>
          <w:color w:val="auto"/>
        </w:rPr>
      </w:pPr>
    </w:p>
    <w:p>
      <w:pPr>
        <w:ind w:left="1640" w:right="599" w:firstLine="320"/>
        <w:spacing w:after="0" w:line="247"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46" w:lineRule="exact"/>
        <w:rPr>
          <w:sz w:val="20"/>
          <w:szCs w:val="20"/>
          <w:color w:val="auto"/>
        </w:rPr>
      </w:pPr>
    </w:p>
    <w:p>
      <w:pPr>
        <w:ind w:left="1640" w:right="519" w:firstLine="320"/>
        <w:spacing w:after="0" w:line="293" w:lineRule="auto"/>
        <w:rPr>
          <w:sz w:val="20"/>
          <w:szCs w:val="20"/>
          <w:color w:val="auto"/>
        </w:rPr>
      </w:pPr>
      <w:r>
        <w:rPr>
          <w:rFonts w:ascii="Times New Roman" w:cs="Times New Roman" w:eastAsia="Times New Roman" w:hAnsi="Times New Roman"/>
          <w:sz w:val="12"/>
          <w:szCs w:val="12"/>
          <w:color w:val="auto"/>
        </w:rPr>
        <w:t>We may take advantage of these provisions until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20" w:lineRule="exact"/>
        <w:rPr>
          <w:sz w:val="20"/>
          <w:szCs w:val="20"/>
          <w:color w:val="auto"/>
        </w:rPr>
      </w:pPr>
    </w:p>
    <w:p>
      <w:pPr>
        <w:ind w:left="1640" w:right="519" w:firstLine="320"/>
        <w:spacing w:after="0" w:line="245" w:lineRule="auto"/>
        <w:rPr>
          <w:sz w:val="20"/>
          <w:szCs w:val="20"/>
          <w:color w:val="auto"/>
        </w:rPr>
      </w:pPr>
      <w:r>
        <w:rPr>
          <w:rFonts w:ascii="Times New Roman" w:cs="Times New Roman" w:eastAsia="Times New Roman" w:hAnsi="Times New Roman"/>
          <w:sz w:val="14"/>
          <w:szCs w:val="14"/>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w:t>
      </w:r>
    </w:p>
    <w:p>
      <w:pPr>
        <w:spacing w:after="0" w:line="149" w:lineRule="exact"/>
        <w:rPr>
          <w:sz w:val="20"/>
          <w:szCs w:val="20"/>
          <w:color w:val="auto"/>
        </w:rPr>
      </w:pPr>
    </w:p>
    <w:p>
      <w:pPr>
        <w:ind w:left="1640" w:right="539" w:firstLine="320"/>
        <w:spacing w:after="0" w:line="247" w:lineRule="auto"/>
        <w:rPr>
          <w:sz w:val="20"/>
          <w:szCs w:val="20"/>
          <w:color w:val="auto"/>
        </w:rPr>
      </w:pPr>
      <w:r>
        <w:rPr>
          <w:rFonts w:ascii="Times New Roman" w:cs="Times New Roman" w:eastAsia="Times New Roman" w:hAnsi="Times New Roman"/>
          <w:sz w:val="14"/>
          <w:szCs w:val="14"/>
          <w:color w:val="auto"/>
        </w:rPr>
        <w:t>We are also a “smaller reporting company,” meaning that the market value of our stock held by non-affiliates was less than $700 million as of the last business day of the second fiscal quarter of our most recently completed fiscal year and our annual revenue was less than $100 million during our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46" w:lineRule="exact"/>
        <w:rPr>
          <w:sz w:val="20"/>
          <w:szCs w:val="20"/>
          <w:color w:val="auto"/>
        </w:rPr>
      </w:pPr>
    </w:p>
    <w:p>
      <w:pPr>
        <w:ind w:left="1640" w:right="579" w:firstLine="320"/>
        <w:spacing w:after="0" w:line="248" w:lineRule="auto"/>
        <w:rPr>
          <w:sz w:val="20"/>
          <w:szCs w:val="20"/>
          <w:color w:val="auto"/>
        </w:rPr>
      </w:pPr>
      <w:r>
        <w:rPr>
          <w:rFonts w:ascii="Times New Roman" w:cs="Times New Roman" w:eastAsia="Times New Roman" w:hAnsi="Times New Roman"/>
          <w:sz w:val="14"/>
          <w:szCs w:val="14"/>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7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156845</wp:posOffset>
            </wp:positionV>
            <wp:extent cx="5264785" cy="4665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64785" cy="4665980"/>
                    </a:xfrm>
                    <a:prstGeom prst="rect">
                      <a:avLst/>
                    </a:prstGeom>
                    <a:noFill/>
                  </pic:spPr>
                </pic:pic>
              </a:graphicData>
            </a:graphic>
          </wp:anchor>
        </w:drawing>
      </w:r>
    </w:p>
    <w:p>
      <w:pPr>
        <w:spacing w:after="0" w:line="34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The Securities We May Offer</w:t>
      </w:r>
    </w:p>
    <w:p>
      <w:pPr>
        <w:spacing w:after="0" w:line="87" w:lineRule="exact"/>
        <w:rPr>
          <w:sz w:val="20"/>
          <w:szCs w:val="20"/>
          <w:color w:val="auto"/>
        </w:rPr>
      </w:pPr>
    </w:p>
    <w:p>
      <w:pPr>
        <w:ind w:left="1640" w:right="559" w:firstLine="320"/>
        <w:spacing w:after="0" w:line="246" w:lineRule="auto"/>
        <w:rPr>
          <w:sz w:val="20"/>
          <w:szCs w:val="20"/>
          <w:color w:val="auto"/>
        </w:rPr>
      </w:pPr>
      <w:r>
        <w:rPr>
          <w:rFonts w:ascii="Times New Roman" w:cs="Times New Roman" w:eastAsia="Times New Roman" w:hAnsi="Times New Roman"/>
          <w:sz w:val="14"/>
          <w:szCs w:val="14"/>
          <w:color w:val="auto"/>
        </w:rPr>
        <w:t>We may offer any of the securities described in this prospectus, either individually or in combination with other securities, up to a total dollar amount of $200,000,000, from time to time under this prospectus, together with the applicable prospectus supplement and any related free writing prospectus, at prices and on terms to be determined by market conditions at the time of any offering.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76" w:lineRule="exact"/>
        <w:rPr>
          <w:sz w:val="20"/>
          <w:szCs w:val="20"/>
          <w:color w:val="auto"/>
        </w:rPr>
      </w:pPr>
    </w:p>
    <w:p>
      <w:pPr>
        <w:ind w:left="2340" w:hanging="304"/>
        <w:spacing w:after="0"/>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92"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92"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 date, if applicable;</w:t>
      </w:r>
    </w:p>
    <w:p>
      <w:pPr>
        <w:spacing w:after="0" w:line="92"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 if any;</w:t>
      </w:r>
    </w:p>
    <w:p>
      <w:pPr>
        <w:spacing w:after="0" w:line="92"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or dividends, if any;</w:t>
      </w:r>
    </w:p>
    <w:p>
      <w:pPr>
        <w:spacing w:after="0" w:line="92"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exercise, exchange or sinking fund terms, if any;</w:t>
      </w:r>
    </w:p>
    <w:p>
      <w:pPr>
        <w:spacing w:after="0" w:line="92" w:lineRule="exact"/>
        <w:rPr>
          <w:rFonts w:ascii="Times New Roman" w:cs="Times New Roman" w:eastAsia="Times New Roman" w:hAnsi="Times New Roman"/>
          <w:sz w:val="14"/>
          <w:szCs w:val="14"/>
          <w:color w:val="auto"/>
        </w:rPr>
      </w:pPr>
    </w:p>
    <w:p>
      <w:pPr>
        <w:ind w:left="2340" w:right="759" w:hanging="304"/>
        <w:spacing w:after="0" w:line="262" w:lineRule="auto"/>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4"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w:t>
      </w:r>
    </w:p>
    <w:p>
      <w:pPr>
        <w:spacing w:after="0" w:line="92"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 if any;</w:t>
      </w:r>
    </w:p>
    <w:p>
      <w:pPr>
        <w:spacing w:after="0" w:line="92"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 if any;</w:t>
      </w:r>
    </w:p>
    <w:p>
      <w:pPr>
        <w:spacing w:after="0" w:line="92" w:lineRule="exact"/>
        <w:rPr>
          <w:rFonts w:ascii="Times New Roman" w:cs="Times New Roman" w:eastAsia="Times New Roman" w:hAnsi="Times New Roman"/>
          <w:sz w:val="14"/>
          <w:szCs w:val="14"/>
          <w:color w:val="auto"/>
        </w:rPr>
      </w:pPr>
    </w:p>
    <w:p>
      <w:pPr>
        <w:ind w:left="2340" w:right="759" w:hanging="304"/>
        <w:spacing w:after="0" w:line="262" w:lineRule="auto"/>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4"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or special U.S. federal income tax considerations, if any.</w:t>
      </w:r>
    </w:p>
    <w:p>
      <w:pPr>
        <w:spacing w:after="0" w:line="164" w:lineRule="exact"/>
        <w:rPr>
          <w:sz w:val="20"/>
          <w:szCs w:val="20"/>
          <w:color w:val="auto"/>
        </w:rPr>
      </w:pPr>
    </w:p>
    <w:p>
      <w:pPr>
        <w:ind w:left="1640" w:right="779" w:firstLine="320"/>
        <w:spacing w:after="0" w:line="248" w:lineRule="auto"/>
        <w:rPr>
          <w:sz w:val="20"/>
          <w:szCs w:val="20"/>
          <w:color w:val="auto"/>
        </w:rPr>
      </w:pPr>
      <w:r>
        <w:rPr>
          <w:rFonts w:ascii="Times New Roman" w:cs="Times New Roman" w:eastAsia="Times New Roman" w:hAnsi="Times New Roman"/>
          <w:sz w:val="14"/>
          <w:szCs w:val="14"/>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prospectuses will offer a security that is not registered and described in this prospectus at the time of the effectiveness of the registration statement of which this prospectus is a part.</w:t>
      </w:r>
    </w:p>
    <w:p>
      <w:pPr>
        <w:spacing w:after="0" w:line="147" w:lineRule="exact"/>
        <w:rPr>
          <w:sz w:val="20"/>
          <w:szCs w:val="20"/>
          <w:color w:val="auto"/>
        </w:rPr>
      </w:pPr>
    </w:p>
    <w:p>
      <w:pPr>
        <w:ind w:left="1640" w:right="519" w:firstLine="320"/>
        <w:spacing w:after="0" w:line="252" w:lineRule="auto"/>
        <w:rPr>
          <w:sz w:val="20"/>
          <w:szCs w:val="20"/>
          <w:color w:val="auto"/>
        </w:rPr>
      </w:pPr>
      <w:r>
        <w:rPr>
          <w:rFonts w:ascii="Times New Roman" w:cs="Times New Roman" w:eastAsia="Times New Roman" w:hAnsi="Times New Roman"/>
          <w:sz w:val="14"/>
          <w:szCs w:val="14"/>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71" w:lineRule="exact"/>
        <w:rPr>
          <w:sz w:val="20"/>
          <w:szCs w:val="20"/>
          <w:color w:val="auto"/>
        </w:rPr>
      </w:pPr>
    </w:p>
    <w:p>
      <w:pPr>
        <w:ind w:left="2340" w:hanging="304"/>
        <w:spacing w:after="0"/>
        <w:tabs>
          <w:tab w:leader="none" w:pos="2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those agents or underwriters;</w:t>
      </w:r>
    </w:p>
    <w:p>
      <w:pPr>
        <w:spacing w:after="0" w:line="92"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fees, discounts and commissions to be paid to them;</w:t>
      </w:r>
    </w:p>
    <w:p>
      <w:pPr>
        <w:spacing w:after="0" w:line="92"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overallotment options, if any; and</w:t>
      </w:r>
    </w:p>
    <w:p>
      <w:pPr>
        <w:spacing w:after="0" w:line="92" w:lineRule="exact"/>
        <w:rPr>
          <w:rFonts w:ascii="Times New Roman" w:cs="Times New Roman" w:eastAsia="Times New Roman" w:hAnsi="Times New Roman"/>
          <w:sz w:val="14"/>
          <w:szCs w:val="14"/>
          <w:color w:val="auto"/>
        </w:rPr>
      </w:pPr>
    </w:p>
    <w:p>
      <w:pPr>
        <w:ind w:left="2340" w:hanging="304"/>
        <w:spacing w:after="0"/>
        <w:tabs>
          <w:tab w:leader="none" w:pos="23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w:t>
      </w: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7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156845</wp:posOffset>
            </wp:positionV>
            <wp:extent cx="5264785" cy="1727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64785" cy="1727200"/>
                    </a:xfrm>
                    <a:prstGeom prst="rect">
                      <a:avLst/>
                    </a:prstGeom>
                    <a:noFill/>
                  </pic:spPr>
                </pic:pic>
              </a:graphicData>
            </a:graphic>
          </wp:anchor>
        </w:drawing>
      </w:r>
    </w:p>
    <w:p>
      <w:pPr>
        <w:spacing w:after="0" w:line="347" w:lineRule="exact"/>
        <w:rPr>
          <w:sz w:val="20"/>
          <w:szCs w:val="20"/>
          <w:color w:val="auto"/>
        </w:rPr>
      </w:pPr>
    </w:p>
    <w:p>
      <w:pPr>
        <w:ind w:left="1640" w:right="819"/>
        <w:spacing w:after="0" w:line="268" w:lineRule="auto"/>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IT IS ACCOMPANIED BY A PROSPECTUS SUPPLEMENT.</w:t>
      </w:r>
    </w:p>
    <w:p>
      <w:pPr>
        <w:spacing w:after="0" w:line="20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87" w:lineRule="exact"/>
        <w:rPr>
          <w:sz w:val="20"/>
          <w:szCs w:val="20"/>
          <w:color w:val="auto"/>
        </w:rPr>
      </w:pPr>
    </w:p>
    <w:p>
      <w:pPr>
        <w:ind w:left="1640" w:right="519" w:firstLine="320"/>
        <w:spacing w:after="0" w:line="303" w:lineRule="auto"/>
        <w:rPr>
          <w:sz w:val="20"/>
          <w:szCs w:val="20"/>
          <w:color w:val="auto"/>
        </w:rPr>
      </w:pPr>
      <w:r>
        <w:rPr>
          <w:rFonts w:ascii="Times New Roman" w:cs="Times New Roman" w:eastAsia="Times New Roman" w:hAnsi="Times New Roman"/>
          <w:sz w:val="12"/>
          <w:szCs w:val="12"/>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spacing w:after="0" w:line="19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Nasdaq Capital Market Listing</w:t>
      </w:r>
    </w:p>
    <w:p>
      <w:pPr>
        <w:spacing w:after="0" w:line="87" w:lineRule="exact"/>
        <w:rPr>
          <w:sz w:val="20"/>
          <w:szCs w:val="20"/>
          <w:color w:val="auto"/>
        </w:rPr>
      </w:pPr>
    </w:p>
    <w:p>
      <w:pPr>
        <w:jc w:val="both"/>
        <w:ind w:left="1640" w:right="779" w:firstLine="320"/>
        <w:spacing w:after="0" w:line="252"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“INAB.” The applicable prospectus supplement will contain information, where applicable, as to other listings, if any, on the Nasdaq Capital Market or any other securities market or other exchange of the securities covered by the applicable prospectus supplement.</w:t>
      </w:r>
    </w:p>
    <w:p>
      <w:pPr>
        <w:spacing w:after="0" w:line="2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7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8" w:lineRule="exact"/>
        <w:rPr>
          <w:sz w:val="20"/>
          <w:szCs w:val="20"/>
          <w:color w:val="auto"/>
        </w:rPr>
      </w:pPr>
    </w:p>
    <w:p>
      <w:pPr>
        <w:ind w:left="1500" w:right="379" w:firstLine="331"/>
        <w:spacing w:after="0" w:line="289" w:lineRule="auto"/>
        <w:rPr>
          <w:sz w:val="20"/>
          <w:szCs w:val="20"/>
          <w:color w:val="auto"/>
        </w:rPr>
      </w:pPr>
      <w:r>
        <w:rPr>
          <w:rFonts w:ascii="Times New Roman" w:cs="Times New Roman" w:eastAsia="Times New Roman" w:hAnsi="Times New Roman"/>
          <w:sz w:val="12"/>
          <w:szCs w:val="12"/>
          <w:color w:val="auto"/>
        </w:rPr>
        <w:t>Investing in our securities involves a high degree of risk. Before deciding whether to invest in our securities, you should consider carefully the risks and uncertainties described under the section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contained in the applicable prospectus supplement and any related free writing prospectus, and discussed under the section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xml:space="preserve">”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above titled </w:t>
      </w:r>
      <w:r>
        <w:rPr>
          <w:rFonts w:ascii="Times New Roman" w:cs="Times New Roman" w:eastAsia="Times New Roman" w:hAnsi="Times New Roman"/>
          <w:sz w:val="12"/>
          <w:szCs w:val="12"/>
          <w:i w:val="1"/>
          <w:iCs w:val="1"/>
          <w:color w:val="auto"/>
        </w:rPr>
        <w:t>“Special Note Regarding Forward-Looking Statements.”</w:t>
      </w:r>
    </w:p>
    <w:p>
      <w:pPr>
        <w:spacing w:after="0" w:line="2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7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68" w:lineRule="exact"/>
        <w:rPr>
          <w:sz w:val="20"/>
          <w:szCs w:val="20"/>
          <w:color w:val="auto"/>
        </w:rPr>
      </w:pPr>
    </w:p>
    <w:p>
      <w:pPr>
        <w:ind w:left="1500" w:right="399" w:firstLine="331"/>
        <w:spacing w:after="0" w:line="246" w:lineRule="auto"/>
        <w:rPr>
          <w:sz w:val="20"/>
          <w:szCs w:val="20"/>
          <w:color w:val="auto"/>
        </w:rPr>
      </w:pPr>
      <w:r>
        <w:rPr>
          <w:rFonts w:ascii="Times New Roman" w:cs="Times New Roman" w:eastAsia="Times New Roman" w:hAnsi="Times New Roman"/>
          <w:sz w:val="14"/>
          <w:szCs w:val="14"/>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76" w:lineRule="exact"/>
        <w:rPr>
          <w:sz w:val="20"/>
          <w:szCs w:val="20"/>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the substantial doubt to continue as a going concern;</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expenses, future revenue, capital requirements and needs for additional financing;</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develop and commercialize our product candidates;</w:t>
      </w:r>
    </w:p>
    <w:p>
      <w:pPr>
        <w:spacing w:after="0" w:line="92" w:lineRule="exact"/>
        <w:rPr>
          <w:rFonts w:ascii="Times New Roman" w:cs="Times New Roman" w:eastAsia="Times New Roman" w:hAnsi="Times New Roman"/>
          <w:sz w:val="14"/>
          <w:szCs w:val="14"/>
          <w:color w:val="auto"/>
        </w:rPr>
      </w:pPr>
    </w:p>
    <w:p>
      <w:pPr>
        <w:ind w:left="2240" w:right="439" w:hanging="331"/>
        <w:spacing w:after="0" w:line="262"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current and future preclinical studies and clinical trials and our research and development programs;</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take advantage of abbreviated regulatory pathways for any of our product candidates;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acquire or in-license additional product candidates on reasonable terms;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establish collaborations or obtain additional funding;</w:t>
      </w:r>
    </w:p>
    <w:p>
      <w:pPr>
        <w:spacing w:after="0" w:line="92" w:lineRule="exact"/>
        <w:rPr>
          <w:rFonts w:ascii="Times New Roman" w:cs="Times New Roman" w:eastAsia="Times New Roman" w:hAnsi="Times New Roman"/>
          <w:sz w:val="14"/>
          <w:szCs w:val="14"/>
          <w:color w:val="auto"/>
        </w:rPr>
      </w:pPr>
    </w:p>
    <w:p>
      <w:pPr>
        <w:ind w:left="2240" w:right="439" w:hanging="331"/>
        <w:spacing w:after="0" w:line="262"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regulatory approval of our current and future product candidates, including our ability to file investigational new drug applications to commence additional clinical trials;</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potential market size and the rate and degree of market acceptance of such product candidates;</w:t>
      </w:r>
    </w:p>
    <w:p>
      <w:pPr>
        <w:spacing w:after="0" w:line="92" w:lineRule="exact"/>
        <w:rPr>
          <w:rFonts w:ascii="Times New Roman" w:cs="Times New Roman" w:eastAsia="Times New Roman" w:hAnsi="Times New Roman"/>
          <w:sz w:val="14"/>
          <w:szCs w:val="14"/>
          <w:color w:val="auto"/>
        </w:rPr>
      </w:pPr>
    </w:p>
    <w:p>
      <w:pPr>
        <w:ind w:left="2240" w:right="939" w:hanging="331"/>
        <w:spacing w:after="0" w:line="262"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continued reliance on third parties to conduct clinical trials of our product candidates, and for the manufacture of our product candidates for preclinical studies and clinical trials;</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product candidates;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position and the duration of our patent rights;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or other proprietary rights;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government and third-party payor coverage and reimbursement;</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in the markets we intend to serve;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 operations, laws and regulations and liabilities thereunder;</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hire additional personnel and our ability to attract and retain such personnel;</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92" w:lineRule="exact"/>
        <w:rPr>
          <w:rFonts w:ascii="Times New Roman" w:cs="Times New Roman" w:eastAsia="Times New Roman" w:hAnsi="Times New Roman"/>
          <w:sz w:val="14"/>
          <w:szCs w:val="14"/>
          <w:color w:val="auto"/>
        </w:rPr>
      </w:pPr>
    </w:p>
    <w:p>
      <w:pPr>
        <w:ind w:left="2240" w:right="759" w:hanging="331"/>
        <w:spacing w:after="0" w:line="262" w:lineRule="auto"/>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impact of the current government shutdown, international tariffs, public health crises and geopolitical tensions, such as the Russia-Ukraine and Israel-Hamas wars, on our business, our industry and the economy;</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contribute to eliminate cancer and achieve cancer-free status in any or all patients;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that may impact our financial results; and</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the proceeds from any offering of securities.</w:t>
      </w:r>
    </w:p>
    <w:p>
      <w:pPr>
        <w:spacing w:after="0" w:line="164" w:lineRule="exact"/>
        <w:rPr>
          <w:sz w:val="20"/>
          <w:szCs w:val="20"/>
          <w:color w:val="auto"/>
        </w:rPr>
      </w:pPr>
    </w:p>
    <w:p>
      <w:pPr>
        <w:ind w:left="1500" w:right="459" w:firstLine="331"/>
        <w:spacing w:after="0" w:line="252" w:lineRule="auto"/>
        <w:rPr>
          <w:sz w:val="20"/>
          <w:szCs w:val="20"/>
          <w:color w:val="auto"/>
        </w:rPr>
      </w:pPr>
      <w:r>
        <w:rPr>
          <w:rFonts w:ascii="Times New Roman" w:cs="Times New Roman" w:eastAsia="Times New Roman" w:hAnsi="Times New Roman"/>
          <w:sz w:val="14"/>
          <w:szCs w:val="14"/>
          <w:color w:val="auto"/>
        </w:rPr>
        <w:t>All statements other than statements of historical facts contained in this prospectus, including statements regarding our future financial condition, business strategy and plans, and objectives of management for future operations, are forward-looking statements. In some cases, you can identify forward-looking statements by words</w:t>
      </w:r>
    </w:p>
    <w:p>
      <w:pPr>
        <w:spacing w:after="0" w:line="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7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right="519"/>
        <w:spacing w:after="0" w:line="248" w:lineRule="auto"/>
        <w:rPr>
          <w:sz w:val="20"/>
          <w:szCs w:val="20"/>
          <w:color w:val="auto"/>
        </w:rPr>
      </w:pPr>
      <w:r>
        <w:rPr>
          <w:rFonts w:ascii="Times New Roman" w:cs="Times New Roman" w:eastAsia="Times New Roman" w:hAnsi="Times New Roman"/>
          <w:sz w:val="14"/>
          <w:szCs w:val="14"/>
          <w:color w:val="auto"/>
        </w:rPr>
        <w:t>such as “anticipate,” “believe,” “continue,” “could,” “design,” “estimate,” “expect,” “intend,” “may,” “plan,” “potentially,” “predict,” “should,” “will” or the negative of these terms or other similar expressions. These statements reflect our current views with respect to future events and are based on assumptions and are subject to risks and uncertainties. Given these uncertainties, you should not place undue reliance on these forward-looking statements.</w:t>
      </w:r>
    </w:p>
    <w:p>
      <w:pPr>
        <w:spacing w:after="0" w:line="147" w:lineRule="exact"/>
        <w:rPr>
          <w:sz w:val="20"/>
          <w:szCs w:val="20"/>
          <w:color w:val="auto"/>
        </w:rPr>
      </w:pPr>
    </w:p>
    <w:p>
      <w:pPr>
        <w:ind w:left="1500" w:right="479" w:firstLine="331"/>
        <w:spacing w:after="0" w:line="290" w:lineRule="auto"/>
        <w:rPr>
          <w:sz w:val="20"/>
          <w:szCs w:val="20"/>
          <w:color w:val="auto"/>
        </w:rPr>
      </w:pPr>
      <w:r>
        <w:rPr>
          <w:rFonts w:ascii="Times New Roman" w:cs="Times New Roman" w:eastAsia="Times New Roman" w:hAnsi="Times New Roman"/>
          <w:sz w:val="12"/>
          <w:szCs w:val="12"/>
          <w:color w:val="auto"/>
        </w:rPr>
        <w:t>In evaluating such forward-looking statements, you should consider various factors, including specifically the risks outlined under the heading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contained in this prospectus, any accompanying prospectus supplement and any related free writing prospectus, and in our most recent Annual Report on Form 10-K and any Quarterly Report on Form 10-Q or Current Report on Form 8-K we subsequently file with the SEC. The discussion of risks and uncertainties set forth in those filings is not necessarily a complete or exhaustive list of all risks facing us at any particular point in time. As a result of these factors, we cannot assure you that the forward-looking statements contained in or incorporated by reference into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Forward-looking statements represent our estimates and assumptions only as of the date such forward-looking statements are made.</w:t>
      </w:r>
    </w:p>
    <w:p>
      <w:pPr>
        <w:spacing w:after="0" w:line="286" w:lineRule="exact"/>
        <w:rPr>
          <w:sz w:val="20"/>
          <w:szCs w:val="20"/>
          <w:color w:val="auto"/>
        </w:rPr>
      </w:pPr>
    </w:p>
    <w:p>
      <w:pPr>
        <w:ind w:left="1500" w:right="639" w:firstLine="331"/>
        <w:spacing w:after="0" w:line="247"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6" w:lineRule="exact"/>
        <w:rPr>
          <w:sz w:val="20"/>
          <w:szCs w:val="20"/>
          <w:color w:val="auto"/>
        </w:rPr>
      </w:pPr>
    </w:p>
    <w:p>
      <w:pPr>
        <w:ind w:left="1500" w:right="499" w:firstLine="331"/>
        <w:spacing w:after="0" w:line="248" w:lineRule="auto"/>
        <w:rPr>
          <w:sz w:val="20"/>
          <w:szCs w:val="20"/>
          <w:color w:val="auto"/>
        </w:rPr>
      </w:pPr>
      <w:r>
        <w:rPr>
          <w:rFonts w:ascii="Times New Roman" w:cs="Times New Roman" w:eastAsia="Times New Roman" w:hAnsi="Times New Roman"/>
          <w:sz w:val="14"/>
          <w:szCs w:val="14"/>
          <w:color w:val="auto"/>
        </w:rPr>
        <w:t>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7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68" w:lineRule="exact"/>
        <w:rPr>
          <w:sz w:val="20"/>
          <w:szCs w:val="20"/>
          <w:color w:val="auto"/>
        </w:rPr>
      </w:pPr>
    </w:p>
    <w:p>
      <w:pPr>
        <w:ind w:left="1500" w:right="499" w:firstLine="331"/>
        <w:spacing w:after="0" w:line="248" w:lineRule="auto"/>
        <w:rPr>
          <w:sz w:val="20"/>
          <w:szCs w:val="20"/>
          <w:color w:val="auto"/>
        </w:rPr>
      </w:pPr>
      <w:r>
        <w:rPr>
          <w:rFonts w:ascii="Times New Roman" w:cs="Times New Roman" w:eastAsia="Times New Roman" w:hAnsi="Times New Roman"/>
          <w:sz w:val="14"/>
          <w:szCs w:val="14"/>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spacing w:after="0" w:line="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7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66" w:lineRule="exact"/>
        <w:rPr>
          <w:sz w:val="20"/>
          <w:szCs w:val="20"/>
          <w:color w:val="auto"/>
        </w:rPr>
      </w:pPr>
    </w:p>
    <w:p>
      <w:pPr>
        <w:jc w:val="both"/>
        <w:ind w:left="1500" w:right="419" w:firstLine="331"/>
        <w:spacing w:after="0" w:line="253" w:lineRule="auto"/>
        <w:rPr>
          <w:sz w:val="20"/>
          <w:szCs w:val="20"/>
          <w:color w:val="auto"/>
        </w:rPr>
      </w:pPr>
      <w:r>
        <w:rPr>
          <w:rFonts w:ascii="Times New Roman" w:cs="Times New Roman" w:eastAsia="Times New Roman" w:hAnsi="Times New Roman"/>
          <w:sz w:val="14"/>
          <w:szCs w:val="14"/>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Additional Information” and “Incorporation of Certain Information by Reference.”</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7" w:lineRule="exact"/>
        <w:rPr>
          <w:sz w:val="20"/>
          <w:szCs w:val="20"/>
          <w:color w:val="auto"/>
        </w:rPr>
      </w:pPr>
    </w:p>
    <w:p>
      <w:pPr>
        <w:ind w:left="1500" w:right="619" w:firstLine="331"/>
        <w:spacing w:after="0" w:line="262" w:lineRule="auto"/>
        <w:rPr>
          <w:sz w:val="20"/>
          <w:szCs w:val="20"/>
          <w:color w:val="auto"/>
        </w:rPr>
      </w:pPr>
      <w:r>
        <w:rPr>
          <w:rFonts w:ascii="Times New Roman" w:cs="Times New Roman" w:eastAsia="Times New Roman" w:hAnsi="Times New Roman"/>
          <w:sz w:val="14"/>
          <w:szCs w:val="14"/>
          <w:color w:val="auto"/>
        </w:rPr>
        <w:t>Our authorized capital stock consists of 490,000,000 shares of common stock, par value $0.0001 per share, and 10,000,000 shares of preferred stock, par value $0.0001 per share.</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87" w:lineRule="exact"/>
        <w:rPr>
          <w:sz w:val="20"/>
          <w:szCs w:val="20"/>
          <w:color w:val="auto"/>
        </w:rPr>
      </w:pPr>
    </w:p>
    <w:p>
      <w:pPr>
        <w:ind w:left="1500" w:right="399" w:firstLine="331"/>
        <w:spacing w:after="0" w:line="247" w:lineRule="auto"/>
        <w:rPr>
          <w:sz w:val="20"/>
          <w:szCs w:val="20"/>
          <w:color w:val="auto"/>
        </w:rPr>
      </w:pPr>
      <w:r>
        <w:rPr>
          <w:rFonts w:ascii="Times New Roman" w:cs="Times New Roman" w:eastAsia="Times New Roman" w:hAnsi="Times New Roman"/>
          <w:sz w:val="14"/>
          <w:szCs w:val="14"/>
          <w:color w:val="auto"/>
        </w:rPr>
        <w:t>Each holder of common stock is entitled to one vote for each share on all matters submitted to a vote of the stockholders. The affirmative vote of holders of at least 66 2∕3% of the voting power of all of the then-outstanding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87" w:lineRule="exact"/>
        <w:rPr>
          <w:sz w:val="20"/>
          <w:szCs w:val="20"/>
          <w:color w:val="auto"/>
        </w:rPr>
      </w:pPr>
    </w:p>
    <w:p>
      <w:pPr>
        <w:ind w:left="1500" w:right="919" w:firstLine="331"/>
        <w:spacing w:after="0" w:line="262" w:lineRule="auto"/>
        <w:rPr>
          <w:sz w:val="20"/>
          <w:szCs w:val="20"/>
          <w:color w:val="auto"/>
        </w:rPr>
      </w:pPr>
      <w:r>
        <w:rPr>
          <w:rFonts w:ascii="Times New Roman" w:cs="Times New Roman" w:eastAsia="Times New Roman" w:hAnsi="Times New Roman"/>
          <w:sz w:val="14"/>
          <w:szCs w:val="14"/>
          <w:color w:val="auto"/>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87" w:lineRule="exact"/>
        <w:rPr>
          <w:sz w:val="20"/>
          <w:szCs w:val="20"/>
          <w:color w:val="auto"/>
        </w:rPr>
      </w:pPr>
    </w:p>
    <w:p>
      <w:pPr>
        <w:ind w:left="1500" w:right="599" w:firstLine="331"/>
        <w:spacing w:after="0" w:line="252"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Rights and Preferences</w:t>
      </w:r>
    </w:p>
    <w:p>
      <w:pPr>
        <w:spacing w:after="0" w:line="87" w:lineRule="exact"/>
        <w:rPr>
          <w:sz w:val="20"/>
          <w:szCs w:val="20"/>
          <w:color w:val="auto"/>
        </w:rPr>
      </w:pPr>
    </w:p>
    <w:p>
      <w:pPr>
        <w:ind w:left="1500" w:right="379" w:firstLine="331"/>
        <w:spacing w:after="0" w:line="252" w:lineRule="auto"/>
        <w:rPr>
          <w:sz w:val="20"/>
          <w:szCs w:val="20"/>
          <w:color w:val="auto"/>
        </w:rPr>
      </w:pPr>
      <w:r>
        <w:rPr>
          <w:rFonts w:ascii="Times New Roman" w:cs="Times New Roman" w:eastAsia="Times New Roman" w:hAnsi="Times New Roman"/>
          <w:sz w:val="14"/>
          <w:szCs w:val="14"/>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7" w:lineRule="exact"/>
        <w:rPr>
          <w:sz w:val="20"/>
          <w:szCs w:val="20"/>
          <w:color w:val="auto"/>
        </w:rPr>
      </w:pPr>
    </w:p>
    <w:p>
      <w:pPr>
        <w:ind w:left="1500" w:right="419" w:firstLine="331"/>
        <w:spacing w:after="0" w:line="246" w:lineRule="auto"/>
        <w:rPr>
          <w:sz w:val="20"/>
          <w:szCs w:val="20"/>
          <w:color w:val="auto"/>
        </w:rPr>
      </w:pPr>
      <w:r>
        <w:rPr>
          <w:rFonts w:ascii="Times New Roman" w:cs="Times New Roman" w:eastAsia="Times New Roman" w:hAnsi="Times New Roman"/>
          <w:sz w:val="14"/>
          <w:szCs w:val="14"/>
          <w:color w:val="auto"/>
        </w:rPr>
        <w:t>Under our amended and restated certificate of incorporation, our board of directors may, without further action by our stockholders, fix the rights, preferences, privileges and restrictions of up to an aggregate of 10,000,000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w:t>
      </w:r>
    </w:p>
    <w:p>
      <w:pPr>
        <w:spacing w:after="0" w:line="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7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right="399"/>
        <w:spacing w:after="0" w:line="262" w:lineRule="auto"/>
        <w:rPr>
          <w:sz w:val="20"/>
          <w:szCs w:val="20"/>
          <w:color w:val="auto"/>
        </w:rPr>
      </w:pPr>
      <w:r>
        <w:rPr>
          <w:rFonts w:ascii="Times New Roman" w:cs="Times New Roman" w:eastAsia="Times New Roman" w:hAnsi="Times New Roman"/>
          <w:sz w:val="14"/>
          <w:szCs w:val="14"/>
          <w:color w:val="auto"/>
        </w:rPr>
        <w:t>and payments on liquidation. In addition, the issuance of preferred stock could have the effect of delaying, deterring or preventing a change of control or other corporate action.</w:t>
      </w:r>
    </w:p>
    <w:p>
      <w:pPr>
        <w:spacing w:after="0" w:line="136" w:lineRule="exact"/>
        <w:rPr>
          <w:sz w:val="20"/>
          <w:szCs w:val="20"/>
          <w:color w:val="auto"/>
        </w:rPr>
      </w:pPr>
    </w:p>
    <w:p>
      <w:pPr>
        <w:ind w:left="1500" w:right="379" w:firstLine="331"/>
        <w:spacing w:after="0" w:line="247" w:lineRule="auto"/>
        <w:rPr>
          <w:sz w:val="20"/>
          <w:szCs w:val="20"/>
          <w:color w:val="auto"/>
        </w:rPr>
      </w:pPr>
      <w:r>
        <w:rPr>
          <w:rFonts w:ascii="Times New Roman" w:cs="Times New Roman" w:eastAsia="Times New Roman" w:hAnsi="Times New Roman"/>
          <w:sz w:val="14"/>
          <w:szCs w:val="14"/>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75" w:lineRule="exact"/>
        <w:rPr>
          <w:sz w:val="20"/>
          <w:szCs w:val="20"/>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we are offering;</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per share;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period and payment date and method of calculation for dividends;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will be cumulative or non-cumulative and, if cumulative, the date from which dividends will accumulate;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applicable;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applicable;</w:t>
      </w:r>
    </w:p>
    <w:p>
      <w:pPr>
        <w:spacing w:after="0" w:line="92" w:lineRule="exact"/>
        <w:rPr>
          <w:rFonts w:ascii="Times New Roman" w:cs="Times New Roman" w:eastAsia="Times New Roman" w:hAnsi="Times New Roman"/>
          <w:sz w:val="14"/>
          <w:szCs w:val="14"/>
          <w:color w:val="auto"/>
        </w:rPr>
      </w:pPr>
    </w:p>
    <w:p>
      <w:pPr>
        <w:ind w:left="2240" w:right="499" w:hanging="331"/>
        <w:spacing w:after="0" w:line="262" w:lineRule="auto"/>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redemption or repurchase, if applicable, and any restrictions on our ability to exercise those redemption and repurchase rights;</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the preferred stock on any securities exchange or market;</w:t>
      </w:r>
    </w:p>
    <w:p>
      <w:pPr>
        <w:spacing w:after="0" w:line="92" w:lineRule="exact"/>
        <w:rPr>
          <w:rFonts w:ascii="Times New Roman" w:cs="Times New Roman" w:eastAsia="Times New Roman" w:hAnsi="Times New Roman"/>
          <w:sz w:val="14"/>
          <w:szCs w:val="14"/>
          <w:color w:val="auto"/>
        </w:rPr>
      </w:pPr>
    </w:p>
    <w:p>
      <w:pPr>
        <w:ind w:left="2240" w:right="979" w:hanging="331"/>
        <w:spacing w:after="0" w:line="262" w:lineRule="auto"/>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convertible into our common stock, and, if applicable, the conversion price, or how it will be calculated, and the conversion period;</w:t>
      </w:r>
    </w:p>
    <w:p>
      <w:pPr>
        <w:spacing w:after="0" w:line="64" w:lineRule="exact"/>
        <w:rPr>
          <w:rFonts w:ascii="Times New Roman" w:cs="Times New Roman" w:eastAsia="Times New Roman" w:hAnsi="Times New Roman"/>
          <w:sz w:val="14"/>
          <w:szCs w:val="14"/>
          <w:color w:val="auto"/>
        </w:rPr>
      </w:pPr>
    </w:p>
    <w:p>
      <w:pPr>
        <w:ind w:left="2240" w:right="539" w:hanging="331"/>
        <w:spacing w:after="0" w:line="262" w:lineRule="auto"/>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exchangeable into debt securities, and, if applicable, the exchange price, or how it will be calculated, and the exchange period;</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of the preferred stock;</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the preferred stock will be represented by depositary shares;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or special U.S. federal income tax considerations applicable to the preferred stock;</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relative ranking and preferences of the preferred stock as to dividend rights and rights if we liquidate, dissolve or wind up our affairs;</w:t>
      </w:r>
    </w:p>
    <w:p>
      <w:pPr>
        <w:spacing w:after="0" w:line="115" w:lineRule="exact"/>
        <w:rPr>
          <w:rFonts w:ascii="Times New Roman" w:cs="Times New Roman" w:eastAsia="Times New Roman" w:hAnsi="Times New Roman"/>
          <w:sz w:val="12"/>
          <w:szCs w:val="12"/>
          <w:color w:val="auto"/>
        </w:rPr>
      </w:pPr>
    </w:p>
    <w:p>
      <w:pPr>
        <w:ind w:left="2240" w:right="439" w:hanging="331"/>
        <w:spacing w:after="0" w:line="262" w:lineRule="auto"/>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preferred stock.</w:t>
      </w:r>
    </w:p>
    <w:p>
      <w:pPr>
        <w:spacing w:after="0" w:line="164" w:lineRule="exact"/>
        <w:rPr>
          <w:sz w:val="20"/>
          <w:szCs w:val="20"/>
          <w:color w:val="auto"/>
        </w:rPr>
      </w:pPr>
    </w:p>
    <w:p>
      <w:pPr>
        <w:ind w:left="1500" w:right="479" w:firstLine="331"/>
        <w:spacing w:after="0" w:line="247" w:lineRule="auto"/>
        <w:rPr>
          <w:sz w:val="20"/>
          <w:szCs w:val="20"/>
          <w:color w:val="auto"/>
        </w:rPr>
      </w:pPr>
      <w:r>
        <w:rPr>
          <w:rFonts w:ascii="Times New Roman" w:cs="Times New Roman" w:eastAsia="Times New Roman" w:hAnsi="Times New Roman"/>
          <w:sz w:val="14"/>
          <w:szCs w:val="14"/>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7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Anti-Takeover Provisions of Delaware Law and Our Charter Documents</w:t>
      </w:r>
    </w:p>
    <w:p>
      <w:pPr>
        <w:spacing w:after="0" w:line="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Certificate of Incorporation and Bylaws</w:t>
      </w:r>
    </w:p>
    <w:p>
      <w:pPr>
        <w:spacing w:after="0" w:line="8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Among other things, our amended and restated certificate of incorporation and amended and restated bylaws:</w:t>
      </w:r>
    </w:p>
    <w:p>
      <w:pPr>
        <w:spacing w:after="0" w:line="93" w:lineRule="exact"/>
        <w:rPr>
          <w:sz w:val="20"/>
          <w:szCs w:val="20"/>
          <w:color w:val="auto"/>
        </w:rPr>
      </w:pPr>
    </w:p>
    <w:p>
      <w:pPr>
        <w:ind w:left="2240" w:right="559" w:hanging="331"/>
        <w:spacing w:after="0" w:line="262" w:lineRule="auto"/>
        <w:tabs>
          <w:tab w:leader="none" w:pos="22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our board of directors to issue up to 10,000,000 shares of preferred stock, with any rights, preferences and privileges as they may designate, including the right to approve an acquisition or other change in control;</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authorized number of directors may be changed only by resolution of our board of directors;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board of directors will be classified into three classes of directors;</w:t>
      </w:r>
    </w:p>
    <w:p>
      <w:pPr>
        <w:spacing w:after="0" w:line="92" w:lineRule="exact"/>
        <w:rPr>
          <w:rFonts w:ascii="Times New Roman" w:cs="Times New Roman" w:eastAsia="Times New Roman" w:hAnsi="Times New Roman"/>
          <w:sz w:val="14"/>
          <w:szCs w:val="14"/>
          <w:color w:val="auto"/>
        </w:rPr>
      </w:pPr>
    </w:p>
    <w:p>
      <w:pPr>
        <w:ind w:left="2240" w:right="679" w:hanging="331"/>
        <w:spacing w:after="0" w:line="252" w:lineRule="auto"/>
        <w:tabs>
          <w:tab w:leader="none" w:pos="22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71" w:lineRule="exact"/>
        <w:rPr>
          <w:rFonts w:ascii="Times New Roman" w:cs="Times New Roman" w:eastAsia="Times New Roman" w:hAnsi="Times New Roman"/>
          <w:sz w:val="14"/>
          <w:szCs w:val="14"/>
          <w:color w:val="auto"/>
        </w:rPr>
      </w:pPr>
    </w:p>
    <w:p>
      <w:pPr>
        <w:ind w:left="2240" w:right="639" w:hanging="331"/>
        <w:spacing w:after="0" w:line="262" w:lineRule="auto"/>
        <w:tabs>
          <w:tab w:leader="none" w:pos="22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including newly created directorships, may, except as otherwise required by law, be filled by the affirmative vote of a majority of directors then in office, even if less than a quorum;</w:t>
      </w:r>
    </w:p>
    <w:p>
      <w:pPr>
        <w:spacing w:after="0" w:line="64" w:lineRule="exact"/>
        <w:rPr>
          <w:rFonts w:ascii="Times New Roman" w:cs="Times New Roman" w:eastAsia="Times New Roman" w:hAnsi="Times New Roman"/>
          <w:sz w:val="14"/>
          <w:szCs w:val="14"/>
          <w:color w:val="auto"/>
        </w:rPr>
      </w:pPr>
    </w:p>
    <w:p>
      <w:pPr>
        <w:ind w:left="2240" w:right="479" w:hanging="331"/>
        <w:spacing w:after="0" w:line="262" w:lineRule="auto"/>
        <w:tabs>
          <w:tab w:leader="none" w:pos="22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any action to be taken by our stockholders must be effected at a duly called annual or special meeting of stockholders and not be taken by written consent or electronic transmission;</w:t>
      </w:r>
    </w:p>
    <w:p>
      <w:pPr>
        <w:spacing w:after="0" w:line="64" w:lineRule="exact"/>
        <w:rPr>
          <w:rFonts w:ascii="Times New Roman" w:cs="Times New Roman" w:eastAsia="Times New Roman" w:hAnsi="Times New Roman"/>
          <w:sz w:val="14"/>
          <w:szCs w:val="14"/>
          <w:color w:val="auto"/>
        </w:rPr>
      </w:pPr>
    </w:p>
    <w:p>
      <w:pPr>
        <w:ind w:left="2240" w:right="459" w:hanging="331"/>
        <w:spacing w:after="0" w:line="252" w:lineRule="auto"/>
        <w:tabs>
          <w:tab w:leader="none" w:pos="22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71" w:lineRule="exact"/>
        <w:rPr>
          <w:rFonts w:ascii="Times New Roman" w:cs="Times New Roman" w:eastAsia="Times New Roman" w:hAnsi="Times New Roman"/>
          <w:sz w:val="14"/>
          <w:szCs w:val="14"/>
          <w:color w:val="auto"/>
        </w:rPr>
      </w:pPr>
    </w:p>
    <w:p>
      <w:pPr>
        <w:ind w:left="2240" w:right="459" w:hanging="331"/>
        <w:spacing w:after="0" w:line="345" w:lineRule="auto"/>
        <w:tabs>
          <w:tab w:leader="none" w:pos="22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special meetings of our stockholders may be called only by the chairman of our board of directors, our chief executive officer or president or by our board of directors pursuant to a resolution adopted by a majority of the total number of authorized directors; and</w:t>
      </w:r>
    </w:p>
    <w:p>
      <w:pPr>
        <w:spacing w:after="0" w:line="19" w:lineRule="exact"/>
        <w:rPr>
          <w:rFonts w:ascii="Times New Roman" w:cs="Times New Roman" w:eastAsia="Times New Roman" w:hAnsi="Times New Roman"/>
          <w:sz w:val="12"/>
          <w:szCs w:val="12"/>
          <w:color w:val="auto"/>
        </w:rPr>
      </w:pPr>
    </w:p>
    <w:p>
      <w:pPr>
        <w:ind w:left="2240" w:right="419" w:hanging="331"/>
        <w:spacing w:after="0" w:line="262" w:lineRule="auto"/>
        <w:tabs>
          <w:tab w:leader="none" w:pos="22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36" w:lineRule="exact"/>
        <w:rPr>
          <w:sz w:val="20"/>
          <w:szCs w:val="20"/>
          <w:color w:val="auto"/>
        </w:rPr>
      </w:pPr>
    </w:p>
    <w:p>
      <w:pPr>
        <w:ind w:left="1500" w:right="479" w:firstLine="331"/>
        <w:spacing w:after="0" w:line="262" w:lineRule="auto"/>
        <w:rPr>
          <w:sz w:val="20"/>
          <w:szCs w:val="20"/>
          <w:color w:val="auto"/>
        </w:rPr>
      </w:pPr>
      <w:r>
        <w:rPr>
          <w:rFonts w:ascii="Times New Roman" w:cs="Times New Roman" w:eastAsia="Times New Roman" w:hAnsi="Times New Roman"/>
          <w:sz w:val="14"/>
          <w:szCs w:val="14"/>
          <w:color w:val="auto"/>
        </w:rPr>
        <w:t>The amendment of any of these provisions requires approval by the holders of at least 66 2/3% of the voting power of all of our then-outstanding common stock entitled to vote generally in the election of directors, voting together as a single class.</w:t>
      </w:r>
    </w:p>
    <w:p>
      <w:pPr>
        <w:spacing w:after="0" w:line="136" w:lineRule="exact"/>
        <w:rPr>
          <w:sz w:val="20"/>
          <w:szCs w:val="20"/>
          <w:color w:val="auto"/>
        </w:rPr>
      </w:pPr>
    </w:p>
    <w:p>
      <w:pPr>
        <w:ind w:left="1500" w:right="499" w:firstLine="331"/>
        <w:spacing w:after="0" w:line="247" w:lineRule="auto"/>
        <w:rPr>
          <w:sz w:val="20"/>
          <w:szCs w:val="20"/>
          <w:color w:val="auto"/>
        </w:rPr>
      </w:pPr>
      <w:r>
        <w:rPr>
          <w:rFonts w:ascii="Times New Roman" w:cs="Times New Roman" w:eastAsia="Times New Roman" w:hAnsi="Times New Roman"/>
          <w:sz w:val="14"/>
          <w:szCs w:val="14"/>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6" w:lineRule="exact"/>
        <w:rPr>
          <w:sz w:val="20"/>
          <w:szCs w:val="20"/>
          <w:color w:val="auto"/>
        </w:rPr>
      </w:pPr>
    </w:p>
    <w:p>
      <w:pPr>
        <w:ind w:left="1500" w:right="439" w:firstLine="331"/>
        <w:spacing w:after="0" w:line="298" w:lineRule="auto"/>
        <w:rPr>
          <w:sz w:val="20"/>
          <w:szCs w:val="20"/>
          <w:color w:val="auto"/>
        </w:rPr>
      </w:pPr>
      <w:r>
        <w:rPr>
          <w:rFonts w:ascii="Times New Roman" w:cs="Times New Roman" w:eastAsia="Times New Roman" w:hAnsi="Times New Roman"/>
          <w:sz w:val="12"/>
          <w:szCs w:val="12"/>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w:t>
      </w:r>
    </w:p>
    <w:p>
      <w:pPr>
        <w:spacing w:after="0" w:line="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7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Section 203 of the Delaware General Corporation Law</w:t>
      </w:r>
    </w:p>
    <w:p>
      <w:pPr>
        <w:spacing w:after="0" w:line="87" w:lineRule="exact"/>
        <w:rPr>
          <w:sz w:val="20"/>
          <w:szCs w:val="20"/>
          <w:color w:val="auto"/>
        </w:rPr>
      </w:pPr>
    </w:p>
    <w:p>
      <w:pPr>
        <w:ind w:left="1500" w:right="559" w:firstLine="331"/>
        <w:spacing w:after="0" w:line="345" w:lineRule="auto"/>
        <w:rPr>
          <w:sz w:val="20"/>
          <w:szCs w:val="20"/>
          <w:color w:val="auto"/>
        </w:rPr>
      </w:pPr>
      <w:r>
        <w:rPr>
          <w:rFonts w:ascii="Times New Roman" w:cs="Times New Roman" w:eastAsia="Times New Roman" w:hAnsi="Times New Roman"/>
          <w:sz w:val="12"/>
          <w:szCs w:val="12"/>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9" w:lineRule="exact"/>
        <w:rPr>
          <w:sz w:val="20"/>
          <w:szCs w:val="20"/>
          <w:color w:val="auto"/>
        </w:rPr>
      </w:pPr>
    </w:p>
    <w:p>
      <w:pPr>
        <w:ind w:left="2240" w:right="519" w:hanging="331"/>
        <w:spacing w:after="0" w:line="262" w:lineRule="auto"/>
        <w:tabs>
          <w:tab w:leader="none" w:pos="22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such date, the board of directors of the corporation approved either the business combination or the transaction that resulted in the stockholder becoming an interested stockholder;</w:t>
      </w:r>
    </w:p>
    <w:p>
      <w:pPr>
        <w:spacing w:after="0" w:line="64" w:lineRule="exact"/>
        <w:rPr>
          <w:rFonts w:ascii="Times New Roman" w:cs="Times New Roman" w:eastAsia="Times New Roman" w:hAnsi="Times New Roman"/>
          <w:sz w:val="14"/>
          <w:szCs w:val="14"/>
          <w:color w:val="auto"/>
        </w:rPr>
      </w:pPr>
    </w:p>
    <w:p>
      <w:pPr>
        <w:ind w:left="2240" w:right="399" w:hanging="331"/>
        <w:spacing w:after="0" w:line="247" w:lineRule="auto"/>
        <w:tabs>
          <w:tab w:leader="none" w:pos="22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4" w:lineRule="exact"/>
        <w:rPr>
          <w:rFonts w:ascii="Times New Roman" w:cs="Times New Roman" w:eastAsia="Times New Roman" w:hAnsi="Times New Roman"/>
          <w:sz w:val="14"/>
          <w:szCs w:val="14"/>
          <w:color w:val="auto"/>
        </w:rPr>
      </w:pPr>
    </w:p>
    <w:p>
      <w:pPr>
        <w:ind w:left="2240" w:right="459" w:hanging="331"/>
        <w:spacing w:after="0" w:line="252" w:lineRule="auto"/>
        <w:tabs>
          <w:tab w:leader="none" w:pos="22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4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In general, Section 203 defines a “business combination” to include the following:</w:t>
      </w:r>
    </w:p>
    <w:p>
      <w:pPr>
        <w:spacing w:after="0" w:line="93" w:lineRule="exact"/>
        <w:rPr>
          <w:sz w:val="20"/>
          <w:szCs w:val="20"/>
          <w:color w:val="auto"/>
        </w:rPr>
      </w:pPr>
    </w:p>
    <w:p>
      <w:pPr>
        <w:ind w:left="2240" w:hanging="331"/>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pledge or other disposition of 10% or more of the assets of the corporation involving the interested stockholder;</w:t>
      </w:r>
    </w:p>
    <w:p>
      <w:pPr>
        <w:spacing w:after="0" w:line="92" w:lineRule="exact"/>
        <w:rPr>
          <w:rFonts w:ascii="Times New Roman" w:cs="Times New Roman" w:eastAsia="Times New Roman" w:hAnsi="Times New Roman"/>
          <w:sz w:val="14"/>
          <w:szCs w:val="14"/>
          <w:color w:val="auto"/>
        </w:rPr>
      </w:pPr>
    </w:p>
    <w:p>
      <w:pPr>
        <w:ind w:left="2240" w:right="399" w:hanging="331"/>
        <w:spacing w:after="0" w:line="262" w:lineRule="auto"/>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certain exceptions, any transaction that results in the issuance or transfer by the corporation of any stock of the corporation to the interested stockholder;</w:t>
      </w:r>
    </w:p>
    <w:p>
      <w:pPr>
        <w:spacing w:after="0" w:line="64" w:lineRule="exact"/>
        <w:rPr>
          <w:rFonts w:ascii="Times New Roman" w:cs="Times New Roman" w:eastAsia="Times New Roman" w:hAnsi="Times New Roman"/>
          <w:sz w:val="14"/>
          <w:szCs w:val="14"/>
          <w:color w:val="auto"/>
        </w:rPr>
      </w:pPr>
    </w:p>
    <w:p>
      <w:pPr>
        <w:ind w:left="2240" w:right="519" w:hanging="331"/>
        <w:spacing w:after="0" w:line="262" w:lineRule="auto"/>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or any class or series of the corporation beneficially owned by the interested stockholder; and</w:t>
      </w:r>
    </w:p>
    <w:p>
      <w:pPr>
        <w:spacing w:after="0" w:line="64" w:lineRule="exact"/>
        <w:rPr>
          <w:rFonts w:ascii="Times New Roman" w:cs="Times New Roman" w:eastAsia="Times New Roman" w:hAnsi="Times New Roman"/>
          <w:sz w:val="14"/>
          <w:szCs w:val="14"/>
          <w:color w:val="auto"/>
        </w:rPr>
      </w:pPr>
    </w:p>
    <w:p>
      <w:pPr>
        <w:ind w:left="2240" w:right="419" w:hanging="331"/>
        <w:spacing w:after="0" w:line="262" w:lineRule="auto"/>
        <w:tabs>
          <w:tab w:leader="none" w:pos="22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by or through the corporation.</w:t>
      </w:r>
    </w:p>
    <w:p>
      <w:pPr>
        <w:spacing w:after="0" w:line="136" w:lineRule="exact"/>
        <w:rPr>
          <w:sz w:val="20"/>
          <w:szCs w:val="20"/>
          <w:color w:val="auto"/>
        </w:rPr>
      </w:pPr>
    </w:p>
    <w:p>
      <w:pPr>
        <w:ind w:left="1500" w:right="699" w:firstLine="331"/>
        <w:spacing w:after="0" w:line="252"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42" w:lineRule="exact"/>
        <w:rPr>
          <w:sz w:val="20"/>
          <w:szCs w:val="20"/>
          <w:color w:val="auto"/>
        </w:rPr>
      </w:pPr>
    </w:p>
    <w:p>
      <w:pPr>
        <w:ind w:left="1500" w:right="519" w:firstLine="331"/>
        <w:spacing w:after="0" w:line="345" w:lineRule="auto"/>
        <w:rPr>
          <w:sz w:val="20"/>
          <w:szCs w:val="20"/>
          <w:color w:val="auto"/>
        </w:rPr>
      </w:pPr>
      <w:r>
        <w:rPr>
          <w:rFonts w:ascii="Times New Roman" w:cs="Times New Roman" w:eastAsia="Times New Roman" w:hAnsi="Times New Roman"/>
          <w:sz w:val="12"/>
          <w:szCs w:val="12"/>
          <w:color w:val="auto"/>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90" w:lineRule="exact"/>
        <w:rPr>
          <w:sz w:val="20"/>
          <w:szCs w:val="20"/>
          <w:color w:val="auto"/>
        </w:rPr>
      </w:pPr>
    </w:p>
    <w:p>
      <w:pPr>
        <w:ind w:left="1500" w:right="539" w:firstLine="331"/>
        <w:spacing w:after="0" w:line="262" w:lineRule="auto"/>
        <w:rPr>
          <w:sz w:val="20"/>
          <w:szCs w:val="20"/>
          <w:color w:val="auto"/>
        </w:rPr>
      </w:pPr>
      <w:r>
        <w:rPr>
          <w:rFonts w:ascii="Times New Roman" w:cs="Times New Roman" w:eastAsia="Times New Roman" w:hAnsi="Times New Roman"/>
          <w:sz w:val="14"/>
          <w:szCs w:val="14"/>
          <w:color w:val="auto"/>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87" w:lineRule="exact"/>
        <w:rPr>
          <w:sz w:val="20"/>
          <w:szCs w:val="20"/>
          <w:color w:val="auto"/>
        </w:rPr>
      </w:pPr>
    </w:p>
    <w:p>
      <w:pPr>
        <w:ind w:left="1500" w:right="419" w:firstLine="331"/>
        <w:spacing w:after="0" w:line="248"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brought under Delaware statutory or</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7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right="379"/>
        <w:spacing w:after="0" w:line="291" w:lineRule="auto"/>
        <w:rPr>
          <w:sz w:val="20"/>
          <w:szCs w:val="20"/>
          <w:color w:val="auto"/>
        </w:rPr>
      </w:pPr>
      <w:r>
        <w:rPr>
          <w:rFonts w:ascii="Times New Roman" w:cs="Times New Roman" w:eastAsia="Times New Roman" w:hAnsi="Times New Roman"/>
          <w:sz w:val="12"/>
          <w:szCs w:val="12"/>
          <w:color w:val="auto"/>
        </w:rPr>
        <w:t>common law: (1) any derivative claim or action brought on our behalf; (2) any claim or cause of action asserting a breach of fiduciary duty by any of our current or former director, officer or other employee; (3) any claim or cause of action asserting a claim against us arising out of, or pursuant to, the DGCL, our amended and restated certificate of incorporation or our amended and restated bylaws; (4) any claim or cause of action seeking to interpret, apply, enforce or determine the validity of our amended and restated certificate of incorporation or our amended and restated bylaws (including any right, obligation, or remedy thereunder); (5) any claim or cause of action as to which the DGCL confers jurisdiction to the Court of Chancery of the State of Delaware; or (6) any claim or cause of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The aforementioned provision will not apply to claims or causes of action brought to enforce a duty or liability created by the Securities Act, the Exchange Act or any other claim for which the federal courts have exclusive jurisdiction.</w:t>
      </w:r>
    </w:p>
    <w:p>
      <w:pPr>
        <w:spacing w:after="0" w:line="285" w:lineRule="exact"/>
        <w:rPr>
          <w:sz w:val="20"/>
          <w:szCs w:val="20"/>
          <w:color w:val="auto"/>
        </w:rPr>
      </w:pPr>
    </w:p>
    <w:p>
      <w:pPr>
        <w:ind w:left="1500" w:right="379" w:firstLine="331"/>
        <w:spacing w:after="0" w:line="246" w:lineRule="auto"/>
        <w:rPr>
          <w:sz w:val="20"/>
          <w:szCs w:val="20"/>
          <w:color w:val="auto"/>
        </w:rPr>
      </w:pPr>
      <w:r>
        <w:rPr>
          <w:rFonts w:ascii="Times New Roman" w:cs="Times New Roman" w:eastAsia="Times New Roman" w:hAnsi="Times New Roman"/>
          <w:sz w:val="14"/>
          <w:szCs w:val="14"/>
          <w:color w:val="auto"/>
        </w:rPr>
        <w:t>In addition, our amended and restated certificate of incorporation further provides that, unless we consent writing to the selection of an alternative forum, the federal district courts of the United States of America will be the exclusive forum, to the fullest extent permitted by law,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47" w:lineRule="exact"/>
        <w:rPr>
          <w:sz w:val="20"/>
          <w:szCs w:val="20"/>
          <w:color w:val="auto"/>
        </w:rPr>
      </w:pPr>
    </w:p>
    <w:p>
      <w:pPr>
        <w:ind w:left="1500" w:right="739" w:firstLine="331"/>
        <w:spacing w:after="0" w:line="252" w:lineRule="auto"/>
        <w:rPr>
          <w:sz w:val="20"/>
          <w:szCs w:val="20"/>
          <w:color w:val="auto"/>
        </w:rPr>
      </w:pPr>
      <w:r>
        <w:rPr>
          <w:rFonts w:ascii="Times New Roman" w:cs="Times New Roman" w:eastAsia="Times New Roman" w:hAnsi="Times New Roman"/>
          <w:sz w:val="14"/>
          <w:szCs w:val="14"/>
          <w:color w:val="auto"/>
        </w:rPr>
        <w:t>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amended and restated certificate of incorporation to be inapplicable or unenforceable.</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87" w:lineRule="exact"/>
        <w:rPr>
          <w:sz w:val="20"/>
          <w:szCs w:val="20"/>
          <w:color w:val="auto"/>
        </w:rPr>
      </w:pPr>
    </w:p>
    <w:p>
      <w:pPr>
        <w:jc w:val="both"/>
        <w:ind w:left="1500" w:right="499" w:firstLine="331"/>
        <w:spacing w:after="0" w:line="252"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trading symbol “INAB.” The applicable prospectus supplement will contain information, where applicable, as to any other listing, if any, on the Nasdaq Capital Market or any securities market or other exchange of the preferred stock covered by such prospectus supplement.</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87" w:lineRule="exact"/>
        <w:rPr>
          <w:sz w:val="20"/>
          <w:szCs w:val="20"/>
          <w:color w:val="auto"/>
        </w:rPr>
      </w:pPr>
    </w:p>
    <w:p>
      <w:pPr>
        <w:ind w:left="1500" w:right="519" w:firstLine="331"/>
        <w:spacing w:after="0" w:line="262" w:lineRule="auto"/>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 The transfer agent’s address is 150 Royall Street, Canton, Massachusetts 02021.</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7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68" w:lineRule="exact"/>
        <w:rPr>
          <w:sz w:val="20"/>
          <w:szCs w:val="20"/>
          <w:color w:val="auto"/>
        </w:rPr>
      </w:pPr>
    </w:p>
    <w:p>
      <w:pPr>
        <w:ind w:left="1500" w:right="459" w:firstLine="331"/>
        <w:spacing w:after="0" w:line="298" w:lineRule="auto"/>
        <w:rPr>
          <w:sz w:val="20"/>
          <w:szCs w:val="20"/>
          <w:color w:val="auto"/>
        </w:rPr>
      </w:pPr>
      <w:r>
        <w:rPr>
          <w:rFonts w:ascii="Times New Roman" w:cs="Times New Roman" w:eastAsia="Times New Roman" w:hAnsi="Times New Roman"/>
          <w:sz w:val="12"/>
          <w:szCs w:val="12"/>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18" w:lineRule="exact"/>
        <w:rPr>
          <w:sz w:val="20"/>
          <w:szCs w:val="20"/>
          <w:color w:val="auto"/>
        </w:rPr>
      </w:pPr>
    </w:p>
    <w:p>
      <w:pPr>
        <w:ind w:left="1500" w:right="399" w:firstLine="331"/>
        <w:spacing w:after="0" w:line="247" w:lineRule="auto"/>
        <w:rPr>
          <w:sz w:val="20"/>
          <w:szCs w:val="20"/>
          <w:color w:val="auto"/>
        </w:rPr>
      </w:pPr>
      <w:r>
        <w:rPr>
          <w:rFonts w:ascii="Times New Roman" w:cs="Times New Roman" w:eastAsia="Times New Roman" w:hAnsi="Times New Roman"/>
          <w:sz w:val="14"/>
          <w:szCs w:val="14"/>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6" w:lineRule="exact"/>
        <w:rPr>
          <w:sz w:val="20"/>
          <w:szCs w:val="20"/>
          <w:color w:val="auto"/>
        </w:rPr>
      </w:pPr>
    </w:p>
    <w:p>
      <w:pPr>
        <w:jc w:val="both"/>
        <w:ind w:left="1500" w:right="379" w:firstLine="331"/>
        <w:spacing w:after="0" w:line="248"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7" w:lineRule="exact"/>
        <w:rPr>
          <w:sz w:val="20"/>
          <w:szCs w:val="20"/>
          <w:color w:val="auto"/>
        </w:rPr>
      </w:pPr>
    </w:p>
    <w:p>
      <w:pPr>
        <w:ind w:left="1500" w:right="519" w:firstLine="331"/>
        <w:spacing w:after="0" w:line="303" w:lineRule="auto"/>
        <w:rPr>
          <w:sz w:val="20"/>
          <w:szCs w:val="20"/>
          <w:color w:val="auto"/>
        </w:rPr>
      </w:pPr>
      <w:r>
        <w:rPr>
          <w:rFonts w:ascii="Times New Roman" w:cs="Times New Roman" w:eastAsia="Times New Roman" w:hAnsi="Times New Roman"/>
          <w:sz w:val="12"/>
          <w:szCs w:val="12"/>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15" w:lineRule="exact"/>
        <w:rPr>
          <w:sz w:val="20"/>
          <w:szCs w:val="20"/>
          <w:color w:val="auto"/>
        </w:rPr>
      </w:pPr>
    </w:p>
    <w:p>
      <w:pPr>
        <w:ind w:left="1500" w:right="579" w:firstLine="331"/>
        <w:spacing w:after="0" w:line="247"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4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93" w:lineRule="exact"/>
        <w:rPr>
          <w:sz w:val="20"/>
          <w:szCs w:val="20"/>
          <w:color w:val="auto"/>
        </w:rPr>
      </w:pPr>
    </w:p>
    <w:p>
      <w:pPr>
        <w:ind w:left="2240" w:hanging="331"/>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debt securities;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or dates;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of the debt securities of the series;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any guarantees;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92" w:lineRule="exact"/>
        <w:rPr>
          <w:rFonts w:ascii="Times New Roman" w:cs="Times New Roman" w:eastAsia="Times New Roman" w:hAnsi="Times New Roman"/>
          <w:sz w:val="14"/>
          <w:szCs w:val="14"/>
          <w:color w:val="auto"/>
        </w:rPr>
      </w:pPr>
    </w:p>
    <w:p>
      <w:pPr>
        <w:ind w:left="2240" w:right="559" w:hanging="331"/>
        <w:spacing w:after="0" w:line="262" w:lineRule="auto"/>
        <w:tabs>
          <w:tab w:leader="none" w:pos="22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7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2240" w:right="479" w:hanging="331"/>
        <w:spacing w:after="0" w:line="248" w:lineRule="auto"/>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75" w:lineRule="exact"/>
        <w:rPr>
          <w:rFonts w:ascii="Times New Roman" w:cs="Times New Roman" w:eastAsia="Times New Roman" w:hAnsi="Times New Roman"/>
          <w:sz w:val="14"/>
          <w:szCs w:val="14"/>
          <w:color w:val="auto"/>
        </w:rPr>
      </w:pPr>
    </w:p>
    <w:p>
      <w:pPr>
        <w:ind w:left="2240" w:right="519" w:hanging="331"/>
        <w:spacing w:after="0" w:line="345" w:lineRule="auto"/>
        <w:tabs>
          <w:tab w:leader="none" w:pos="22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9" w:lineRule="exact"/>
        <w:rPr>
          <w:rFonts w:ascii="Times New Roman" w:cs="Times New Roman" w:eastAsia="Times New Roman" w:hAnsi="Times New Roman"/>
          <w:sz w:val="12"/>
          <w:szCs w:val="12"/>
          <w:color w:val="auto"/>
        </w:rPr>
      </w:pPr>
    </w:p>
    <w:p>
      <w:pPr>
        <w:ind w:left="2240" w:hanging="331"/>
        <w:spacing w:after="0"/>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92" w:lineRule="exact"/>
        <w:rPr>
          <w:rFonts w:ascii="Times New Roman" w:cs="Times New Roman" w:eastAsia="Times New Roman" w:hAnsi="Times New Roman"/>
          <w:sz w:val="14"/>
          <w:szCs w:val="14"/>
          <w:color w:val="auto"/>
        </w:rPr>
      </w:pPr>
    </w:p>
    <w:p>
      <w:pPr>
        <w:ind w:left="2240" w:right="519" w:hanging="331"/>
        <w:spacing w:after="0" w:line="252" w:lineRule="auto"/>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71" w:lineRule="exact"/>
        <w:rPr>
          <w:rFonts w:ascii="Times New Roman" w:cs="Times New Roman" w:eastAsia="Times New Roman" w:hAnsi="Times New Roman"/>
          <w:sz w:val="14"/>
          <w:szCs w:val="14"/>
          <w:color w:val="auto"/>
        </w:rPr>
      </w:pPr>
    </w:p>
    <w:p>
      <w:pPr>
        <w:ind w:left="2240" w:right="379" w:hanging="331"/>
        <w:spacing w:after="0" w:line="252" w:lineRule="auto"/>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71" w:lineRule="exact"/>
        <w:rPr>
          <w:rFonts w:ascii="Times New Roman" w:cs="Times New Roman" w:eastAsia="Times New Roman" w:hAnsi="Times New Roman"/>
          <w:sz w:val="14"/>
          <w:szCs w:val="14"/>
          <w:color w:val="auto"/>
        </w:rPr>
      </w:pPr>
    </w:p>
    <w:p>
      <w:pPr>
        <w:ind w:left="2240" w:right="679" w:hanging="331"/>
        <w:spacing w:after="0" w:line="262" w:lineRule="auto"/>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64" w:lineRule="exact"/>
        <w:rPr>
          <w:rFonts w:ascii="Times New Roman" w:cs="Times New Roman" w:eastAsia="Times New Roman" w:hAnsi="Times New Roman"/>
          <w:sz w:val="14"/>
          <w:szCs w:val="14"/>
          <w:color w:val="auto"/>
        </w:rPr>
      </w:pPr>
    </w:p>
    <w:p>
      <w:pPr>
        <w:ind w:left="2240" w:right="719" w:hanging="331"/>
        <w:spacing w:after="0" w:line="252" w:lineRule="auto"/>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71" w:lineRule="exact"/>
        <w:rPr>
          <w:rFonts w:ascii="Times New Roman" w:cs="Times New Roman" w:eastAsia="Times New Roman" w:hAnsi="Times New Roman"/>
          <w:sz w:val="14"/>
          <w:szCs w:val="14"/>
          <w:color w:val="auto"/>
        </w:rPr>
      </w:pPr>
    </w:p>
    <w:p>
      <w:pPr>
        <w:ind w:left="2240" w:right="519" w:hanging="331"/>
        <w:spacing w:after="0" w:line="252" w:lineRule="auto"/>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71" w:lineRule="exact"/>
        <w:rPr>
          <w:rFonts w:ascii="Times New Roman" w:cs="Times New Roman" w:eastAsia="Times New Roman" w:hAnsi="Times New Roman"/>
          <w:sz w:val="14"/>
          <w:szCs w:val="14"/>
          <w:color w:val="auto"/>
        </w:rPr>
      </w:pPr>
    </w:p>
    <w:p>
      <w:pPr>
        <w:ind w:left="2240" w:right="379" w:hanging="331"/>
        <w:spacing w:after="0" w:line="248" w:lineRule="auto"/>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75" w:lineRule="exact"/>
        <w:rPr>
          <w:rFonts w:ascii="Times New Roman" w:cs="Times New Roman" w:eastAsia="Times New Roman" w:hAnsi="Times New Roman"/>
          <w:sz w:val="14"/>
          <w:szCs w:val="14"/>
          <w:color w:val="auto"/>
        </w:rPr>
      </w:pPr>
    </w:p>
    <w:p>
      <w:pPr>
        <w:ind w:left="2240" w:right="599" w:hanging="331"/>
        <w:spacing w:after="0" w:line="262" w:lineRule="auto"/>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full principal amount thereof, the portion of the principal amount of debt securities of the series which shall be payable upon declaration of acceleration of the maturity thereof;</w:t>
      </w:r>
    </w:p>
    <w:p>
      <w:pPr>
        <w:spacing w:after="0" w:line="64" w:lineRule="exact"/>
        <w:rPr>
          <w:rFonts w:ascii="Times New Roman" w:cs="Times New Roman" w:eastAsia="Times New Roman" w:hAnsi="Times New Roman"/>
          <w:sz w:val="14"/>
          <w:szCs w:val="14"/>
          <w:color w:val="auto"/>
        </w:rPr>
      </w:pPr>
    </w:p>
    <w:p>
      <w:pPr>
        <w:ind w:left="2240" w:right="1159" w:hanging="331"/>
        <w:spacing w:after="0" w:line="262" w:lineRule="auto"/>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64" w:lineRule="exact"/>
        <w:rPr>
          <w:rFonts w:ascii="Times New Roman" w:cs="Times New Roman" w:eastAsia="Times New Roman" w:hAnsi="Times New Roman"/>
          <w:sz w:val="14"/>
          <w:szCs w:val="14"/>
          <w:color w:val="auto"/>
        </w:rPr>
      </w:pPr>
    </w:p>
    <w:p>
      <w:pPr>
        <w:ind w:left="2240" w:right="659" w:hanging="331"/>
        <w:spacing w:after="0" w:line="262" w:lineRule="auto"/>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92" w:lineRule="exact"/>
        <w:rPr>
          <w:rFonts w:ascii="Times New Roman" w:cs="Times New Roman" w:eastAsia="Times New Roman" w:hAnsi="Times New Roman"/>
          <w:sz w:val="14"/>
          <w:szCs w:val="14"/>
          <w:color w:val="auto"/>
        </w:rPr>
      </w:pPr>
    </w:p>
    <w:p>
      <w:pPr>
        <w:ind w:left="2240" w:right="479" w:hanging="331"/>
        <w:spacing w:after="0" w:line="262" w:lineRule="auto"/>
        <w:tabs>
          <w:tab w:leader="none" w:pos="2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64" w:lineRule="exact"/>
        <w:rPr>
          <w:rFonts w:ascii="Times New Roman" w:cs="Times New Roman" w:eastAsia="Times New Roman" w:hAnsi="Times New Roman"/>
          <w:sz w:val="14"/>
          <w:szCs w:val="14"/>
          <w:color w:val="auto"/>
        </w:rPr>
      </w:pPr>
    </w:p>
    <w:p>
      <w:pPr>
        <w:ind w:left="5580" w:right="479" w:hanging="3671"/>
        <w:spacing w:after="0" w:line="428" w:lineRule="auto"/>
        <w:tabs>
          <w:tab w:leader="none" w:pos="223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 15</w:t>
      </w:r>
    </w:p>
    <w:p>
      <w:pPr>
        <w:sectPr>
          <w:pgSz w:w="11900" w:h="16838" w:orient="portrait"/>
          <w:cols w:equalWidth="0" w:num="1">
            <w:col w:w="10159"/>
          </w:cols>
          <w:pgMar w:left="300" w:top="37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2240" w:right="439" w:hanging="331"/>
        <w:spacing w:after="0" w:line="262" w:lineRule="auto"/>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64" w:lineRule="exact"/>
        <w:rPr>
          <w:rFonts w:ascii="Times New Roman" w:cs="Times New Roman" w:eastAsia="Times New Roman" w:hAnsi="Times New Roman"/>
          <w:sz w:val="14"/>
          <w:szCs w:val="14"/>
          <w:color w:val="auto"/>
        </w:rPr>
      </w:pPr>
    </w:p>
    <w:p>
      <w:pPr>
        <w:ind w:left="2240" w:right="459" w:hanging="331"/>
        <w:spacing w:after="0" w:line="262" w:lineRule="auto"/>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92" w:lineRule="exact"/>
        <w:rPr>
          <w:rFonts w:ascii="Times New Roman" w:cs="Times New Roman" w:eastAsia="Times New Roman" w:hAnsi="Times New Roman"/>
          <w:sz w:val="14"/>
          <w:szCs w:val="14"/>
          <w:color w:val="auto"/>
        </w:rPr>
      </w:pPr>
    </w:p>
    <w:p>
      <w:pPr>
        <w:ind w:left="2240" w:right="579" w:hanging="331"/>
        <w:spacing w:after="0" w:line="262" w:lineRule="auto"/>
        <w:tabs>
          <w:tab w:leader="none" w:pos="22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87" w:lineRule="exact"/>
        <w:rPr>
          <w:sz w:val="20"/>
          <w:szCs w:val="20"/>
          <w:color w:val="auto"/>
        </w:rPr>
      </w:pPr>
    </w:p>
    <w:p>
      <w:pPr>
        <w:ind w:left="1500" w:right="499" w:firstLine="331"/>
        <w:spacing w:after="0" w:line="303" w:lineRule="auto"/>
        <w:rPr>
          <w:sz w:val="20"/>
          <w:szCs w:val="20"/>
          <w:color w:val="auto"/>
        </w:rPr>
      </w:pPr>
      <w:r>
        <w:rPr>
          <w:rFonts w:ascii="Times New Roman" w:cs="Times New Roman" w:eastAsia="Times New Roman" w:hAnsi="Times New Roman"/>
          <w:sz w:val="12"/>
          <w:szCs w:val="12"/>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87" w:lineRule="exact"/>
        <w:rPr>
          <w:sz w:val="20"/>
          <w:szCs w:val="20"/>
          <w:color w:val="auto"/>
        </w:rPr>
      </w:pPr>
    </w:p>
    <w:p>
      <w:pPr>
        <w:ind w:left="1500" w:right="439" w:firstLine="331"/>
        <w:spacing w:after="0" w:line="248"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87" w:lineRule="exact"/>
        <w:rPr>
          <w:sz w:val="20"/>
          <w:szCs w:val="20"/>
          <w:color w:val="auto"/>
        </w:rPr>
      </w:pPr>
    </w:p>
    <w:p>
      <w:pPr>
        <w:ind w:left="1500" w:right="559" w:firstLine="331"/>
        <w:spacing w:after="0" w:line="262"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5" w:lineRule="exact"/>
        <w:rPr>
          <w:sz w:val="20"/>
          <w:szCs w:val="20"/>
          <w:color w:val="auto"/>
        </w:rPr>
      </w:pPr>
    </w:p>
    <w:p>
      <w:pPr>
        <w:jc w:val="both"/>
        <w:ind w:left="2240" w:right="439" w:hanging="331"/>
        <w:spacing w:after="0" w:line="314" w:lineRule="auto"/>
        <w:tabs>
          <w:tab w:leader="none" w:pos="22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36" w:lineRule="exact"/>
        <w:rPr>
          <w:rFonts w:ascii="Times New Roman" w:cs="Times New Roman" w:eastAsia="Times New Roman" w:hAnsi="Times New Roman"/>
          <w:sz w:val="12"/>
          <w:szCs w:val="12"/>
          <w:color w:val="auto"/>
        </w:rPr>
      </w:pPr>
    </w:p>
    <w:p>
      <w:pPr>
        <w:ind w:left="2240" w:right="439" w:hanging="331"/>
        <w:spacing w:after="0" w:line="303" w:lineRule="auto"/>
        <w:tabs>
          <w:tab w:leader="none" w:pos="22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44" w:lineRule="exact"/>
        <w:rPr>
          <w:rFonts w:ascii="Times New Roman" w:cs="Times New Roman" w:eastAsia="Times New Roman" w:hAnsi="Times New Roman"/>
          <w:sz w:val="12"/>
          <w:szCs w:val="12"/>
          <w:color w:val="auto"/>
        </w:rPr>
      </w:pPr>
    </w:p>
    <w:p>
      <w:pPr>
        <w:ind w:left="2240" w:right="399" w:hanging="331"/>
        <w:spacing w:after="0" w:line="248" w:lineRule="auto"/>
        <w:tabs>
          <w:tab w:leader="none" w:pos="2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75"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7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right="379" w:firstLine="331"/>
        <w:spacing w:after="0" w:line="246"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47" w:lineRule="exact"/>
        <w:rPr>
          <w:sz w:val="20"/>
          <w:szCs w:val="20"/>
          <w:color w:val="auto"/>
        </w:rPr>
      </w:pPr>
    </w:p>
    <w:p>
      <w:pPr>
        <w:ind w:left="1500" w:right="519" w:firstLine="331"/>
        <w:spacing w:after="0" w:line="314" w:lineRule="auto"/>
        <w:rPr>
          <w:sz w:val="20"/>
          <w:szCs w:val="20"/>
          <w:color w:val="auto"/>
        </w:rPr>
      </w:pPr>
      <w:r>
        <w:rPr>
          <w:rFonts w:ascii="Times New Roman" w:cs="Times New Roman" w:eastAsia="Times New Roman" w:hAnsi="Times New Roman"/>
          <w:sz w:val="12"/>
          <w:szCs w:val="12"/>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08" w:lineRule="exact"/>
        <w:rPr>
          <w:sz w:val="20"/>
          <w:szCs w:val="20"/>
          <w:color w:val="auto"/>
        </w:rPr>
      </w:pPr>
    </w:p>
    <w:p>
      <w:pPr>
        <w:ind w:left="1500" w:right="499" w:firstLine="331"/>
        <w:spacing w:after="0" w:line="247"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5" w:lineRule="exact"/>
        <w:rPr>
          <w:sz w:val="20"/>
          <w:szCs w:val="20"/>
          <w:color w:val="auto"/>
        </w:rPr>
      </w:pPr>
    </w:p>
    <w:p>
      <w:pPr>
        <w:ind w:left="2560" w:hanging="235"/>
        <w:spacing w:after="0"/>
        <w:tabs>
          <w:tab w:leader="none" w:pos="2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92" w:lineRule="exact"/>
        <w:rPr>
          <w:rFonts w:ascii="Times New Roman" w:cs="Times New Roman" w:eastAsia="Times New Roman" w:hAnsi="Times New Roman"/>
          <w:sz w:val="14"/>
          <w:szCs w:val="14"/>
          <w:color w:val="auto"/>
        </w:rPr>
      </w:pPr>
    </w:p>
    <w:p>
      <w:pPr>
        <w:ind w:left="2560" w:right="579" w:hanging="235"/>
        <w:spacing w:after="0" w:line="262" w:lineRule="auto"/>
        <w:tabs>
          <w:tab w:leader="none" w:pos="25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36" w:lineRule="exact"/>
        <w:rPr>
          <w:sz w:val="20"/>
          <w:szCs w:val="20"/>
          <w:color w:val="auto"/>
        </w:rPr>
      </w:pPr>
    </w:p>
    <w:p>
      <w:pPr>
        <w:ind w:left="1500" w:right="379" w:firstLine="331"/>
        <w:spacing w:after="0" w:line="262"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65" w:lineRule="exact"/>
        <w:rPr>
          <w:sz w:val="20"/>
          <w:szCs w:val="20"/>
          <w:color w:val="auto"/>
        </w:rPr>
      </w:pPr>
    </w:p>
    <w:p>
      <w:pPr>
        <w:ind w:left="2560" w:hanging="235"/>
        <w:spacing w:after="0"/>
        <w:tabs>
          <w:tab w:leader="none" w:pos="2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92" w:lineRule="exact"/>
        <w:rPr>
          <w:rFonts w:ascii="Times New Roman" w:cs="Times New Roman" w:eastAsia="Times New Roman" w:hAnsi="Times New Roman"/>
          <w:sz w:val="14"/>
          <w:szCs w:val="14"/>
          <w:color w:val="auto"/>
        </w:rPr>
      </w:pPr>
    </w:p>
    <w:p>
      <w:pPr>
        <w:ind w:left="2560" w:hanging="235"/>
        <w:spacing w:after="0"/>
        <w:tabs>
          <w:tab w:leader="none" w:pos="25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holders of at least 25% in aggregate principal amount of the outstanding debt securities of that series have made written request,</w:t>
      </w:r>
    </w:p>
    <w:p>
      <w:pPr>
        <w:spacing w:after="0" w:line="115" w:lineRule="exact"/>
        <w:rPr>
          <w:rFonts w:ascii="Times New Roman" w:cs="Times New Roman" w:eastAsia="Times New Roman" w:hAnsi="Times New Roman"/>
          <w:sz w:val="12"/>
          <w:szCs w:val="12"/>
          <w:color w:val="auto"/>
        </w:rPr>
      </w:pPr>
    </w:p>
    <w:p>
      <w:pPr>
        <w:ind w:left="2560" w:right="579" w:hanging="235"/>
        <w:spacing w:after="0" w:line="262" w:lineRule="auto"/>
        <w:tabs>
          <w:tab w:leader="none" w:pos="2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64" w:lineRule="exact"/>
        <w:rPr>
          <w:rFonts w:ascii="Times New Roman" w:cs="Times New Roman" w:eastAsia="Times New Roman" w:hAnsi="Times New Roman"/>
          <w:sz w:val="14"/>
          <w:szCs w:val="14"/>
          <w:color w:val="auto"/>
        </w:rPr>
      </w:pPr>
    </w:p>
    <w:p>
      <w:pPr>
        <w:ind w:left="2560" w:right="399" w:hanging="235"/>
        <w:spacing w:after="0" w:line="262" w:lineRule="auto"/>
        <w:tabs>
          <w:tab w:leader="none" w:pos="2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36" w:lineRule="exact"/>
        <w:rPr>
          <w:sz w:val="20"/>
          <w:szCs w:val="20"/>
          <w:color w:val="auto"/>
        </w:rPr>
      </w:pPr>
    </w:p>
    <w:p>
      <w:pPr>
        <w:ind w:left="1500" w:right="559" w:firstLine="331"/>
        <w:spacing w:after="0" w:line="262"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2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8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93" w:lineRule="exact"/>
        <w:rPr>
          <w:sz w:val="20"/>
          <w:szCs w:val="20"/>
          <w:color w:val="auto"/>
        </w:rPr>
      </w:pPr>
    </w:p>
    <w:p>
      <w:pPr>
        <w:ind w:left="2240" w:hanging="331"/>
        <w:spacing w:after="0"/>
        <w:tabs>
          <w:tab w:leader="none" w:pos="2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w:t>
      </w:r>
    </w:p>
    <w:p>
      <w:pPr>
        <w:spacing w:after="0" w:line="92" w:lineRule="exact"/>
        <w:rPr>
          <w:rFonts w:ascii="Times New Roman" w:cs="Times New Roman" w:eastAsia="Times New Roman" w:hAnsi="Times New Roman"/>
          <w:sz w:val="14"/>
          <w:szCs w:val="14"/>
          <w:color w:val="auto"/>
        </w:rPr>
      </w:pPr>
    </w:p>
    <w:p>
      <w:pPr>
        <w:ind w:left="5580" w:right="1459" w:hanging="3671"/>
        <w:spacing w:after="0" w:line="428" w:lineRule="auto"/>
        <w:tabs>
          <w:tab w:leader="none" w:pos="223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“Description of Debt Securities—Consolidation, Merger or Sale;” 17</w:t>
      </w:r>
    </w:p>
    <w:p>
      <w:pPr>
        <w:sectPr>
          <w:pgSz w:w="11900" w:h="16838" w:orient="portrait"/>
          <w:cols w:equalWidth="0" w:num="1">
            <w:col w:w="10159"/>
          </w:cols>
          <w:pgMar w:left="300" w:top="37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2240" w:hanging="331"/>
        <w:spacing w:after="0"/>
        <w:tabs>
          <w:tab w:leader="none" w:pos="2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92" w:lineRule="exact"/>
        <w:rPr>
          <w:rFonts w:ascii="Times New Roman" w:cs="Times New Roman" w:eastAsia="Times New Roman" w:hAnsi="Times New Roman"/>
          <w:sz w:val="14"/>
          <w:szCs w:val="14"/>
          <w:color w:val="auto"/>
        </w:rPr>
      </w:pPr>
    </w:p>
    <w:p>
      <w:pPr>
        <w:ind w:left="2240" w:right="499" w:hanging="331"/>
        <w:spacing w:after="0" w:line="248" w:lineRule="auto"/>
        <w:tabs>
          <w:tab w:leader="none" w:pos="2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75" w:lineRule="exact"/>
        <w:rPr>
          <w:rFonts w:ascii="Times New Roman" w:cs="Times New Roman" w:eastAsia="Times New Roman" w:hAnsi="Times New Roman"/>
          <w:sz w:val="14"/>
          <w:szCs w:val="14"/>
          <w:color w:val="auto"/>
        </w:rPr>
      </w:pPr>
    </w:p>
    <w:p>
      <w:pPr>
        <w:ind w:left="2240" w:right="959" w:hanging="331"/>
        <w:spacing w:after="0" w:line="262" w:lineRule="auto"/>
        <w:tabs>
          <w:tab w:leader="none" w:pos="2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92" w:lineRule="exact"/>
        <w:rPr>
          <w:rFonts w:ascii="Times New Roman" w:cs="Times New Roman" w:eastAsia="Times New Roman" w:hAnsi="Times New Roman"/>
          <w:sz w:val="14"/>
          <w:szCs w:val="14"/>
          <w:color w:val="auto"/>
        </w:rPr>
      </w:pPr>
    </w:p>
    <w:p>
      <w:pPr>
        <w:jc w:val="both"/>
        <w:ind w:left="2240" w:right="479" w:hanging="331"/>
        <w:spacing w:after="0" w:line="252" w:lineRule="auto"/>
        <w:tabs>
          <w:tab w:leader="none" w:pos="2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71"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164" w:lineRule="exact"/>
        <w:rPr>
          <w:sz w:val="20"/>
          <w:szCs w:val="20"/>
          <w:color w:val="auto"/>
        </w:rPr>
      </w:pPr>
    </w:p>
    <w:p>
      <w:pPr>
        <w:ind w:left="1500" w:right="379" w:firstLine="331"/>
        <w:spacing w:after="0" w:line="248"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75" w:lineRule="exact"/>
        <w:rPr>
          <w:sz w:val="20"/>
          <w:szCs w:val="20"/>
          <w:color w:val="auto"/>
        </w:rPr>
      </w:pPr>
    </w:p>
    <w:p>
      <w:pPr>
        <w:ind w:left="2240" w:hanging="331"/>
        <w:spacing w:after="0"/>
        <w:tabs>
          <w:tab w:leader="none" w:pos="2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92" w:lineRule="exact"/>
        <w:rPr>
          <w:rFonts w:ascii="Times New Roman" w:cs="Times New Roman" w:eastAsia="Times New Roman" w:hAnsi="Times New Roman"/>
          <w:sz w:val="14"/>
          <w:szCs w:val="14"/>
          <w:color w:val="auto"/>
        </w:rPr>
      </w:pPr>
    </w:p>
    <w:p>
      <w:pPr>
        <w:ind w:left="2240" w:right="559" w:hanging="331"/>
        <w:spacing w:after="0" w:line="262" w:lineRule="auto"/>
        <w:tabs>
          <w:tab w:leader="none" w:pos="2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64" w:lineRule="exact"/>
        <w:rPr>
          <w:rFonts w:ascii="Times New Roman" w:cs="Times New Roman" w:eastAsia="Times New Roman" w:hAnsi="Times New Roman"/>
          <w:sz w:val="14"/>
          <w:szCs w:val="14"/>
          <w:color w:val="auto"/>
        </w:rPr>
      </w:pPr>
    </w:p>
    <w:p>
      <w:pPr>
        <w:ind w:left="2240" w:right="599" w:hanging="331"/>
        <w:spacing w:after="0" w:line="262" w:lineRule="auto"/>
        <w:tabs>
          <w:tab w:leader="none" w:pos="2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87" w:lineRule="exact"/>
        <w:rPr>
          <w:sz w:val="20"/>
          <w:szCs w:val="20"/>
          <w:color w:val="auto"/>
        </w:rPr>
      </w:pPr>
    </w:p>
    <w:p>
      <w:pPr>
        <w:ind w:left="1500" w:right="579" w:firstLine="331"/>
        <w:spacing w:after="0" w:line="262" w:lineRule="auto"/>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65" w:lineRule="exact"/>
        <w:rPr>
          <w:sz w:val="20"/>
          <w:szCs w:val="20"/>
          <w:color w:val="auto"/>
        </w:rPr>
      </w:pPr>
    </w:p>
    <w:p>
      <w:pPr>
        <w:ind w:left="2240" w:hanging="331"/>
        <w:spacing w:after="0"/>
        <w:tabs>
          <w:tab w:leader="none" w:pos="2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payment;</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7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right="839" w:firstLine="331"/>
        <w:spacing w:after="0" w:line="262"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87" w:lineRule="exact"/>
        <w:rPr>
          <w:sz w:val="20"/>
          <w:szCs w:val="20"/>
          <w:color w:val="auto"/>
        </w:rPr>
      </w:pPr>
    </w:p>
    <w:p>
      <w:pPr>
        <w:ind w:left="1500" w:right="499" w:firstLine="331"/>
        <w:spacing w:after="0" w:line="246"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47" w:lineRule="exact"/>
        <w:rPr>
          <w:sz w:val="20"/>
          <w:szCs w:val="20"/>
          <w:color w:val="auto"/>
        </w:rPr>
      </w:pPr>
    </w:p>
    <w:p>
      <w:pPr>
        <w:ind w:left="1500" w:right="439" w:firstLine="331"/>
        <w:spacing w:after="0" w:line="252"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42" w:lineRule="exact"/>
        <w:rPr>
          <w:sz w:val="20"/>
          <w:szCs w:val="20"/>
          <w:color w:val="auto"/>
        </w:rPr>
      </w:pPr>
    </w:p>
    <w:p>
      <w:pPr>
        <w:ind w:left="1500" w:right="379" w:firstLine="331"/>
        <w:spacing w:after="0" w:line="247"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46" w:lineRule="exact"/>
        <w:rPr>
          <w:sz w:val="20"/>
          <w:szCs w:val="20"/>
          <w:color w:val="auto"/>
        </w:rPr>
      </w:pPr>
    </w:p>
    <w:p>
      <w:pPr>
        <w:ind w:left="1500" w:right="619" w:firstLine="331"/>
        <w:spacing w:after="0" w:line="248"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93" w:lineRule="exact"/>
        <w:rPr>
          <w:sz w:val="20"/>
          <w:szCs w:val="20"/>
          <w:color w:val="auto"/>
        </w:rPr>
      </w:pPr>
    </w:p>
    <w:p>
      <w:pPr>
        <w:jc w:val="both"/>
        <w:ind w:left="2240" w:right="579" w:hanging="331"/>
        <w:spacing w:after="0" w:line="252" w:lineRule="auto"/>
        <w:tabs>
          <w:tab w:leader="none" w:pos="2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1" w:lineRule="exact"/>
        <w:rPr>
          <w:rFonts w:ascii="Times New Roman" w:cs="Times New Roman" w:eastAsia="Times New Roman" w:hAnsi="Times New Roman"/>
          <w:sz w:val="14"/>
          <w:szCs w:val="14"/>
          <w:color w:val="auto"/>
        </w:rPr>
      </w:pPr>
    </w:p>
    <w:p>
      <w:pPr>
        <w:ind w:left="2240" w:right="579" w:hanging="331"/>
        <w:spacing w:after="0" w:line="262" w:lineRule="auto"/>
        <w:tabs>
          <w:tab w:leader="none" w:pos="2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87" w:lineRule="exact"/>
        <w:rPr>
          <w:sz w:val="20"/>
          <w:szCs w:val="20"/>
          <w:color w:val="auto"/>
        </w:rPr>
      </w:pPr>
    </w:p>
    <w:p>
      <w:pPr>
        <w:ind w:left="1500" w:right="379" w:firstLine="331"/>
        <w:spacing w:after="0" w:line="247"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7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87" w:lineRule="exact"/>
        <w:rPr>
          <w:sz w:val="20"/>
          <w:szCs w:val="20"/>
          <w:color w:val="auto"/>
        </w:rPr>
      </w:pPr>
    </w:p>
    <w:p>
      <w:pPr>
        <w:jc w:val="both"/>
        <w:ind w:left="1500" w:right="399" w:firstLine="331"/>
        <w:spacing w:after="0" w:line="252"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42" w:lineRule="exact"/>
        <w:rPr>
          <w:sz w:val="20"/>
          <w:szCs w:val="20"/>
          <w:color w:val="auto"/>
        </w:rPr>
      </w:pPr>
    </w:p>
    <w:p>
      <w:pPr>
        <w:ind w:left="1500" w:right="379" w:firstLine="331"/>
        <w:spacing w:after="0" w:line="246"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47" w:lineRule="exact"/>
        <w:rPr>
          <w:sz w:val="20"/>
          <w:szCs w:val="20"/>
          <w:color w:val="auto"/>
        </w:rPr>
      </w:pPr>
    </w:p>
    <w:p>
      <w:pPr>
        <w:ind w:left="1500" w:right="519" w:firstLine="331"/>
        <w:spacing w:after="0" w:line="252"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7" w:lineRule="exact"/>
        <w:rPr>
          <w:sz w:val="20"/>
          <w:szCs w:val="20"/>
          <w:color w:val="auto"/>
        </w:rPr>
      </w:pPr>
    </w:p>
    <w:p>
      <w:pPr>
        <w:ind w:left="1500" w:right="499" w:firstLine="331"/>
        <w:spacing w:after="0" w:line="262"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except to the extent that the Trust Indenture Act of 1939 is applicable.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7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68" w:lineRule="exact"/>
        <w:rPr>
          <w:sz w:val="20"/>
          <w:szCs w:val="20"/>
          <w:color w:val="auto"/>
        </w:rPr>
      </w:pPr>
    </w:p>
    <w:p>
      <w:pPr>
        <w:ind w:left="1500" w:right="479" w:firstLine="331"/>
        <w:spacing w:after="0" w:line="244"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52" w:lineRule="exact"/>
        <w:rPr>
          <w:sz w:val="20"/>
          <w:szCs w:val="20"/>
          <w:color w:val="auto"/>
        </w:rPr>
      </w:pPr>
    </w:p>
    <w:p>
      <w:pPr>
        <w:ind w:left="1500" w:right="479" w:firstLine="331"/>
        <w:spacing w:after="0" w:line="244" w:lineRule="auto"/>
        <w:rPr>
          <w:sz w:val="20"/>
          <w:szCs w:val="20"/>
          <w:color w:val="auto"/>
        </w:rPr>
      </w:pPr>
      <w:r>
        <w:rPr>
          <w:rFonts w:ascii="Times New Roman" w:cs="Times New Roman" w:eastAsia="Times New Roman" w:hAnsi="Times New Roman"/>
          <w:sz w:val="14"/>
          <w:szCs w:val="14"/>
          <w:color w:val="auto"/>
        </w:rPr>
        <w:t>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being offered, including:</w:t>
      </w:r>
    </w:p>
    <w:p>
      <w:pPr>
        <w:spacing w:after="0" w:line="93" w:lineRule="exact"/>
        <w:rPr>
          <w:sz w:val="20"/>
          <w:szCs w:val="20"/>
          <w:color w:val="auto"/>
        </w:rPr>
      </w:pPr>
    </w:p>
    <w:p>
      <w:pPr>
        <w:ind w:left="2240" w:hanging="331"/>
        <w:spacing w:after="0"/>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92" w:lineRule="exact"/>
        <w:rPr>
          <w:rFonts w:ascii="Times New Roman" w:cs="Times New Roman" w:eastAsia="Times New Roman" w:hAnsi="Times New Roman"/>
          <w:sz w:val="14"/>
          <w:szCs w:val="14"/>
          <w:color w:val="auto"/>
        </w:rPr>
      </w:pPr>
    </w:p>
    <w:p>
      <w:pPr>
        <w:ind w:left="2240" w:right="559" w:hanging="331"/>
        <w:spacing w:after="0" w:line="262" w:lineRule="auto"/>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64" w:lineRule="exact"/>
        <w:rPr>
          <w:rFonts w:ascii="Times New Roman" w:cs="Times New Roman" w:eastAsia="Times New Roman" w:hAnsi="Times New Roman"/>
          <w:sz w:val="14"/>
          <w:szCs w:val="14"/>
          <w:color w:val="auto"/>
        </w:rPr>
      </w:pPr>
    </w:p>
    <w:p>
      <w:pPr>
        <w:ind w:left="2240" w:right="379" w:hanging="331"/>
        <w:spacing w:after="0" w:line="262" w:lineRule="auto"/>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4" w:lineRule="exact"/>
        <w:rPr>
          <w:rFonts w:ascii="Times New Roman" w:cs="Times New Roman" w:eastAsia="Times New Roman" w:hAnsi="Times New Roman"/>
          <w:sz w:val="14"/>
          <w:szCs w:val="14"/>
          <w:color w:val="auto"/>
        </w:rPr>
      </w:pPr>
    </w:p>
    <w:p>
      <w:pPr>
        <w:ind w:left="2240" w:right="419" w:hanging="331"/>
        <w:spacing w:after="0" w:line="262" w:lineRule="auto"/>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agreements and the warrants;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agreements and warrants may be modified;</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or special U.S. federal income tax considerations of holding or exercising the warrants;</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7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2240" w:hanging="331"/>
        <w:spacing w:after="0"/>
        <w:tabs>
          <w:tab w:leader="none" w:pos="2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92" w:lineRule="exact"/>
        <w:rPr>
          <w:rFonts w:ascii="Times New Roman" w:cs="Times New Roman" w:eastAsia="Times New Roman" w:hAnsi="Times New Roman"/>
          <w:sz w:val="14"/>
          <w:szCs w:val="14"/>
          <w:color w:val="auto"/>
        </w:rPr>
      </w:pPr>
    </w:p>
    <w:p>
      <w:pPr>
        <w:ind w:left="2240" w:right="679" w:hanging="331"/>
        <w:spacing w:after="0" w:line="262" w:lineRule="auto"/>
        <w:tabs>
          <w:tab w:leader="none" w:pos="2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exercising their warrants, holders of warrants will not have any of the rights of holders of the securities purchasable upon such exercise, including:</w:t>
      </w:r>
    </w:p>
    <w:p>
      <w:pPr>
        <w:spacing w:after="0" w:line="64" w:lineRule="exact"/>
        <w:rPr>
          <w:rFonts w:ascii="Times New Roman" w:cs="Times New Roman" w:eastAsia="Times New Roman" w:hAnsi="Times New Roman"/>
          <w:sz w:val="14"/>
          <w:szCs w:val="14"/>
          <w:color w:val="auto"/>
        </w:rPr>
      </w:pPr>
    </w:p>
    <w:p>
      <w:pPr>
        <w:ind w:left="2240" w:right="439" w:hanging="331"/>
        <w:spacing w:after="0" w:line="262" w:lineRule="auto"/>
        <w:tabs>
          <w:tab w:leader="none" w:pos="2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4" w:lineRule="exact"/>
        <w:rPr>
          <w:rFonts w:ascii="Times New Roman" w:cs="Times New Roman" w:eastAsia="Times New Roman" w:hAnsi="Times New Roman"/>
          <w:sz w:val="14"/>
          <w:szCs w:val="14"/>
          <w:color w:val="auto"/>
        </w:rPr>
      </w:pPr>
    </w:p>
    <w:p>
      <w:pPr>
        <w:ind w:left="2240" w:right="959" w:hanging="331"/>
        <w:spacing w:after="0" w:line="262" w:lineRule="auto"/>
        <w:tabs>
          <w:tab w:leader="none" w:pos="22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right to receive dividends, if any, or payments upon our liquidation, dissolution or winding up or to exercise voting rights, if any.</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87" w:lineRule="exact"/>
        <w:rPr>
          <w:sz w:val="20"/>
          <w:szCs w:val="20"/>
          <w:color w:val="auto"/>
        </w:rPr>
      </w:pPr>
    </w:p>
    <w:p>
      <w:pPr>
        <w:ind w:left="1500" w:right="419" w:firstLine="331"/>
        <w:spacing w:after="0" w:line="247" w:lineRule="auto"/>
        <w:rPr>
          <w:sz w:val="20"/>
          <w:szCs w:val="20"/>
          <w:color w:val="auto"/>
        </w:rPr>
      </w:pPr>
      <w:r>
        <w:rPr>
          <w:rFonts w:ascii="Times New Roman" w:cs="Times New Roman" w:eastAsia="Times New Roman" w:hAnsi="Times New Roman"/>
          <w:sz w:val="14"/>
          <w:szCs w:val="14"/>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46" w:lineRule="exact"/>
        <w:rPr>
          <w:sz w:val="20"/>
          <w:szCs w:val="20"/>
          <w:color w:val="auto"/>
        </w:rPr>
      </w:pPr>
    </w:p>
    <w:p>
      <w:pPr>
        <w:ind w:left="1500" w:right="379" w:firstLine="331"/>
        <w:spacing w:after="0" w:line="248" w:lineRule="auto"/>
        <w:rPr>
          <w:sz w:val="20"/>
          <w:szCs w:val="20"/>
          <w:color w:val="auto"/>
        </w:rPr>
      </w:pPr>
      <w:r>
        <w:rPr>
          <w:rFonts w:ascii="Times New Roman" w:cs="Times New Roman" w:eastAsia="Times New Roman" w:hAnsi="Times New Roman"/>
          <w:sz w:val="14"/>
          <w:szCs w:val="14"/>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87" w:lineRule="exact"/>
        <w:rPr>
          <w:sz w:val="20"/>
          <w:szCs w:val="20"/>
          <w:color w:val="auto"/>
        </w:rPr>
      </w:pPr>
    </w:p>
    <w:p>
      <w:pPr>
        <w:ind w:left="1500" w:right="399" w:firstLine="331"/>
        <w:spacing w:after="0" w:line="262" w:lineRule="auto"/>
        <w:rPr>
          <w:sz w:val="20"/>
          <w:szCs w:val="20"/>
          <w:color w:val="auto"/>
        </w:rPr>
      </w:pPr>
      <w:r>
        <w:rPr>
          <w:rFonts w:ascii="Times New Roman" w:cs="Times New Roman" w:eastAsia="Times New Roman" w:hAnsi="Times New Roman"/>
          <w:sz w:val="14"/>
          <w:szCs w:val="14"/>
          <w:color w:val="auto"/>
        </w:rPr>
        <w:t>Unless we otherwise specify in the applicable prospectus supplement, the warrants and any warrant agreements will be governed by and construed in accordance with the laws of the State of New York.</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Warrants</w:t>
      </w:r>
    </w:p>
    <w:p>
      <w:pPr>
        <w:spacing w:after="0" w:line="87" w:lineRule="exact"/>
        <w:rPr>
          <w:sz w:val="20"/>
          <w:szCs w:val="20"/>
          <w:color w:val="auto"/>
        </w:rPr>
      </w:pPr>
    </w:p>
    <w:p>
      <w:pPr>
        <w:ind w:left="1500" w:right="479" w:firstLine="331"/>
        <w:spacing w:after="0" w:line="246" w:lineRule="auto"/>
        <w:rPr>
          <w:sz w:val="20"/>
          <w:szCs w:val="20"/>
          <w:color w:val="auto"/>
        </w:rPr>
      </w:pPr>
      <w:r>
        <w:rPr>
          <w:rFonts w:ascii="Times New Roman" w:cs="Times New Roman" w:eastAsia="Times New Roman" w:hAnsi="Times New Roman"/>
          <w:sz w:val="14"/>
          <w:szCs w:val="14"/>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7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68" w:lineRule="exact"/>
        <w:rPr>
          <w:sz w:val="20"/>
          <w:szCs w:val="20"/>
          <w:color w:val="auto"/>
        </w:rPr>
      </w:pPr>
    </w:p>
    <w:p>
      <w:pPr>
        <w:ind w:left="1500" w:right="419" w:firstLine="331"/>
        <w:spacing w:after="0" w:line="247"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that we include in any applicable prospectus supplements summarizes the material terms and provisions of the rights that we may offer under this prospectus and the related rights agreements. While the terms we have summarized below will apply generally to any rights that we may offer under this prospectus, we will describe the particular terms of any rights in more detail in the applicable prospectus supplement. The terms of any rights offered under a prospectus supplement may differ from the terms described below.</w:t>
      </w:r>
    </w:p>
    <w:p>
      <w:pPr>
        <w:spacing w:after="0" w:line="146" w:lineRule="exact"/>
        <w:rPr>
          <w:sz w:val="20"/>
          <w:szCs w:val="20"/>
          <w:color w:val="auto"/>
        </w:rPr>
      </w:pPr>
    </w:p>
    <w:p>
      <w:pPr>
        <w:ind w:left="1500" w:right="599" w:firstLine="331"/>
        <w:spacing w:after="0" w:line="246" w:lineRule="auto"/>
        <w:rPr>
          <w:sz w:val="20"/>
          <w:szCs w:val="20"/>
          <w:color w:val="auto"/>
        </w:rPr>
      </w:pPr>
      <w:r>
        <w:rPr>
          <w:rFonts w:ascii="Times New Roman" w:cs="Times New Roman" w:eastAsia="Times New Roman" w:hAnsi="Times New Roman"/>
          <w:sz w:val="14"/>
          <w:szCs w:val="14"/>
          <w:color w:val="auto"/>
        </w:rPr>
        <w:t>We will incorporate by reference from reports that we file with the SEC the form of any rights certificate or rights agreement that describes the terms of the rights we are offering, and any supplemental agreements, before the issuance of the related rights. The following summaries of material terms and provisions of the rights are subject to, and qualified in their entirety by reference to, all the provisions of any rights certificate or rights agreement and any supplemental agreements applicable to particular rights. We urge you to read the applicable prospectus supplements related to the particular rights that we may offer under this prospectus, as well as any related free writing prospectuses and the complete rights certificate or rights agreement and any supplemental agreements that contain the terms of the rights.</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7" w:lineRule="exact"/>
        <w:rPr>
          <w:sz w:val="20"/>
          <w:szCs w:val="20"/>
          <w:color w:val="auto"/>
        </w:rPr>
      </w:pPr>
    </w:p>
    <w:p>
      <w:pPr>
        <w:ind w:left="1500" w:right="399" w:firstLine="331"/>
        <w:spacing w:after="0" w:line="247" w:lineRule="auto"/>
        <w:rPr>
          <w:sz w:val="20"/>
          <w:szCs w:val="20"/>
          <w:color w:val="auto"/>
        </w:rPr>
      </w:pPr>
      <w:r>
        <w:rPr>
          <w:rFonts w:ascii="Times New Roman" w:cs="Times New Roman" w:eastAsia="Times New Roman" w:hAnsi="Times New Roman"/>
          <w:sz w:val="14"/>
          <w:szCs w:val="14"/>
          <w:color w:val="auto"/>
        </w:rPr>
        <w:t>We may issue rights to purchase our equity or debt securities described in this prospectus. We may offer rights separately or together with one or more securities offered hereby and may or may not be transferable by the shareholder receiving the rights in such offering, as described in the applicable prospectus supplement. In connection with any offering of rights, we may enter into a standby agreement with one or more underwriters or other purchasers pursuant to which the underwriter or other purchasers may be required to purchase any securities remaining unsubscribed for after such offering.</w:t>
      </w:r>
    </w:p>
    <w:p>
      <w:pPr>
        <w:spacing w:after="0" w:line="146" w:lineRule="exact"/>
        <w:rPr>
          <w:sz w:val="20"/>
          <w:szCs w:val="20"/>
          <w:color w:val="auto"/>
        </w:rPr>
      </w:pPr>
    </w:p>
    <w:p>
      <w:pPr>
        <w:ind w:left="1500" w:right="479" w:firstLine="331"/>
        <w:spacing w:after="0" w:line="262" w:lineRule="auto"/>
        <w:rPr>
          <w:sz w:val="20"/>
          <w:szCs w:val="20"/>
          <w:color w:val="auto"/>
        </w:rPr>
      </w:pPr>
      <w:r>
        <w:rPr>
          <w:rFonts w:ascii="Times New Roman" w:cs="Times New Roman" w:eastAsia="Times New Roman" w:hAnsi="Times New Roman"/>
          <w:sz w:val="14"/>
          <w:szCs w:val="14"/>
          <w:color w:val="auto"/>
        </w:rPr>
        <w:t>We will describe in the applicable prospectus supplement the specific terms of any offering of rights for which this prospectus is being delivered, including the following:</w:t>
      </w:r>
    </w:p>
    <w:p>
      <w:pPr>
        <w:spacing w:after="0" w:line="65" w:lineRule="exact"/>
        <w:rPr>
          <w:sz w:val="20"/>
          <w:szCs w:val="20"/>
          <w:color w:val="auto"/>
        </w:rPr>
      </w:pPr>
    </w:p>
    <w:p>
      <w:pPr>
        <w:ind w:left="2240" w:hanging="331"/>
        <w:spacing w:after="0"/>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rights;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our equity or debt securities upon the exercise of the rights;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rights issued to each shareholder;</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our equity or debt securities that may be purchased per each right;</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are transferable;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rights, including the terms, procedures and limitations relating to the exchange and exercise of the rights;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rights shall commence, and the date on which the rights shall expire;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may include an over-subscription privilege with respect to unsubscribed securities; and</w:t>
      </w:r>
    </w:p>
    <w:p>
      <w:pPr>
        <w:spacing w:after="0" w:line="92" w:lineRule="exact"/>
        <w:rPr>
          <w:rFonts w:ascii="Times New Roman" w:cs="Times New Roman" w:eastAsia="Times New Roman" w:hAnsi="Times New Roman"/>
          <w:sz w:val="14"/>
          <w:szCs w:val="14"/>
          <w:color w:val="auto"/>
        </w:rPr>
      </w:pPr>
    </w:p>
    <w:p>
      <w:pPr>
        <w:ind w:left="2240" w:right="419" w:hanging="331"/>
        <w:spacing w:after="0" w:line="262" w:lineRule="auto"/>
        <w:tabs>
          <w:tab w:leader="none" w:pos="22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entered into by us in connection with the offering of rights.</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Rights Agent</w:t>
      </w:r>
    </w:p>
    <w:p>
      <w:pPr>
        <w:spacing w:after="0" w:line="8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rights agent, if any, for any rights we offer will be set forth in the applicable prospectus supplement.</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7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68" w:lineRule="exact"/>
        <w:rPr>
          <w:sz w:val="20"/>
          <w:szCs w:val="20"/>
          <w:color w:val="auto"/>
        </w:rPr>
      </w:pPr>
    </w:p>
    <w:p>
      <w:pPr>
        <w:ind w:left="1500" w:right="459" w:firstLine="331"/>
        <w:spacing w:after="0" w:line="248"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that we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47" w:lineRule="exact"/>
        <w:rPr>
          <w:sz w:val="20"/>
          <w:szCs w:val="20"/>
          <w:color w:val="auto"/>
        </w:rPr>
      </w:pPr>
    </w:p>
    <w:p>
      <w:pPr>
        <w:ind w:left="1500" w:right="479" w:firstLine="331"/>
        <w:spacing w:after="0" w:line="246" w:lineRule="auto"/>
        <w:rPr>
          <w:sz w:val="20"/>
          <w:szCs w:val="20"/>
          <w:color w:val="auto"/>
        </w:rPr>
      </w:pPr>
      <w:r>
        <w:rPr>
          <w:rFonts w:ascii="Times New Roman" w:cs="Times New Roman" w:eastAsia="Times New Roman" w:hAnsi="Times New Roman"/>
          <w:sz w:val="14"/>
          <w:szCs w:val="14"/>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related to the particular series of units that we may offer under this prospectus, as well as any related free writing prospectuses and the complete unit agreement and any supplemental agreements that contain the terms of the units.</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87" w:lineRule="exact"/>
        <w:rPr>
          <w:sz w:val="20"/>
          <w:szCs w:val="20"/>
          <w:color w:val="auto"/>
        </w:rPr>
      </w:pPr>
    </w:p>
    <w:p>
      <w:pPr>
        <w:ind w:left="1500" w:right="479" w:firstLine="331"/>
        <w:spacing w:after="0" w:line="247" w:lineRule="auto"/>
        <w:rPr>
          <w:sz w:val="20"/>
          <w:szCs w:val="20"/>
          <w:color w:val="auto"/>
        </w:rPr>
      </w:pPr>
      <w:r>
        <w:rPr>
          <w:rFonts w:ascii="Times New Roman" w:cs="Times New Roman" w:eastAsia="Times New Roman" w:hAnsi="Times New Roman"/>
          <w:sz w:val="14"/>
          <w:szCs w:val="14"/>
          <w:color w:val="auto"/>
        </w:rPr>
        <w:t>We may issue units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4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units being offered, including:</w:t>
      </w:r>
    </w:p>
    <w:p>
      <w:pPr>
        <w:spacing w:after="0" w:line="93" w:lineRule="exact"/>
        <w:rPr>
          <w:sz w:val="20"/>
          <w:szCs w:val="20"/>
          <w:color w:val="auto"/>
        </w:rPr>
      </w:pPr>
    </w:p>
    <w:p>
      <w:pPr>
        <w:ind w:left="2240" w:right="599" w:hanging="331"/>
        <w:spacing w:after="0" w:line="262" w:lineRule="auto"/>
        <w:tabs>
          <w:tab w:leader="none" w:pos="2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 that differ from those described below;</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material U.S. federal income tax considerations and material U.K. tax considerations relevant to the units; and</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w:t>
      </w:r>
    </w:p>
    <w:p>
      <w:pPr>
        <w:spacing w:after="0" w:line="164" w:lineRule="exact"/>
        <w:rPr>
          <w:sz w:val="20"/>
          <w:szCs w:val="20"/>
          <w:color w:val="auto"/>
        </w:rPr>
      </w:pPr>
    </w:p>
    <w:p>
      <w:pPr>
        <w:ind w:left="1500" w:right="699" w:firstLine="331"/>
        <w:spacing w:after="0" w:line="252" w:lineRule="auto"/>
        <w:rPr>
          <w:sz w:val="20"/>
          <w:szCs w:val="20"/>
          <w:color w:val="auto"/>
        </w:rPr>
      </w:pPr>
      <w:r>
        <w:rPr>
          <w:rFonts w:ascii="Times New Roman" w:cs="Times New Roman" w:eastAsia="Times New Roman" w:hAnsi="Times New Roman"/>
          <w:sz w:val="14"/>
          <w:szCs w:val="14"/>
          <w:color w:val="auto"/>
        </w:rPr>
        <w:t>The provisions described in this section, as well as those set forth in any prospectus supplement or as described under the sections entitled “Description of Capital Stock,” “Description of Debt Securities,” “Description of Warrants” and “Description of Rights” will apply to each unit, as applicable, and to any shares of capital stock, debt security, warrant or right included in each unit, as applicable.</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Unit Agent</w:t>
      </w:r>
    </w:p>
    <w:p>
      <w:pPr>
        <w:spacing w:after="0" w:line="8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name and address of the unit agent, if any, for any units we offer will be set forth in the applicable prospectus supplement.</w:t>
      </w:r>
    </w:p>
    <w:p>
      <w:pPr>
        <w:spacing w:after="0" w:line="2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Issuance in Series</w:t>
      </w:r>
    </w:p>
    <w:p>
      <w:pPr>
        <w:spacing w:after="0" w:line="8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We may issue units in such amounts and in such numerous distinct series as we determine.</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7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Units</w:t>
      </w:r>
    </w:p>
    <w:p>
      <w:pPr>
        <w:spacing w:after="0" w:line="87" w:lineRule="exact"/>
        <w:rPr>
          <w:sz w:val="20"/>
          <w:szCs w:val="20"/>
          <w:color w:val="auto"/>
        </w:rPr>
      </w:pPr>
    </w:p>
    <w:p>
      <w:pPr>
        <w:ind w:left="1500" w:right="439" w:firstLine="331"/>
        <w:spacing w:after="0" w:line="247" w:lineRule="auto"/>
        <w:rPr>
          <w:sz w:val="20"/>
          <w:szCs w:val="20"/>
          <w:color w:val="auto"/>
        </w:rPr>
      </w:pPr>
      <w:r>
        <w:rPr>
          <w:rFonts w:ascii="Times New Roman" w:cs="Times New Roman" w:eastAsia="Times New Roman" w:hAnsi="Times New Roman"/>
          <w:sz w:val="14"/>
          <w:szCs w:val="14"/>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7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OWNERSHIP OF SECURITIES</w:t>
      </w:r>
    </w:p>
    <w:p>
      <w:pPr>
        <w:spacing w:after="0" w:line="168" w:lineRule="exact"/>
        <w:rPr>
          <w:sz w:val="20"/>
          <w:szCs w:val="20"/>
          <w:color w:val="auto"/>
        </w:rPr>
      </w:pPr>
    </w:p>
    <w:p>
      <w:pPr>
        <w:ind w:left="1500" w:right="399" w:firstLine="331"/>
        <w:spacing w:after="0" w:line="298" w:lineRule="auto"/>
        <w:rPr>
          <w:sz w:val="20"/>
          <w:szCs w:val="20"/>
          <w:color w:val="auto"/>
        </w:rPr>
      </w:pPr>
      <w:r>
        <w:rPr>
          <w:rFonts w:ascii="Times New Roman" w:cs="Times New Roman" w:eastAsia="Times New Roman" w:hAnsi="Times New Roman"/>
          <w:sz w:val="12"/>
          <w:szCs w:val="12"/>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9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Book-Entry Holders</w:t>
      </w:r>
    </w:p>
    <w:p>
      <w:pPr>
        <w:spacing w:after="0" w:line="87" w:lineRule="exact"/>
        <w:rPr>
          <w:sz w:val="20"/>
          <w:szCs w:val="20"/>
          <w:color w:val="auto"/>
        </w:rPr>
      </w:pPr>
    </w:p>
    <w:p>
      <w:pPr>
        <w:ind w:left="1500" w:right="579" w:firstLine="331"/>
        <w:spacing w:after="0" w:line="248" w:lineRule="auto"/>
        <w:rPr>
          <w:sz w:val="20"/>
          <w:szCs w:val="20"/>
          <w:color w:val="auto"/>
        </w:rPr>
      </w:pPr>
      <w:r>
        <w:rPr>
          <w:rFonts w:ascii="Times New Roman" w:cs="Times New Roman" w:eastAsia="Times New Roman" w:hAnsi="Times New Roman"/>
          <w:sz w:val="14"/>
          <w:szCs w:val="14"/>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47" w:lineRule="exact"/>
        <w:rPr>
          <w:sz w:val="20"/>
          <w:szCs w:val="20"/>
          <w:color w:val="auto"/>
        </w:rPr>
      </w:pPr>
    </w:p>
    <w:p>
      <w:pPr>
        <w:ind w:left="1500" w:right="399" w:firstLine="331"/>
        <w:spacing w:after="0" w:line="298" w:lineRule="auto"/>
        <w:rPr>
          <w:sz w:val="20"/>
          <w:szCs w:val="20"/>
          <w:color w:val="auto"/>
        </w:rPr>
      </w:pPr>
      <w:r>
        <w:rPr>
          <w:rFonts w:ascii="Times New Roman" w:cs="Times New Roman" w:eastAsia="Times New Roman" w:hAnsi="Times New Roman"/>
          <w:sz w:val="12"/>
          <w:szCs w:val="12"/>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18" w:lineRule="exact"/>
        <w:rPr>
          <w:sz w:val="20"/>
          <w:szCs w:val="20"/>
          <w:color w:val="auto"/>
        </w:rPr>
      </w:pPr>
    </w:p>
    <w:p>
      <w:pPr>
        <w:ind w:left="1500" w:right="479" w:firstLine="331"/>
        <w:spacing w:after="0" w:line="252" w:lineRule="auto"/>
        <w:rPr>
          <w:sz w:val="20"/>
          <w:szCs w:val="20"/>
          <w:color w:val="auto"/>
        </w:rPr>
      </w:pPr>
      <w:r>
        <w:rPr>
          <w:rFonts w:ascii="Times New Roman" w:cs="Times New Roman" w:eastAsia="Times New Roman" w:hAnsi="Times New Roman"/>
          <w:sz w:val="14"/>
          <w:szCs w:val="14"/>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Street Name Holders</w:t>
      </w:r>
    </w:p>
    <w:p>
      <w:pPr>
        <w:spacing w:after="0" w:line="87" w:lineRule="exact"/>
        <w:rPr>
          <w:sz w:val="20"/>
          <w:szCs w:val="20"/>
          <w:color w:val="auto"/>
        </w:rPr>
      </w:pPr>
    </w:p>
    <w:p>
      <w:pPr>
        <w:ind w:left="1500" w:right="379" w:firstLine="331"/>
        <w:spacing w:after="0" w:line="248" w:lineRule="auto"/>
        <w:rPr>
          <w:sz w:val="20"/>
          <w:szCs w:val="20"/>
          <w:color w:val="auto"/>
        </w:rPr>
      </w:pPr>
      <w:r>
        <w:rPr>
          <w:rFonts w:ascii="Times New Roman" w:cs="Times New Roman" w:eastAsia="Times New Roman" w:hAnsi="Times New Roman"/>
          <w:sz w:val="14"/>
          <w:szCs w:val="14"/>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47" w:lineRule="exact"/>
        <w:rPr>
          <w:sz w:val="20"/>
          <w:szCs w:val="20"/>
          <w:color w:val="auto"/>
        </w:rPr>
      </w:pPr>
    </w:p>
    <w:p>
      <w:pPr>
        <w:ind w:left="1500" w:right="539" w:firstLine="331"/>
        <w:spacing w:after="0" w:line="303" w:lineRule="auto"/>
        <w:rPr>
          <w:sz w:val="20"/>
          <w:szCs w:val="20"/>
          <w:color w:val="auto"/>
        </w:rPr>
      </w:pPr>
      <w:r>
        <w:rPr>
          <w:rFonts w:ascii="Times New Roman" w:cs="Times New Roman" w:eastAsia="Times New Roman" w:hAnsi="Times New Roman"/>
          <w:sz w:val="12"/>
          <w:szCs w:val="12"/>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Legal Holders</w:t>
      </w:r>
    </w:p>
    <w:p>
      <w:pPr>
        <w:spacing w:after="0" w:line="87" w:lineRule="exact"/>
        <w:rPr>
          <w:sz w:val="20"/>
          <w:szCs w:val="20"/>
          <w:color w:val="auto"/>
        </w:rPr>
      </w:pPr>
    </w:p>
    <w:p>
      <w:pPr>
        <w:ind w:left="1500" w:right="379" w:firstLine="331"/>
        <w:spacing w:after="0" w:line="248" w:lineRule="auto"/>
        <w:rPr>
          <w:sz w:val="20"/>
          <w:szCs w:val="20"/>
          <w:color w:val="auto"/>
        </w:rPr>
      </w:pPr>
      <w:r>
        <w:rPr>
          <w:rFonts w:ascii="Times New Roman" w:cs="Times New Roman" w:eastAsia="Times New Roman" w:hAnsi="Times New Roman"/>
          <w:sz w:val="14"/>
          <w:szCs w:val="14"/>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7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right="399" w:firstLine="331"/>
        <w:spacing w:after="0" w:line="247" w:lineRule="auto"/>
        <w:rPr>
          <w:sz w:val="20"/>
          <w:szCs w:val="20"/>
          <w:color w:val="auto"/>
        </w:rPr>
      </w:pPr>
      <w:r>
        <w:rPr>
          <w:rFonts w:ascii="Times New Roman" w:cs="Times New Roman" w:eastAsia="Times New Roman" w:hAnsi="Times New Roman"/>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Special Considerations for Indirect Holders</w:t>
      </w:r>
    </w:p>
    <w:p>
      <w:pPr>
        <w:spacing w:after="0" w:line="87" w:lineRule="exact"/>
        <w:rPr>
          <w:sz w:val="20"/>
          <w:szCs w:val="20"/>
          <w:color w:val="auto"/>
        </w:rPr>
      </w:pPr>
    </w:p>
    <w:p>
      <w:pPr>
        <w:ind w:left="1500" w:right="419" w:firstLine="331"/>
        <w:spacing w:after="0" w:line="262" w:lineRule="auto"/>
        <w:rPr>
          <w:sz w:val="20"/>
          <w:szCs w:val="20"/>
          <w:color w:val="auto"/>
        </w:rPr>
      </w:pPr>
      <w:r>
        <w:rPr>
          <w:rFonts w:ascii="Times New Roman" w:cs="Times New Roman" w:eastAsia="Times New Roman" w:hAnsi="Times New Roman"/>
          <w:sz w:val="14"/>
          <w:szCs w:val="14"/>
          <w:color w:val="auto"/>
        </w:rPr>
        <w:t>If you hold securities through a bank, broker or other financial institution, either in book-entry form or in street name, you should check with your own institution to find out:</w:t>
      </w:r>
    </w:p>
    <w:p>
      <w:pPr>
        <w:spacing w:after="0" w:line="65" w:lineRule="exact"/>
        <w:rPr>
          <w:sz w:val="20"/>
          <w:szCs w:val="20"/>
          <w:color w:val="auto"/>
        </w:rPr>
      </w:pPr>
    </w:p>
    <w:p>
      <w:pPr>
        <w:ind w:left="2240" w:hanging="331"/>
        <w:spacing w:after="0"/>
        <w:tabs>
          <w:tab w:leader="none" w:pos="2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third-party service providers;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handles securities payments and notices;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it imposes fees or charges;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handle a request for the holders’ consent, if ever required;</w:t>
      </w:r>
    </w:p>
    <w:p>
      <w:pPr>
        <w:spacing w:after="0" w:line="92" w:lineRule="exact"/>
        <w:rPr>
          <w:rFonts w:ascii="Times New Roman" w:cs="Times New Roman" w:eastAsia="Times New Roman" w:hAnsi="Times New Roman"/>
          <w:sz w:val="14"/>
          <w:szCs w:val="14"/>
          <w:color w:val="auto"/>
        </w:rPr>
      </w:pPr>
    </w:p>
    <w:p>
      <w:pPr>
        <w:ind w:left="2240" w:right="559" w:hanging="331"/>
        <w:spacing w:after="0" w:line="262" w:lineRule="auto"/>
        <w:tabs>
          <w:tab w:leader="none" w:pos="2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how you can instruct it to send you securities registered in your own name so you can be a holder, if that is permitted in the future;</w:t>
      </w:r>
    </w:p>
    <w:p>
      <w:pPr>
        <w:spacing w:after="0" w:line="64" w:lineRule="exact"/>
        <w:rPr>
          <w:rFonts w:ascii="Times New Roman" w:cs="Times New Roman" w:eastAsia="Times New Roman" w:hAnsi="Times New Roman"/>
          <w:sz w:val="14"/>
          <w:szCs w:val="14"/>
          <w:color w:val="auto"/>
        </w:rPr>
      </w:pPr>
    </w:p>
    <w:p>
      <w:pPr>
        <w:ind w:left="2240" w:right="459" w:hanging="331"/>
        <w:spacing w:after="0" w:line="262" w:lineRule="auto"/>
        <w:tabs>
          <w:tab w:leader="none" w:pos="2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 it would exercise rights under the securities if there were a default or other event triggering the need for holders to act to protect their interests; and</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securities are in book-entry form, how the depositary’s rules and procedures will affect these matters.</w:t>
      </w:r>
    </w:p>
    <w:p>
      <w:pPr>
        <w:spacing w:after="0" w:line="2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87" w:lineRule="exact"/>
        <w:rPr>
          <w:sz w:val="20"/>
          <w:szCs w:val="20"/>
          <w:color w:val="auto"/>
        </w:rPr>
      </w:pPr>
    </w:p>
    <w:p>
      <w:pPr>
        <w:ind w:left="1500" w:right="799" w:firstLine="331"/>
        <w:spacing w:after="0" w:line="262" w:lineRule="auto"/>
        <w:rPr>
          <w:sz w:val="20"/>
          <w:szCs w:val="20"/>
          <w:color w:val="auto"/>
        </w:rPr>
      </w:pPr>
      <w:r>
        <w:rPr>
          <w:rFonts w:ascii="Times New Roman" w:cs="Times New Roman" w:eastAsia="Times New Roman" w:hAnsi="Times New Roman"/>
          <w:sz w:val="14"/>
          <w:szCs w:val="14"/>
          <w:color w:val="auto"/>
        </w:rPr>
        <w:t>A global security is a security that represents one or any other number of individual securities held by a depositary. Generally, all securities represented by the same global securities will have the same terms.</w:t>
      </w:r>
    </w:p>
    <w:p>
      <w:pPr>
        <w:spacing w:after="0" w:line="136" w:lineRule="exact"/>
        <w:rPr>
          <w:sz w:val="20"/>
          <w:szCs w:val="20"/>
          <w:color w:val="auto"/>
        </w:rPr>
      </w:pPr>
    </w:p>
    <w:p>
      <w:pPr>
        <w:ind w:left="1500" w:right="499" w:firstLine="331"/>
        <w:spacing w:after="0" w:line="252" w:lineRule="auto"/>
        <w:rPr>
          <w:sz w:val="20"/>
          <w:szCs w:val="20"/>
          <w:color w:val="auto"/>
        </w:rPr>
      </w:pPr>
      <w:r>
        <w:rPr>
          <w:rFonts w:ascii="Times New Roman" w:cs="Times New Roman" w:eastAsia="Times New Roman" w:hAnsi="Times New Roman"/>
          <w:sz w:val="14"/>
          <w:szCs w:val="14"/>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42" w:lineRule="exact"/>
        <w:rPr>
          <w:sz w:val="20"/>
          <w:szCs w:val="20"/>
          <w:color w:val="auto"/>
        </w:rPr>
      </w:pPr>
    </w:p>
    <w:p>
      <w:pPr>
        <w:ind w:left="1500" w:right="399" w:firstLine="331"/>
        <w:spacing w:after="0" w:line="245" w:lineRule="auto"/>
        <w:rPr>
          <w:sz w:val="20"/>
          <w:szCs w:val="20"/>
          <w:color w:val="auto"/>
        </w:rPr>
      </w:pPr>
      <w:r>
        <w:rPr>
          <w:rFonts w:ascii="Times New Roman" w:cs="Times New Roman" w:eastAsia="Times New Roman" w:hAnsi="Times New Roman"/>
          <w:sz w:val="14"/>
          <w:szCs w:val="14"/>
          <w:color w:val="auto"/>
        </w:rPr>
        <w:t>A global security may not be transferred to or registered in the name of anyone other than the depositary, its nominee or a successor depositary, unless special termination situations arise. We describe those situations below under the section titled “</w:t>
      </w:r>
      <w:r>
        <w:rPr>
          <w:rFonts w:ascii="Times New Roman" w:cs="Times New Roman" w:eastAsia="Times New Roman" w:hAnsi="Times New Roman"/>
          <w:sz w:val="14"/>
          <w:szCs w:val="14"/>
          <w:i w:val="1"/>
          <w:iCs w:val="1"/>
          <w:color w:val="auto"/>
        </w:rPr>
        <w:t>—Special Situations When a Global Security Will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 Terminated</w:t>
      </w:r>
      <w:r>
        <w:rPr>
          <w:rFonts w:ascii="Times New Roman" w:cs="Times New Roman" w:eastAsia="Times New Roman" w:hAnsi="Times New Roman"/>
          <w:sz w:val="14"/>
          <w:szCs w:val="14"/>
          <w:color w:val="auto"/>
        </w:rPr>
        <w:t>” in this prospectus. As a result of these arrangements, the depositary, or its nominee, will be the sole registered owner and holder of all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49" w:lineRule="exact"/>
        <w:rPr>
          <w:sz w:val="20"/>
          <w:szCs w:val="20"/>
          <w:color w:val="auto"/>
        </w:rPr>
      </w:pPr>
    </w:p>
    <w:p>
      <w:pPr>
        <w:ind w:left="1500" w:right="459" w:firstLine="331"/>
        <w:spacing w:after="0" w:line="252" w:lineRule="auto"/>
        <w:rPr>
          <w:sz w:val="20"/>
          <w:szCs w:val="20"/>
          <w:color w:val="auto"/>
        </w:rPr>
      </w:pPr>
      <w:r>
        <w:rPr>
          <w:rFonts w:ascii="Times New Roman" w:cs="Times New Roman" w:eastAsia="Times New Roman" w:hAnsi="Times New Roman"/>
          <w:sz w:val="14"/>
          <w:szCs w:val="14"/>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7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Special Considerations for Global Securities</w:t>
      </w:r>
    </w:p>
    <w:p>
      <w:pPr>
        <w:spacing w:after="0" w:line="87" w:lineRule="exact"/>
        <w:rPr>
          <w:sz w:val="20"/>
          <w:szCs w:val="20"/>
          <w:color w:val="auto"/>
        </w:rPr>
      </w:pPr>
    </w:p>
    <w:p>
      <w:pPr>
        <w:jc w:val="both"/>
        <w:ind w:left="1500" w:right="479" w:firstLine="331"/>
        <w:spacing w:after="0" w:line="252" w:lineRule="auto"/>
        <w:rPr>
          <w:sz w:val="20"/>
          <w:szCs w:val="20"/>
          <w:color w:val="auto"/>
        </w:rPr>
      </w:pPr>
      <w:r>
        <w:rPr>
          <w:rFonts w:ascii="Times New Roman" w:cs="Times New Roman" w:eastAsia="Times New Roman" w:hAnsi="Times New Roman"/>
          <w:sz w:val="14"/>
          <w:szCs w:val="14"/>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4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If securities are issued only in the form of a global security, an investor should be aware of the following:</w:t>
      </w:r>
    </w:p>
    <w:p>
      <w:pPr>
        <w:spacing w:after="0" w:line="93" w:lineRule="exact"/>
        <w:rPr>
          <w:sz w:val="20"/>
          <w:szCs w:val="20"/>
          <w:color w:val="auto"/>
        </w:rPr>
      </w:pPr>
    </w:p>
    <w:p>
      <w:pPr>
        <w:ind w:left="2240" w:right="399" w:hanging="331"/>
        <w:spacing w:after="0" w:line="262" w:lineRule="auto"/>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cannot cause the securities to be registered in his or her name, and cannot obtain non-global certificates for his or her interest in the securities, except in the special situations we describe below;</w:t>
      </w:r>
    </w:p>
    <w:p>
      <w:pPr>
        <w:spacing w:after="0" w:line="64" w:lineRule="exact"/>
        <w:rPr>
          <w:rFonts w:ascii="Times New Roman" w:cs="Times New Roman" w:eastAsia="Times New Roman" w:hAnsi="Times New Roman"/>
          <w:sz w:val="14"/>
          <w:szCs w:val="14"/>
          <w:color w:val="auto"/>
        </w:rPr>
      </w:pPr>
    </w:p>
    <w:p>
      <w:pPr>
        <w:ind w:left="2240" w:right="399" w:hanging="331"/>
        <w:spacing w:after="0" w:line="262" w:lineRule="auto"/>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will be an indirect holder and must look to his or her own bank or broker for payments on the securities and protection of his or her legal rights relating to the securities, as we describe above;</w:t>
      </w:r>
    </w:p>
    <w:p>
      <w:pPr>
        <w:spacing w:after="0" w:line="64" w:lineRule="exact"/>
        <w:rPr>
          <w:rFonts w:ascii="Times New Roman" w:cs="Times New Roman" w:eastAsia="Times New Roman" w:hAnsi="Times New Roman"/>
          <w:sz w:val="14"/>
          <w:szCs w:val="14"/>
          <w:color w:val="auto"/>
        </w:rPr>
      </w:pPr>
    </w:p>
    <w:p>
      <w:pPr>
        <w:ind w:left="2240" w:right="459" w:hanging="331"/>
        <w:spacing w:after="0" w:line="262" w:lineRule="auto"/>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sell interests in the securities to some insurance companies and to other institutions that are required by law to own their securities in non-book-entry form;</w:t>
      </w:r>
    </w:p>
    <w:p>
      <w:pPr>
        <w:spacing w:after="0" w:line="64" w:lineRule="exact"/>
        <w:rPr>
          <w:rFonts w:ascii="Times New Roman" w:cs="Times New Roman" w:eastAsia="Times New Roman" w:hAnsi="Times New Roman"/>
          <w:sz w:val="14"/>
          <w:szCs w:val="14"/>
          <w:color w:val="auto"/>
        </w:rPr>
      </w:pPr>
    </w:p>
    <w:p>
      <w:pPr>
        <w:ind w:left="2240" w:right="479" w:hanging="331"/>
        <w:spacing w:after="0" w:line="262" w:lineRule="auto"/>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4" w:lineRule="exact"/>
        <w:rPr>
          <w:rFonts w:ascii="Times New Roman" w:cs="Times New Roman" w:eastAsia="Times New Roman" w:hAnsi="Times New Roman"/>
          <w:sz w:val="14"/>
          <w:szCs w:val="14"/>
          <w:color w:val="auto"/>
        </w:rPr>
      </w:pPr>
    </w:p>
    <w:p>
      <w:pPr>
        <w:ind w:left="2240" w:right="419" w:hanging="331"/>
        <w:spacing w:after="0" w:line="262" w:lineRule="auto"/>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depositary’s policies, which may change from time to time, will govern payments, transfers, exchanges and other matters relating to an investor’s interest in a global security;</w:t>
      </w:r>
    </w:p>
    <w:p>
      <w:pPr>
        <w:spacing w:after="0" w:line="64" w:lineRule="exact"/>
        <w:rPr>
          <w:rFonts w:ascii="Times New Roman" w:cs="Times New Roman" w:eastAsia="Times New Roman" w:hAnsi="Times New Roman"/>
          <w:sz w:val="14"/>
          <w:szCs w:val="14"/>
          <w:color w:val="auto"/>
        </w:rPr>
      </w:pPr>
    </w:p>
    <w:p>
      <w:pPr>
        <w:ind w:left="2240" w:right="459" w:hanging="331"/>
        <w:spacing w:after="0" w:line="262" w:lineRule="auto"/>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4" w:lineRule="exact"/>
        <w:rPr>
          <w:rFonts w:ascii="Times New Roman" w:cs="Times New Roman" w:eastAsia="Times New Roman" w:hAnsi="Times New Roman"/>
          <w:sz w:val="14"/>
          <w:szCs w:val="14"/>
          <w:color w:val="auto"/>
        </w:rPr>
      </w:pPr>
    </w:p>
    <w:p>
      <w:pPr>
        <w:ind w:left="2240" w:right="699" w:hanging="331"/>
        <w:spacing w:after="0" w:line="262" w:lineRule="auto"/>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4" w:lineRule="exact"/>
        <w:rPr>
          <w:rFonts w:ascii="Times New Roman" w:cs="Times New Roman" w:eastAsia="Times New Roman" w:hAnsi="Times New Roman"/>
          <w:sz w:val="14"/>
          <w:szCs w:val="14"/>
          <w:color w:val="auto"/>
        </w:rPr>
      </w:pPr>
    </w:p>
    <w:p>
      <w:pPr>
        <w:ind w:left="2240" w:right="679" w:hanging="331"/>
        <w:spacing w:after="0" w:line="262" w:lineRule="auto"/>
        <w:tabs>
          <w:tab w:leader="none" w:pos="22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36" w:lineRule="exact"/>
        <w:rPr>
          <w:sz w:val="20"/>
          <w:szCs w:val="20"/>
          <w:color w:val="auto"/>
        </w:rPr>
      </w:pPr>
    </w:p>
    <w:p>
      <w:pPr>
        <w:ind w:left="1500" w:right="559" w:firstLine="331"/>
        <w:spacing w:after="0" w:line="262" w:lineRule="auto"/>
        <w:rPr>
          <w:sz w:val="20"/>
          <w:szCs w:val="20"/>
          <w:color w:val="auto"/>
        </w:rPr>
      </w:pPr>
      <w:r>
        <w:rPr>
          <w:rFonts w:ascii="Times New Roman" w:cs="Times New Roman" w:eastAsia="Times New Roman" w:hAnsi="Times New Roman"/>
          <w:sz w:val="14"/>
          <w:szCs w:val="14"/>
          <w:color w:val="auto"/>
        </w:rPr>
        <w:t>There may be more than one financial intermediary in the chain of ownership for an investor. We do not monitor and are not responsible for the actions of any of those intermediaries.</w:t>
      </w:r>
    </w:p>
    <w:p>
      <w:pPr>
        <w:spacing w:after="0" w:line="21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Special Situations When a Global Security Will Be Terminated</w:t>
      </w:r>
    </w:p>
    <w:p>
      <w:pPr>
        <w:spacing w:after="0" w:line="87" w:lineRule="exact"/>
        <w:rPr>
          <w:sz w:val="20"/>
          <w:szCs w:val="20"/>
          <w:color w:val="auto"/>
        </w:rPr>
      </w:pPr>
    </w:p>
    <w:p>
      <w:pPr>
        <w:ind w:left="1500" w:right="539" w:firstLine="331"/>
        <w:spacing w:after="0" w:line="248" w:lineRule="auto"/>
        <w:rPr>
          <w:sz w:val="20"/>
          <w:szCs w:val="20"/>
          <w:color w:val="auto"/>
        </w:rPr>
      </w:pPr>
      <w:r>
        <w:rPr>
          <w:rFonts w:ascii="Times New Roman" w:cs="Times New Roman" w:eastAsia="Times New Roman" w:hAnsi="Times New Roman"/>
          <w:sz w:val="14"/>
          <w:szCs w:val="14"/>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47" w:lineRule="exact"/>
        <w:rPr>
          <w:sz w:val="20"/>
          <w:szCs w:val="20"/>
          <w:color w:val="auto"/>
        </w:rPr>
      </w:pPr>
    </w:p>
    <w:p>
      <w:pPr>
        <w:ind w:left="1500" w:right="659" w:firstLine="331"/>
        <w:spacing w:after="0" w:line="262" w:lineRule="auto"/>
        <w:rPr>
          <w:sz w:val="20"/>
          <w:szCs w:val="20"/>
          <w:color w:val="auto"/>
        </w:rPr>
      </w:pPr>
      <w:r>
        <w:rPr>
          <w:rFonts w:ascii="Times New Roman" w:cs="Times New Roman" w:eastAsia="Times New Roman" w:hAnsi="Times New Roman"/>
          <w:sz w:val="14"/>
          <w:szCs w:val="14"/>
          <w:color w:val="auto"/>
        </w:rPr>
        <w:t>Unless we provide otherwise in the applicable prospectus supplement, the global security will terminate when the following special situations occur:</w:t>
      </w:r>
    </w:p>
    <w:p>
      <w:pPr>
        <w:spacing w:after="0" w:line="65" w:lineRule="exact"/>
        <w:rPr>
          <w:sz w:val="20"/>
          <w:szCs w:val="20"/>
          <w:color w:val="auto"/>
        </w:rPr>
      </w:pPr>
    </w:p>
    <w:p>
      <w:pPr>
        <w:ind w:left="2240" w:right="559" w:hanging="331"/>
        <w:spacing w:after="0" w:line="262" w:lineRule="auto"/>
        <w:tabs>
          <w:tab w:leader="none" w:pos="2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depositary notifies us that it is unwilling, unable or no longer qualified to continue as depositary for that global security and we do not appoint another institution to act as depositary within 90 days;</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notify any applicable trustee that we wish to terminate that global security; or</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with regard to securities represented by that global security and has not been cured or waived.</w:t>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7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right="519" w:firstLine="331"/>
        <w:spacing w:after="0" w:line="252" w:lineRule="auto"/>
        <w:rPr>
          <w:sz w:val="20"/>
          <w:szCs w:val="20"/>
          <w:color w:val="auto"/>
        </w:rPr>
      </w:pPr>
      <w:r>
        <w:rPr>
          <w:rFonts w:ascii="Times New Roman" w:cs="Times New Roman" w:eastAsia="Times New Roman" w:hAnsi="Times New Roman"/>
          <w:sz w:val="14"/>
          <w:szCs w:val="14"/>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7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68" w:lineRule="exact"/>
        <w:rPr>
          <w:sz w:val="20"/>
          <w:szCs w:val="20"/>
          <w:color w:val="auto"/>
        </w:rPr>
      </w:pPr>
    </w:p>
    <w:p>
      <w:pPr>
        <w:ind w:left="1500" w:right="559" w:firstLine="331"/>
        <w:spacing w:after="0" w:line="248" w:lineRule="auto"/>
        <w:rPr>
          <w:sz w:val="20"/>
          <w:szCs w:val="20"/>
          <w:color w:val="auto"/>
        </w:rPr>
      </w:pPr>
      <w:r>
        <w:rPr>
          <w:rFonts w:ascii="Times New Roman" w:cs="Times New Roman" w:eastAsia="Times New Roman" w:hAnsi="Times New Roman"/>
          <w:sz w:val="14"/>
          <w:szCs w:val="14"/>
          <w:color w:val="auto"/>
        </w:rPr>
        <w:t>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75" w:lineRule="exact"/>
        <w:rPr>
          <w:sz w:val="20"/>
          <w:szCs w:val="20"/>
          <w:color w:val="auto"/>
        </w:rPr>
      </w:pPr>
    </w:p>
    <w:p>
      <w:pPr>
        <w:ind w:left="2240" w:hanging="331"/>
        <w:spacing w:after="0"/>
        <w:tabs>
          <w:tab w:leader="none" w:pos="2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64" w:lineRule="exact"/>
        <w:rPr>
          <w:sz w:val="20"/>
          <w:szCs w:val="20"/>
          <w:color w:val="auto"/>
        </w:rPr>
      </w:pPr>
    </w:p>
    <w:p>
      <w:pPr>
        <w:ind w:left="1500" w:right="459" w:firstLine="331"/>
        <w:spacing w:after="0" w:line="248" w:lineRule="auto"/>
        <w:rPr>
          <w:sz w:val="20"/>
          <w:szCs w:val="20"/>
          <w:color w:val="auto"/>
        </w:rPr>
      </w:pPr>
      <w:r>
        <w:rPr>
          <w:rFonts w:ascii="Times New Roman" w:cs="Times New Roman" w:eastAsia="Times New Roman" w:hAnsi="Times New Roman"/>
          <w:sz w:val="14"/>
          <w:szCs w:val="14"/>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75" w:lineRule="exact"/>
        <w:rPr>
          <w:sz w:val="20"/>
          <w:szCs w:val="20"/>
          <w:color w:val="auto"/>
        </w:rPr>
      </w:pPr>
    </w:p>
    <w:p>
      <w:pPr>
        <w:ind w:left="2240" w:hanging="331"/>
        <w:spacing w:after="0"/>
        <w:tabs>
          <w:tab w:leader="none" w:pos="2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 dealers, agents or other purchasers;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 or other consideration therefor, and the proceeds, if any, we will receive from the sale;</w:t>
      </w:r>
    </w:p>
    <w:p>
      <w:pPr>
        <w:spacing w:after="0" w:line="92" w:lineRule="exact"/>
        <w:rPr>
          <w:rFonts w:ascii="Times New Roman" w:cs="Times New Roman" w:eastAsia="Times New Roman" w:hAnsi="Times New Roman"/>
          <w:sz w:val="14"/>
          <w:szCs w:val="14"/>
          <w:color w:val="auto"/>
        </w:rPr>
      </w:pPr>
    </w:p>
    <w:p>
      <w:pPr>
        <w:ind w:left="2240" w:right="659" w:hanging="331"/>
        <w:spacing w:after="0" w:line="262" w:lineRule="auto"/>
        <w:tabs>
          <w:tab w:leader="none" w:pos="2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options to purchase additional shares or other options under which underwriters, dealers, agents or other purchasers may purchase additional securities from us;</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public offering price;</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164" w:lineRule="exact"/>
        <w:rPr>
          <w:sz w:val="20"/>
          <w:szCs w:val="20"/>
          <w:color w:val="auto"/>
        </w:rPr>
      </w:pPr>
    </w:p>
    <w:p>
      <w:pPr>
        <w:ind w:left="1500" w:right="379" w:firstLine="331"/>
        <w:spacing w:after="0" w:line="248" w:lineRule="auto"/>
        <w:rPr>
          <w:sz w:val="20"/>
          <w:szCs w:val="20"/>
          <w:color w:val="auto"/>
        </w:rPr>
      </w:pPr>
      <w:r>
        <w:rPr>
          <w:rFonts w:ascii="Times New Roman" w:cs="Times New Roman" w:eastAsia="Times New Roman" w:hAnsi="Times New Roman"/>
          <w:sz w:val="14"/>
          <w:szCs w:val="14"/>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47" w:lineRule="exact"/>
        <w:rPr>
          <w:sz w:val="20"/>
          <w:szCs w:val="20"/>
          <w:color w:val="auto"/>
        </w:rPr>
      </w:pPr>
    </w:p>
    <w:p>
      <w:pPr>
        <w:ind w:left="1500" w:right="399" w:firstLine="331"/>
        <w:spacing w:after="0" w:line="291" w:lineRule="auto"/>
        <w:rPr>
          <w:sz w:val="20"/>
          <w:szCs w:val="20"/>
          <w:color w:val="auto"/>
        </w:rPr>
      </w:pPr>
      <w:r>
        <w:rPr>
          <w:rFonts w:ascii="Times New Roman" w:cs="Times New Roman" w:eastAsia="Times New Roman" w:hAnsi="Times New Roman"/>
          <w:sz w:val="12"/>
          <w:szCs w:val="12"/>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w:t>
      </w: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7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material relationship. We will describe in the prospectus supplement, naming the underwriter, dealer or agent, the nature of any such relationship.</w:t>
      </w:r>
    </w:p>
    <w:p>
      <w:pPr>
        <w:spacing w:after="0" w:line="164" w:lineRule="exact"/>
        <w:rPr>
          <w:sz w:val="20"/>
          <w:szCs w:val="20"/>
          <w:color w:val="auto"/>
        </w:rPr>
      </w:pPr>
    </w:p>
    <w:p>
      <w:pPr>
        <w:ind w:left="1500" w:right="459" w:firstLine="331"/>
        <w:spacing w:after="0" w:line="252" w:lineRule="auto"/>
        <w:rPr>
          <w:sz w:val="20"/>
          <w:szCs w:val="20"/>
          <w:color w:val="auto"/>
        </w:rPr>
      </w:pPr>
      <w:r>
        <w:rPr>
          <w:rFonts w:ascii="Times New Roman" w:cs="Times New Roman" w:eastAsia="Times New Roman" w:hAnsi="Times New Roman"/>
          <w:sz w:val="14"/>
          <w:szCs w:val="14"/>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42" w:lineRule="exact"/>
        <w:rPr>
          <w:sz w:val="20"/>
          <w:szCs w:val="20"/>
          <w:color w:val="auto"/>
        </w:rPr>
      </w:pPr>
    </w:p>
    <w:p>
      <w:pPr>
        <w:ind w:left="1500" w:right="639" w:firstLine="331"/>
        <w:spacing w:after="0" w:line="252" w:lineRule="auto"/>
        <w:rPr>
          <w:sz w:val="20"/>
          <w:szCs w:val="20"/>
          <w:color w:val="auto"/>
        </w:rPr>
      </w:pPr>
      <w:r>
        <w:rPr>
          <w:rFonts w:ascii="Times New Roman" w:cs="Times New Roman" w:eastAsia="Times New Roman" w:hAnsi="Times New Roman"/>
          <w:sz w:val="14"/>
          <w:szCs w:val="14"/>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42" w:lineRule="exact"/>
        <w:rPr>
          <w:sz w:val="20"/>
          <w:szCs w:val="20"/>
          <w:color w:val="auto"/>
        </w:rPr>
      </w:pPr>
    </w:p>
    <w:p>
      <w:pPr>
        <w:ind w:left="1500" w:right="479" w:firstLine="331"/>
        <w:spacing w:after="0" w:line="252" w:lineRule="auto"/>
        <w:rPr>
          <w:sz w:val="20"/>
          <w:szCs w:val="20"/>
          <w:color w:val="auto"/>
        </w:rPr>
      </w:pPr>
      <w:r>
        <w:rPr>
          <w:rFonts w:ascii="Times New Roman" w:cs="Times New Roman" w:eastAsia="Times New Roman" w:hAnsi="Times New Roman"/>
          <w:sz w:val="14"/>
          <w:szCs w:val="14"/>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42" w:lineRule="exact"/>
        <w:rPr>
          <w:sz w:val="20"/>
          <w:szCs w:val="20"/>
          <w:color w:val="auto"/>
        </w:rPr>
      </w:pPr>
    </w:p>
    <w:p>
      <w:pPr>
        <w:ind w:left="1500" w:right="379" w:firstLine="331"/>
        <w:spacing w:after="0" w:line="244" w:lineRule="auto"/>
        <w:rPr>
          <w:sz w:val="20"/>
          <w:szCs w:val="20"/>
          <w:color w:val="auto"/>
        </w:rPr>
      </w:pPr>
      <w:r>
        <w:rPr>
          <w:rFonts w:ascii="Times New Roman" w:cs="Times New Roman" w:eastAsia="Times New Roman" w:hAnsi="Times New Roman"/>
          <w:sz w:val="14"/>
          <w:szCs w:val="14"/>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52" w:lineRule="exact"/>
        <w:rPr>
          <w:sz w:val="20"/>
          <w:szCs w:val="20"/>
          <w:color w:val="auto"/>
        </w:rPr>
      </w:pPr>
    </w:p>
    <w:p>
      <w:pPr>
        <w:ind w:left="1500" w:right="459" w:firstLine="331"/>
        <w:spacing w:after="0" w:line="293" w:lineRule="auto"/>
        <w:rPr>
          <w:sz w:val="20"/>
          <w:szCs w:val="20"/>
          <w:color w:val="auto"/>
        </w:rPr>
      </w:pPr>
      <w:r>
        <w:rPr>
          <w:rFonts w:ascii="Times New Roman" w:cs="Times New Roman" w:eastAsia="Times New Roman" w:hAnsi="Times New Roman"/>
          <w:sz w:val="12"/>
          <w:szCs w:val="12"/>
          <w:color w:val="auto"/>
        </w:rPr>
        <w:t>Any underwriters, dealers or agents that are qualified market makers on the Nasdaq Capital Market may engage in passive market making transactions in our common stock on the Nasdaq Capital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7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68" w:lineRule="exact"/>
        <w:rPr>
          <w:sz w:val="20"/>
          <w:szCs w:val="20"/>
          <w:color w:val="auto"/>
        </w:rPr>
      </w:pPr>
    </w:p>
    <w:p>
      <w:pPr>
        <w:ind w:left="1500" w:right="539" w:firstLine="331"/>
        <w:spacing w:after="0" w:line="247"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Cooley LLP, Washington, D.C., will pass upon the validity of the securities offered by this prospectus and any supplement thereto. As of the date of this prospectus, partners of Cooley LLP and GC&amp;H Investments and GC&amp;H Investments, LLC, each an entity that is comprised of partners and associates of Cooley LLP, beneficially own an aggregate of 5,797 shares of our common stock. Additional legal matters may be passed upon for us or any underwriters, dealers or agents, by counsel that we name in the applicable prospectus supplement.</w:t>
      </w:r>
    </w:p>
    <w:p>
      <w:pPr>
        <w:spacing w:after="0" w:line="3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68" w:lineRule="exact"/>
        <w:rPr>
          <w:sz w:val="20"/>
          <w:szCs w:val="20"/>
          <w:color w:val="auto"/>
        </w:rPr>
      </w:pPr>
    </w:p>
    <w:p>
      <w:pPr>
        <w:ind w:left="1500" w:right="499" w:firstLine="331"/>
        <w:spacing w:after="0" w:line="247" w:lineRule="auto"/>
        <w:rPr>
          <w:sz w:val="20"/>
          <w:szCs w:val="20"/>
          <w:color w:val="auto"/>
        </w:rPr>
      </w:pPr>
      <w:r>
        <w:rPr>
          <w:rFonts w:ascii="Times New Roman" w:cs="Times New Roman" w:eastAsia="Times New Roman" w:hAnsi="Times New Roman"/>
          <w:sz w:val="14"/>
          <w:szCs w:val="14"/>
          <w:color w:val="auto"/>
        </w:rPr>
        <w:t>The financial statements of IN8Bio, Inc. for the years ended December 31, 2024 and 2023 have been audited by CohnReznick LLP, independent registered public accounting firm, as set forth in their report thereon appearing in IN8bio, Inc’s Annual report on Form 10-K for the year ended December 31, 2024 and 2023, and incorporated by reference herein. Such financial statements are incorporated by reference herein in reliance upon such report, which includes an explanatory paragraph on IN8bio, Inc’s ability to continue as a going concern, given on the authority of such firm as experts in accounting and auditing.</w:t>
      </w:r>
    </w:p>
    <w:p>
      <w:pPr>
        <w:spacing w:after="0" w:line="3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68" w:lineRule="exact"/>
        <w:rPr>
          <w:sz w:val="20"/>
          <w:szCs w:val="20"/>
          <w:color w:val="auto"/>
        </w:rPr>
      </w:pPr>
    </w:p>
    <w:p>
      <w:pPr>
        <w:ind w:left="1500" w:right="419" w:firstLine="331"/>
        <w:spacing w:after="0" w:line="289" w:lineRule="auto"/>
        <w:rPr>
          <w:sz w:val="20"/>
          <w:szCs w:val="20"/>
          <w:color w:val="auto"/>
        </w:rPr>
      </w:pPr>
      <w:r>
        <w:rPr>
          <w:rFonts w:ascii="Times New Roman" w:cs="Times New Roman" w:eastAsia="Times New Roman" w:hAnsi="Times New Roman"/>
          <w:sz w:val="12"/>
          <w:szCs w:val="12"/>
          <w:color w:val="auto"/>
        </w:rPr>
        <w:t xml:space="preserve">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 xml:space="preserve">.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Relations section of our website. These filings will be available as soon as reasonably practicable after we electronically file such material with, or furnish it to, the SEC. Our website address is </w:t>
      </w:r>
      <w:r>
        <w:rPr>
          <w:rFonts w:ascii="Times New Roman" w:cs="Times New Roman" w:eastAsia="Times New Roman" w:hAnsi="Times New Roman"/>
          <w:sz w:val="12"/>
          <w:szCs w:val="12"/>
          <w:i w:val="1"/>
          <w:iCs w:val="1"/>
          <w:color w:val="auto"/>
        </w:rPr>
        <w:t>www.in8bio.com</w:t>
      </w:r>
      <w:r>
        <w:rPr>
          <w:rFonts w:ascii="Times New Roman" w:cs="Times New Roman" w:eastAsia="Times New Roman" w:hAnsi="Times New Roman"/>
          <w:sz w:val="12"/>
          <w:szCs w:val="12"/>
          <w:color w:val="auto"/>
        </w:rPr>
        <w:t>. Information contained on or accessible through our website is not a part of this prospectus and is not incorporated by reference herein, and the inclusion of our website address in this prospectus is an inactive textual reference only.</w:t>
      </w: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7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68" w:lineRule="exact"/>
        <w:rPr>
          <w:sz w:val="20"/>
          <w:szCs w:val="20"/>
          <w:color w:val="auto"/>
        </w:rPr>
      </w:pPr>
    </w:p>
    <w:p>
      <w:pPr>
        <w:ind w:left="1500" w:right="399" w:firstLine="331"/>
        <w:spacing w:after="0" w:line="246" w:lineRule="auto"/>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001-39692):</w:t>
      </w:r>
    </w:p>
    <w:p>
      <w:pPr>
        <w:spacing w:after="0" w:line="76" w:lineRule="exact"/>
        <w:rPr>
          <w:sz w:val="20"/>
          <w:szCs w:val="20"/>
          <w:color w:val="auto"/>
        </w:rPr>
      </w:pPr>
    </w:p>
    <w:p>
      <w:pPr>
        <w:ind w:left="2240" w:right="619" w:hanging="331"/>
        <w:spacing w:after="0" w:line="262" w:lineRule="auto"/>
        <w:tabs>
          <w:tab w:leader="none" w:pos="2240" w:val="left"/>
        </w:tabs>
        <w:numPr>
          <w:ilvl w:val="0"/>
          <w:numId w:val="28"/>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w:t>
      </w:r>
      <w:hyperlink r:id="rId64">
        <w:r>
          <w:rPr>
            <w:rFonts w:ascii="Times New Roman" w:cs="Times New Roman" w:eastAsia="Times New Roman" w:hAnsi="Times New Roman"/>
            <w:sz w:val="14"/>
            <w:szCs w:val="14"/>
            <w:u w:val="single" w:color="auto"/>
            <w:color w:val="0000EE"/>
          </w:rPr>
          <w:t>Annual Report on Form 10-K for the fiscal year ended December 31, 2024, filed with the SEC on March 13, 2025</w:t>
        </w:r>
      </w:hyperlink>
      <w:r>
        <w:rPr>
          <w:rFonts w:ascii="Times New Roman" w:cs="Times New Roman" w:eastAsia="Times New Roman" w:hAnsi="Times New Roman"/>
          <w:sz w:val="14"/>
          <w:szCs w:val="14"/>
          <w:color w:val="auto"/>
        </w:rPr>
        <w:t xml:space="preserve">, as amended by </w:t>
      </w:r>
      <w:hyperlink r:id="rId65">
        <w:r>
          <w:rPr>
            <w:rFonts w:ascii="Times New Roman" w:cs="Times New Roman" w:eastAsia="Times New Roman" w:hAnsi="Times New Roman"/>
            <w:sz w:val="14"/>
            <w:szCs w:val="14"/>
            <w:u w:val="single" w:color="auto"/>
            <w:color w:val="0000EE"/>
          </w:rPr>
          <w:t>Amendment No. 1 to our Annual Report on Form 10-K/A filed with the SEC on May 7, 2025</w:t>
        </w:r>
      </w:hyperlink>
      <w:r>
        <w:rPr>
          <w:rFonts w:ascii="Times New Roman" w:cs="Times New Roman" w:eastAsia="Times New Roman" w:hAnsi="Times New Roman"/>
          <w:sz w:val="14"/>
          <w:szCs w:val="14"/>
          <w:color w:val="000000"/>
        </w:rPr>
        <w:t>;</w:t>
      </w:r>
    </w:p>
    <w:p>
      <w:pPr>
        <w:spacing w:after="0" w:line="64" w:lineRule="exact"/>
        <w:rPr>
          <w:rFonts w:ascii="Times New Roman" w:cs="Times New Roman" w:eastAsia="Times New Roman" w:hAnsi="Times New Roman"/>
          <w:sz w:val="14"/>
          <w:szCs w:val="14"/>
          <w:color w:val="0000EE"/>
        </w:rPr>
      </w:pPr>
    </w:p>
    <w:p>
      <w:pPr>
        <w:ind w:left="2240" w:right="679" w:hanging="331"/>
        <w:spacing w:after="0" w:line="252" w:lineRule="auto"/>
        <w:tabs>
          <w:tab w:leader="none" w:pos="2240" w:val="left"/>
        </w:tabs>
        <w:numPr>
          <w:ilvl w:val="0"/>
          <w:numId w:val="28"/>
        </w:numPr>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u w:val="single" w:color="auto"/>
            <w:color w:val="0000EE"/>
          </w:rPr>
          <w:t>definitive Proxy Statement on Schedule 14A , filed with the SEC on March 17, 2025</w:t>
        </w:r>
        <w:r>
          <w:rPr>
            <w:rFonts w:ascii="Times New Roman" w:cs="Times New Roman" w:eastAsia="Times New Roman" w:hAnsi="Times New Roman"/>
            <w:sz w:val="14"/>
            <w:szCs w:val="14"/>
            <w:color w:val="auto"/>
          </w:rPr>
          <w:t xml:space="preserve">, as amended by </w:t>
        </w:r>
        <w:r>
          <w:rPr>
            <w:rFonts w:ascii="Times New Roman" w:cs="Times New Roman" w:eastAsia="Times New Roman" w:hAnsi="Times New Roman"/>
            <w:sz w:val="14"/>
            <w:szCs w:val="14"/>
            <w:u w:val="single" w:color="auto"/>
            <w:color w:val="0000EE"/>
          </w:rPr>
          <w:t>Amendment No. 1 to our</w:t>
        </w:r>
      </w:hyperlink>
      <w:r>
        <w:rPr>
          <w:rFonts w:ascii="Times New Roman" w:cs="Times New Roman" w:eastAsia="Times New Roman" w:hAnsi="Times New Roman"/>
          <w:sz w:val="14"/>
          <w:szCs w:val="14"/>
          <w:color w:val="auto"/>
        </w:rPr>
        <w:t xml:space="preserve"> </w:t>
      </w:r>
      <w:hyperlink r:id="rId66">
        <w:r>
          <w:rPr>
            <w:rFonts w:ascii="Times New Roman" w:cs="Times New Roman" w:eastAsia="Times New Roman" w:hAnsi="Times New Roman"/>
            <w:sz w:val="14"/>
            <w:szCs w:val="14"/>
            <w:u w:val="single" w:color="auto"/>
            <w:color w:val="0000EE"/>
          </w:rPr>
          <w:t>definitive Proxy Statement on Schedule 14A, filed with the SEC on April 29, 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 xml:space="preserve">(in each case, excluding those portions that are </w:t>
        </w:r>
      </w:hyperlink>
      <w:r>
        <w:rPr>
          <w:rFonts w:ascii="Times New Roman" w:cs="Times New Roman" w:eastAsia="Times New Roman" w:hAnsi="Times New Roman"/>
          <w:sz w:val="14"/>
          <w:szCs w:val="14"/>
          <w:color w:val="0000EE"/>
        </w:rPr>
        <w:t xml:space="preserve">not </w:t>
      </w:r>
      <w:r>
        <w:rPr>
          <w:rFonts w:ascii="Times New Roman" w:cs="Times New Roman" w:eastAsia="Times New Roman" w:hAnsi="Times New Roman"/>
          <w:sz w:val="14"/>
          <w:szCs w:val="14"/>
          <w:color w:val="000000"/>
        </w:rPr>
        <w:t>incorporated by reference into our Annual Report on Form 10-K for the fiscal year ended December 31, 2024);</w:t>
      </w:r>
    </w:p>
    <w:p>
      <w:pPr>
        <w:spacing w:after="0" w:line="71" w:lineRule="exact"/>
        <w:rPr>
          <w:rFonts w:ascii="Times New Roman" w:cs="Times New Roman" w:eastAsia="Times New Roman" w:hAnsi="Times New Roman"/>
          <w:sz w:val="14"/>
          <w:szCs w:val="14"/>
          <w:color w:val="0000EE"/>
        </w:rPr>
      </w:pPr>
    </w:p>
    <w:p>
      <w:pPr>
        <w:ind w:left="2240" w:right="539" w:hanging="331"/>
        <w:spacing w:after="0" w:line="262" w:lineRule="auto"/>
        <w:tabs>
          <w:tab w:leader="none" w:pos="2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w:t>
      </w:r>
      <w:hyperlink r:id="rId67">
        <w:r>
          <w:rPr>
            <w:rFonts w:ascii="Times New Roman" w:cs="Times New Roman" w:eastAsia="Times New Roman" w:hAnsi="Times New Roman"/>
            <w:sz w:val="14"/>
            <w:szCs w:val="14"/>
            <w:u w:val="single" w:color="auto"/>
            <w:color w:val="0000EE"/>
          </w:rPr>
          <w:t>March 31, 2025</w:t>
        </w:r>
      </w:hyperlink>
      <w:r>
        <w:rPr>
          <w:rFonts w:ascii="Times New Roman" w:cs="Times New Roman" w:eastAsia="Times New Roman" w:hAnsi="Times New Roman"/>
          <w:sz w:val="14"/>
          <w:szCs w:val="14"/>
          <w:color w:val="auto"/>
        </w:rPr>
        <w:t xml:space="preserve">, </w:t>
      </w:r>
      <w:hyperlink r:id="rId68">
        <w:r>
          <w:rPr>
            <w:rFonts w:ascii="Times New Roman" w:cs="Times New Roman" w:eastAsia="Times New Roman" w:hAnsi="Times New Roman"/>
            <w:sz w:val="14"/>
            <w:szCs w:val="14"/>
            <w:u w:val="single" w:color="auto"/>
            <w:color w:val="0000EE"/>
          </w:rPr>
          <w:t>June 30,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69">
        <w:r>
          <w:rPr>
            <w:rFonts w:ascii="Times New Roman" w:cs="Times New Roman" w:eastAsia="Times New Roman" w:hAnsi="Times New Roman"/>
            <w:sz w:val="14"/>
            <w:szCs w:val="14"/>
            <w:u w:val="single" w:color="auto"/>
            <w:color w:val="0000EE"/>
          </w:rPr>
          <w:t>September 30, 2025</w:t>
        </w:r>
      </w:hyperlink>
      <w:r>
        <w:rPr>
          <w:rFonts w:ascii="Times New Roman" w:cs="Times New Roman" w:eastAsia="Times New Roman" w:hAnsi="Times New Roman"/>
          <w:sz w:val="14"/>
          <w:szCs w:val="14"/>
          <w:color w:val="auto"/>
        </w:rPr>
        <w:t>, filed with the SEC on May 7, 2025, August 7, 2025 and November 6, 2025, respectively;</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28"/>
        </w:numPr>
        <w:rPr>
          <w:rFonts w:ascii="Times New Roman" w:cs="Times New Roman" w:eastAsia="Times New Roman" w:hAnsi="Times New Roman"/>
          <w:sz w:val="12"/>
          <w:szCs w:val="12"/>
          <w:color w:val="auto"/>
        </w:rPr>
      </w:pPr>
      <w:hyperlink r:id="rId70">
        <w:r>
          <w:rPr>
            <w:rFonts w:ascii="Times New Roman" w:cs="Times New Roman" w:eastAsia="Times New Roman" w:hAnsi="Times New Roman"/>
            <w:sz w:val="12"/>
            <w:szCs w:val="12"/>
            <w:color w:val="auto"/>
          </w:rPr>
          <w:t xml:space="preserve">our Current Reports on Form 8-K filed with the SEC on </w:t>
        </w:r>
        <w:r>
          <w:rPr>
            <w:rFonts w:ascii="Times New Roman" w:cs="Times New Roman" w:eastAsia="Times New Roman" w:hAnsi="Times New Roman"/>
            <w:sz w:val="12"/>
            <w:szCs w:val="12"/>
            <w:u w:val="single" w:color="auto"/>
            <w:color w:val="0000EE"/>
          </w:rPr>
          <w:t>February 7, 2025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February 11, 2025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March 3, 2025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March 5, 2025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EE"/>
          </w:rPr>
          <w:t>April 28,</w:t>
        </w:r>
      </w:hyperlink>
    </w:p>
    <w:p>
      <w:pPr>
        <w:spacing w:after="0" w:line="37" w:lineRule="exact"/>
        <w:rPr>
          <w:rFonts w:ascii="Times New Roman" w:cs="Times New Roman" w:eastAsia="Times New Roman" w:hAnsi="Times New Roman"/>
          <w:sz w:val="14"/>
          <w:szCs w:val="14"/>
          <w:color w:val="auto"/>
        </w:rPr>
      </w:pPr>
    </w:p>
    <w:p>
      <w:pPr>
        <w:jc w:val="center"/>
        <w:ind w:right="-200"/>
        <w:spacing w:after="0"/>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71">
        <w:r>
          <w:rPr>
            <w:rFonts w:ascii="Times New Roman" w:cs="Times New Roman" w:eastAsia="Times New Roman" w:hAnsi="Times New Roman"/>
            <w:sz w:val="14"/>
            <w:szCs w:val="14"/>
            <w:u w:val="single" w:color="auto"/>
            <w:color w:val="0000EE"/>
          </w:rPr>
          <w:t>April 28, 2025</w:t>
        </w:r>
      </w:hyperlink>
      <w:hyperlink r:id="rId70">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72">
        <w:r>
          <w:rPr>
            <w:rFonts w:ascii="Times New Roman" w:cs="Times New Roman" w:eastAsia="Times New Roman" w:hAnsi="Times New Roman"/>
            <w:sz w:val="14"/>
            <w:szCs w:val="14"/>
            <w:u w:val="single" w:color="auto"/>
            <w:color w:val="0000EE"/>
          </w:rPr>
          <w:t>May 9, 2025</w:t>
        </w:r>
      </w:hyperlink>
      <w:hyperlink r:id="rId70">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73">
        <w:r>
          <w:rPr>
            <w:rFonts w:ascii="Times New Roman" w:cs="Times New Roman" w:eastAsia="Times New Roman" w:hAnsi="Times New Roman"/>
            <w:sz w:val="14"/>
            <w:szCs w:val="14"/>
            <w:u w:val="single" w:color="auto"/>
            <w:color w:val="0000EE"/>
          </w:rPr>
          <w:t>June 2, 2025</w:t>
        </w:r>
      </w:hyperlink>
      <w:hyperlink r:id="rId70">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74">
        <w:r>
          <w:rPr>
            <w:rFonts w:ascii="Times New Roman" w:cs="Times New Roman" w:eastAsia="Times New Roman" w:hAnsi="Times New Roman"/>
            <w:sz w:val="14"/>
            <w:szCs w:val="14"/>
            <w:u w:val="single" w:color="auto"/>
            <w:color w:val="0000EE"/>
          </w:rPr>
          <w:t>June 4, 2025</w:t>
        </w:r>
      </w:hyperlink>
      <w:hyperlink r:id="rId70">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75">
        <w:r>
          <w:rPr>
            <w:rFonts w:ascii="Times New Roman" w:cs="Times New Roman" w:eastAsia="Times New Roman" w:hAnsi="Times New Roman"/>
            <w:sz w:val="14"/>
            <w:szCs w:val="14"/>
            <w:u w:val="single" w:color="auto"/>
            <w:color w:val="0000EE"/>
          </w:rPr>
          <w:t>June 30, 2025</w:t>
        </w:r>
      </w:hyperlink>
      <w:hyperlink r:id="rId70">
        <w:r>
          <w:rPr>
            <w:rFonts w:ascii="Times New Roman" w:cs="Times New Roman" w:eastAsia="Times New Roman" w:hAnsi="Times New Roman"/>
            <w:sz w:val="14"/>
            <w:szCs w:val="14"/>
            <w:color w:val="000000"/>
          </w:rPr>
          <w:t>, and</w:t>
        </w:r>
        <w:r>
          <w:rPr>
            <w:rFonts w:ascii="Times New Roman" w:cs="Times New Roman" w:eastAsia="Times New Roman" w:hAnsi="Times New Roman"/>
            <w:sz w:val="14"/>
            <w:szCs w:val="14"/>
            <w:color w:val="0000EE"/>
          </w:rPr>
          <w:t xml:space="preserve"> </w:t>
        </w:r>
      </w:hyperlink>
      <w:hyperlink r:id="rId76">
        <w:r>
          <w:rPr>
            <w:rFonts w:ascii="Times New Roman" w:cs="Times New Roman" w:eastAsia="Times New Roman" w:hAnsi="Times New Roman"/>
            <w:sz w:val="14"/>
            <w:szCs w:val="14"/>
            <w:u w:val="single" w:color="auto"/>
            <w:color w:val="0000EE"/>
          </w:rPr>
          <w:t>October 27, 2025</w:t>
        </w:r>
      </w:hyperlink>
      <w:hyperlink r:id="rId70">
        <w:r>
          <w:rPr>
            <w:rFonts w:ascii="Times New Roman" w:cs="Times New Roman" w:eastAsia="Times New Roman" w:hAnsi="Times New Roman"/>
            <w:sz w:val="14"/>
            <w:szCs w:val="14"/>
            <w:color w:val="000000"/>
          </w:rPr>
          <w:t>; and</w:t>
        </w:r>
      </w:hyperlink>
    </w:p>
    <w:p>
      <w:pPr>
        <w:spacing w:after="0" w:line="81" w:lineRule="exact"/>
        <w:rPr>
          <w:rFonts w:ascii="Times New Roman" w:cs="Times New Roman" w:eastAsia="Times New Roman" w:hAnsi="Times New Roman"/>
          <w:sz w:val="14"/>
          <w:szCs w:val="14"/>
          <w:color w:val="0000EE"/>
        </w:rPr>
      </w:pPr>
    </w:p>
    <w:p>
      <w:pPr>
        <w:ind w:left="2240" w:right="679" w:hanging="331"/>
        <w:spacing w:after="0" w:line="262" w:lineRule="auto"/>
        <w:tabs>
          <w:tab w:leader="none" w:pos="2240" w:val="left"/>
        </w:tabs>
        <w:numPr>
          <w:ilvl w:val="0"/>
          <w:numId w:val="29"/>
        </w:numPr>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auto"/>
          </w:rPr>
          <w:t xml:space="preserve">the description of our common stock as described in </w:t>
        </w:r>
        <w:r>
          <w:rPr>
            <w:rFonts w:ascii="Times New Roman" w:cs="Times New Roman" w:eastAsia="Times New Roman" w:hAnsi="Times New Roman"/>
            <w:sz w:val="14"/>
            <w:szCs w:val="14"/>
            <w:u w:val="single" w:color="auto"/>
            <w:color w:val="0000EE"/>
          </w:rPr>
          <w:t>Exhibit 4.3 to our Annual Report on Form 10-K filed with the SEC on March 13,</w:t>
        </w:r>
      </w:hyperlink>
      <w:r>
        <w:rPr>
          <w:rFonts w:ascii="Times New Roman" w:cs="Times New Roman" w:eastAsia="Times New Roman" w:hAnsi="Times New Roman"/>
          <w:sz w:val="14"/>
          <w:szCs w:val="14"/>
          <w:color w:val="auto"/>
        </w:rPr>
        <w:t xml:space="preserve"> </w:t>
      </w:r>
      <w:hyperlink r:id="rId77">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 including any amendments or reports filed for the purpose of updating this description.</w:t>
        </w:r>
      </w:hyperlink>
    </w:p>
    <w:p>
      <w:pPr>
        <w:spacing w:after="0" w:line="136" w:lineRule="exact"/>
        <w:rPr>
          <w:rFonts w:ascii="Times New Roman" w:cs="Times New Roman" w:eastAsia="Times New Roman" w:hAnsi="Times New Roman"/>
          <w:sz w:val="14"/>
          <w:szCs w:val="14"/>
          <w:color w:val="auto"/>
        </w:rPr>
      </w:pPr>
    </w:p>
    <w:p>
      <w:pPr>
        <w:ind w:left="1500" w:right="739" w:firstLine="331"/>
        <w:spacing w:after="0" w:line="262" w:lineRule="auto"/>
        <w:rPr>
          <w:sz w:val="20"/>
          <w:szCs w:val="20"/>
          <w:color w:val="auto"/>
        </w:rPr>
      </w:pPr>
      <w:r>
        <w:rPr>
          <w:rFonts w:ascii="Times New Roman" w:cs="Times New Roman" w:eastAsia="Times New Roman" w:hAnsi="Times New Roman"/>
          <w:sz w:val="14"/>
          <w:szCs w:val="14"/>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36" w:lineRule="exact"/>
        <w:rPr>
          <w:rFonts w:ascii="Times New Roman" w:cs="Times New Roman" w:eastAsia="Times New Roman" w:hAnsi="Times New Roman"/>
          <w:sz w:val="14"/>
          <w:szCs w:val="14"/>
          <w:color w:val="auto"/>
        </w:rPr>
      </w:pPr>
    </w:p>
    <w:p>
      <w:pPr>
        <w:ind w:left="1500" w:right="419" w:firstLine="331"/>
        <w:spacing w:after="0" w:line="244" w:lineRule="auto"/>
        <w:rPr>
          <w:sz w:val="20"/>
          <w:szCs w:val="20"/>
          <w:color w:val="auto"/>
        </w:rPr>
      </w:pPr>
      <w:r>
        <w:rPr>
          <w:rFonts w:ascii="Times New Roman" w:cs="Times New Roman" w:eastAsia="Times New Roman" w:hAnsi="Times New Roman"/>
          <w:sz w:val="14"/>
          <w:szCs w:val="14"/>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52" w:lineRule="exact"/>
        <w:rPr>
          <w:rFonts w:ascii="Times New Roman" w:cs="Times New Roman" w:eastAsia="Times New Roman" w:hAnsi="Times New Roman"/>
          <w:sz w:val="14"/>
          <w:szCs w:val="14"/>
          <w:color w:val="auto"/>
        </w:rPr>
      </w:pPr>
    </w:p>
    <w:p>
      <w:pPr>
        <w:ind w:left="1500" w:right="459" w:firstLine="331"/>
        <w:spacing w:after="0" w:line="256"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IN8bio, Inc., Attn: Patrick McCall, Corporate Secretary, 350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Avenue, Suite 5330, New York, New York 10118; telephone: (646) 600-6438.</w:t>
      </w:r>
    </w:p>
    <w:p>
      <w:pPr>
        <w:spacing w:after="0" w:line="1"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7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87" w:lineRule="exact"/>
        <w:rPr>
          <w:sz w:val="20"/>
          <w:szCs w:val="20"/>
          <w:color w:val="auto"/>
        </w:rPr>
      </w:pPr>
    </w:p>
    <w:p>
      <w:pPr>
        <w:ind w:left="1500" w:right="419" w:firstLine="331"/>
        <w:spacing w:after="0" w:line="252" w:lineRule="auto"/>
        <w:rPr>
          <w:sz w:val="20"/>
          <w:szCs w:val="20"/>
          <w:color w:val="auto"/>
        </w:rPr>
      </w:pPr>
      <w:r>
        <w:rPr>
          <w:rFonts w:ascii="Times New Roman" w:cs="Times New Roman" w:eastAsia="Times New Roman" w:hAnsi="Times New Roman"/>
          <w:sz w:val="14"/>
          <w:szCs w:val="14"/>
          <w:color w:val="auto"/>
        </w:rPr>
        <w:t>The following table sets forth an estimate of the fees and expenses, other than the underwriting discounts and commissions, payable by us in connection with the issuance and distribution of the securities being registered. All the amounts shown are estimates, except for the SEC registration fee and the FINRA filing fee.</w:t>
      </w:r>
    </w:p>
    <w:p>
      <w:pPr>
        <w:sectPr>
          <w:pgSz w:w="11900" w:h="16838" w:orient="portrait"/>
          <w:cols w:equalWidth="0" w:num="1">
            <w:col w:w="10159"/>
          </w:cols>
          <w:pgMar w:left="300" w:top="376" w:right="1440" w:bottom="1440" w:gutter="0" w:footer="0" w:header="0"/>
        </w:sectPr>
      </w:pPr>
    </w:p>
    <w:p>
      <w:pPr>
        <w:spacing w:after="0" w:line="27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-93345</wp:posOffset>
            </wp:positionV>
            <wp:extent cx="3570605"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3570605" cy="102870"/>
                    </a:xfrm>
                    <a:prstGeom prst="rect">
                      <a:avLst/>
                    </a:prstGeom>
                    <a:noFill/>
                  </pic:spPr>
                </pic:pic>
              </a:graphicData>
            </a:graphic>
          </wp:anchor>
        </w:drawing>
      </w:r>
    </w:p>
    <w:p>
      <w:pPr>
        <w:ind w:left="2840"/>
        <w:spacing w:after="0"/>
        <w:rPr>
          <w:sz w:val="20"/>
          <w:szCs w:val="20"/>
          <w:color w:val="auto"/>
        </w:rPr>
      </w:pPr>
      <w:r>
        <w:rPr>
          <w:rFonts w:ascii="Times New Roman" w:cs="Times New Roman" w:eastAsia="Times New Roman" w:hAnsi="Times New Roman"/>
          <w:sz w:val="14"/>
          <w:szCs w:val="14"/>
          <w:color w:val="auto"/>
        </w:rPr>
        <w:t>FINRA filing fee</w:t>
      </w:r>
    </w:p>
    <w:p>
      <w:pPr>
        <w:spacing w:after="0" w:line="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-100965</wp:posOffset>
            </wp:positionV>
            <wp:extent cx="3570605"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3570605" cy="102870"/>
                    </a:xfrm>
                    <a:prstGeom prst="rect">
                      <a:avLst/>
                    </a:prstGeom>
                    <a:noFill/>
                  </pic:spPr>
                </pic:pic>
              </a:graphicData>
            </a:graphic>
          </wp:anchor>
        </w:drawing>
      </w:r>
    </w:p>
    <w:p>
      <w:pPr>
        <w:ind w:left="284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2"/>
          <w:szCs w:val="12"/>
          <w:color w:val="auto"/>
        </w:rPr>
        <w:t>Trustee and 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-86360</wp:posOffset>
            </wp:positionV>
            <wp:extent cx="3570605"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3570605" cy="102870"/>
                    </a:xfrm>
                    <a:prstGeom prst="rect">
                      <a:avLst/>
                    </a:prstGeom>
                    <a:noFill/>
                  </pic:spPr>
                </pic:pic>
              </a:graphicData>
            </a:graphic>
          </wp:anchor>
        </w:drawing>
      </w:r>
    </w:p>
    <w:p>
      <w:pPr>
        <w:spacing w:after="0" w:line="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2"/>
          <w:szCs w:val="12"/>
          <w:color w:val="auto"/>
        </w:rPr>
        <w:t>Printing and miscellaneous fees and expenses</w:t>
      </w:r>
    </w:p>
    <w:p>
      <w:pPr>
        <w:spacing w:after="0" w:line="3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-93345</wp:posOffset>
            </wp:positionV>
            <wp:extent cx="3570605"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3570605" cy="102870"/>
                    </a:xfrm>
                    <a:prstGeom prst="rect">
                      <a:avLst/>
                    </a:prstGeom>
                    <a:noFill/>
                  </pic:spPr>
                </pic:pic>
              </a:graphicData>
            </a:graphic>
          </wp:anchor>
        </w:drawing>
        <w:drawing>
          <wp:anchor simplePos="0" relativeHeight="251657728" behindDoc="1" locked="0" layoutInCell="0" allowOverlap="1">
            <wp:simplePos x="0" y="0"/>
            <wp:positionH relativeFrom="column">
              <wp:posOffset>954405</wp:posOffset>
            </wp:positionH>
            <wp:positionV relativeFrom="paragraph">
              <wp:posOffset>99060</wp:posOffset>
            </wp:positionV>
            <wp:extent cx="579755"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3">
                      <a:extLst>
                        <a:ext uri="{28A0092B-C50C-407E-A947-70E740481C1C}"/>
                      </a:extLst>
                    </a:blip>
                    <a:srcRect/>
                    <a:stretch>
                      <a:fillRect/>
                    </a:stretch>
                  </pic:blipFill>
                  <pic:spPr bwMode="auto">
                    <a:xfrm>
                      <a:off x="0" y="0"/>
                      <a:ext cx="57975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42"/>
        <w:spacing w:after="0"/>
        <w:rPr>
          <w:sz w:val="20"/>
          <w:szCs w:val="20"/>
          <w:color w:val="auto"/>
        </w:rPr>
      </w:pPr>
      <w:r>
        <w:rPr>
          <w:rFonts w:ascii="Times New Roman" w:cs="Times New Roman" w:eastAsia="Times New Roman" w:hAnsi="Times New Roman"/>
          <w:sz w:val="11"/>
          <w:szCs w:val="11"/>
          <w:b w:val="1"/>
          <w:bCs w:val="1"/>
          <w:color w:val="auto"/>
        </w:rPr>
        <w:t>Amount</w:t>
      </w:r>
    </w:p>
    <w:p>
      <w:pPr>
        <w:spacing w:after="0" w:line="5" w:lineRule="exact"/>
        <w:rPr>
          <w:sz w:val="20"/>
          <w:szCs w:val="20"/>
          <w:color w:val="auto"/>
        </w:rPr>
      </w:pPr>
    </w:p>
    <w:p>
      <w:pPr>
        <w:ind w:left="162" w:hanging="162"/>
        <w:spacing w:after="0"/>
        <w:tabs>
          <w:tab w:leader="none" w:pos="162"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6,762</w:t>
      </w:r>
    </w:p>
    <w:p>
      <w:pPr>
        <w:spacing w:after="0" w:line="22" w:lineRule="exact"/>
        <w:rPr>
          <w:rFonts w:ascii="Times New Roman" w:cs="Times New Roman" w:eastAsia="Times New Roman" w:hAnsi="Times New Roman"/>
          <w:sz w:val="12"/>
          <w:szCs w:val="12"/>
          <w:color w:val="auto"/>
        </w:rPr>
      </w:pPr>
    </w:p>
    <w:p>
      <w:pPr>
        <w:ind w:left="102" w:hanging="102"/>
        <w:spacing w:after="0"/>
        <w:tabs>
          <w:tab w:leader="none" w:pos="102"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30,500</w:t>
      </w:r>
    </w:p>
    <w:p>
      <w:pPr>
        <w:spacing w:after="0" w:line="24" w:lineRule="exact"/>
        <w:rPr>
          <w:rFonts w:ascii="Times New Roman" w:cs="Times New Roman" w:eastAsia="Times New Roman" w:hAnsi="Times New Roman"/>
          <w:sz w:val="12"/>
          <w:szCs w:val="12"/>
          <w:color w:val="auto"/>
        </w:rPr>
      </w:pPr>
    </w:p>
    <w:p>
      <w:pPr>
        <w:ind w:left="30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p>
    <w:p>
      <w:pPr>
        <w:spacing w:after="0" w:line="24" w:lineRule="exact"/>
        <w:rPr>
          <w:rFonts w:ascii="Times New Roman" w:cs="Times New Roman" w:eastAsia="Times New Roman" w:hAnsi="Times New Roman"/>
          <w:sz w:val="12"/>
          <w:szCs w:val="12"/>
          <w:color w:val="auto"/>
        </w:rPr>
      </w:pPr>
    </w:p>
    <w:p>
      <w:pPr>
        <w:ind w:left="30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p>
    <w:p>
      <w:pPr>
        <w:spacing w:after="0" w:line="24" w:lineRule="exact"/>
        <w:rPr>
          <w:rFonts w:ascii="Times New Roman" w:cs="Times New Roman" w:eastAsia="Times New Roman" w:hAnsi="Times New Roman"/>
          <w:sz w:val="12"/>
          <w:szCs w:val="12"/>
          <w:color w:val="auto"/>
        </w:rPr>
      </w:pPr>
    </w:p>
    <w:p>
      <w:pPr>
        <w:ind w:left="30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p>
    <w:p>
      <w:pPr>
        <w:spacing w:after="0" w:line="24" w:lineRule="exact"/>
        <w:rPr>
          <w:rFonts w:ascii="Times New Roman" w:cs="Times New Roman" w:eastAsia="Times New Roman" w:hAnsi="Times New Roman"/>
          <w:sz w:val="12"/>
          <w:szCs w:val="12"/>
          <w:color w:val="auto"/>
        </w:rPr>
      </w:pPr>
    </w:p>
    <w:p>
      <w:pPr>
        <w:ind w:left="30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p>
    <w:p>
      <w:pPr>
        <w:spacing w:after="0" w:line="32" w:lineRule="exact"/>
        <w:rPr>
          <w:rFonts w:ascii="Times New Roman" w:cs="Times New Roman" w:eastAsia="Times New Roman" w:hAnsi="Times New Roman"/>
          <w:sz w:val="12"/>
          <w:szCs w:val="12"/>
          <w:color w:val="auto"/>
        </w:rPr>
      </w:pPr>
    </w:p>
    <w:p>
      <w:pPr>
        <w:ind w:left="302"/>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29654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29654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23495</wp:posOffset>
            </wp:positionV>
            <wp:extent cx="29654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29654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36195</wp:posOffset>
            </wp:positionV>
            <wp:extent cx="29654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296545" cy="6350"/>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7218" w:space="720"/>
            <w:col w:w="2222"/>
          </w:cols>
          <w:pgMar w:left="300" w:top="376" w:right="1440" w:bottom="1440" w:gutter="0" w:footer="0" w:header="0"/>
          <w:type w:val="continuous"/>
        </w:sectPr>
      </w:pPr>
    </w:p>
    <w:p>
      <w:pPr>
        <w:ind w:left="1820" w:right="839" w:hanging="317"/>
        <w:spacing w:after="0" w:line="252" w:lineRule="auto"/>
        <w:tabs>
          <w:tab w:leader="none" w:pos="18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securities and number of offerings are indeterminable and the expenses cannot be estimated at this time. An estimate of the aggregate expenses in connection with the sale and distribution of securities being offered will be included in the applicable prospectus supplement.</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87" w:lineRule="exact"/>
        <w:rPr>
          <w:sz w:val="20"/>
          <w:szCs w:val="20"/>
          <w:color w:val="auto"/>
        </w:rPr>
      </w:pPr>
    </w:p>
    <w:p>
      <w:pPr>
        <w:ind w:left="1500" w:right="379" w:firstLine="331"/>
        <w:spacing w:after="0" w:line="248"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we will limit the liability of our directors, and may indemnify our directors and officers, to the maximum extent permitted by the Delaware General Corporation Law, or DGCL. The DGCL provides that directors of a corporation will not be personally liable for monetary damages for breach of their fiduciary duties as directors, except for liability for any:</w:t>
      </w:r>
    </w:p>
    <w:p>
      <w:pPr>
        <w:spacing w:after="0" w:line="75" w:lineRule="exact"/>
        <w:rPr>
          <w:sz w:val="20"/>
          <w:szCs w:val="20"/>
          <w:color w:val="auto"/>
        </w:rPr>
      </w:pPr>
    </w:p>
    <w:p>
      <w:pPr>
        <w:ind w:left="2240" w:hanging="331"/>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us or our stockholders;</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related to unlawful stock repurchases, redemptions or other distributions or payment of dividends; or</w:t>
      </w:r>
    </w:p>
    <w:p>
      <w:pPr>
        <w:spacing w:after="0" w:line="92"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w:t>
      </w:r>
    </w:p>
    <w:p>
      <w:pPr>
        <w:spacing w:after="0" w:line="164" w:lineRule="exact"/>
        <w:rPr>
          <w:sz w:val="20"/>
          <w:szCs w:val="20"/>
          <w:color w:val="auto"/>
        </w:rPr>
      </w:pPr>
    </w:p>
    <w:p>
      <w:pPr>
        <w:ind w:left="1500" w:right="439" w:firstLine="331"/>
        <w:spacing w:after="0" w:line="262" w:lineRule="auto"/>
        <w:rPr>
          <w:sz w:val="20"/>
          <w:szCs w:val="20"/>
          <w:color w:val="auto"/>
        </w:rPr>
      </w:pPr>
      <w:r>
        <w:rPr>
          <w:rFonts w:ascii="Times New Roman" w:cs="Times New Roman" w:eastAsia="Times New Roman" w:hAnsi="Times New Roman"/>
          <w:sz w:val="14"/>
          <w:szCs w:val="14"/>
          <w:color w:val="auto"/>
        </w:rPr>
        <w:t>These limitations of liability do not apply to liabilities arising under federal securities laws and do not affect the availability of equitable remedies such as injunctive relief or rescission.</w:t>
      </w:r>
    </w:p>
    <w:p>
      <w:pPr>
        <w:spacing w:after="0" w:line="1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As permitted by Section 145 of the DGCL, our amended and restated bylaws provide that:</w:t>
      </w:r>
    </w:p>
    <w:p>
      <w:pPr>
        <w:spacing w:after="0" w:line="93" w:lineRule="exact"/>
        <w:rPr>
          <w:sz w:val="20"/>
          <w:szCs w:val="20"/>
          <w:color w:val="auto"/>
        </w:rPr>
      </w:pPr>
    </w:p>
    <w:p>
      <w:pPr>
        <w:ind w:left="2240" w:hanging="331"/>
        <w:spacing w:after="0"/>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indemnify our directors, officers and employees to the fullest extent permitted by the DGCL, subject to limited exceptions;</w:t>
      </w:r>
    </w:p>
    <w:p>
      <w:pPr>
        <w:spacing w:after="0" w:line="92" w:lineRule="exact"/>
        <w:rPr>
          <w:rFonts w:ascii="Times New Roman" w:cs="Times New Roman" w:eastAsia="Times New Roman" w:hAnsi="Times New Roman"/>
          <w:sz w:val="14"/>
          <w:szCs w:val="14"/>
          <w:color w:val="auto"/>
        </w:rPr>
      </w:pPr>
    </w:p>
    <w:p>
      <w:pPr>
        <w:ind w:left="2240" w:right="459" w:hanging="331"/>
        <w:spacing w:after="0" w:line="262" w:lineRule="auto"/>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advance expenses to our directors, officers and employees in connection with a legal proceeding to the fullest extent permitted by the DGCL, subject to limited exceptions; and</w:t>
      </w:r>
    </w:p>
    <w:p>
      <w:pPr>
        <w:spacing w:after="0" w:line="64" w:lineRule="exact"/>
        <w:rPr>
          <w:rFonts w:ascii="Times New Roman" w:cs="Times New Roman" w:eastAsia="Times New Roman" w:hAnsi="Times New Roman"/>
          <w:sz w:val="14"/>
          <w:szCs w:val="14"/>
          <w:color w:val="auto"/>
        </w:rPr>
      </w:pPr>
    </w:p>
    <w:p>
      <w:pPr>
        <w:ind w:left="2240" w:hanging="331"/>
        <w:spacing w:after="0"/>
        <w:tabs>
          <w:tab w:leader="none" w:pos="22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provided in our bylaws are not exclusive.</w:t>
      </w:r>
    </w:p>
    <w:p>
      <w:pPr>
        <w:spacing w:after="0" w:line="164" w:lineRule="exact"/>
        <w:rPr>
          <w:sz w:val="20"/>
          <w:szCs w:val="20"/>
          <w:color w:val="auto"/>
        </w:rPr>
      </w:pPr>
    </w:p>
    <w:p>
      <w:pPr>
        <w:ind w:left="1500" w:right="479" w:firstLine="331"/>
        <w:spacing w:after="0" w:line="262" w:lineRule="auto"/>
        <w:rPr>
          <w:sz w:val="20"/>
          <w:szCs w:val="20"/>
          <w:color w:val="auto"/>
        </w:rPr>
      </w:pPr>
      <w:r>
        <w:rPr>
          <w:rFonts w:ascii="Times New Roman" w:cs="Times New Roman" w:eastAsia="Times New Roman" w:hAnsi="Times New Roman"/>
          <w:sz w:val="14"/>
          <w:szCs w:val="14"/>
          <w:color w:val="auto"/>
        </w:rPr>
        <w:t>Our amended and restated certificate of incorporation and our amended and restated bylaws provide for the indemnification provisions described above and elsewhere herein. We have entered or will enter into, and intend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76" w:right="1440"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right="479"/>
        <w:spacing w:after="0" w:line="245" w:lineRule="auto"/>
        <w:rPr>
          <w:sz w:val="20"/>
          <w:szCs w:val="20"/>
          <w:color w:val="auto"/>
        </w:rPr>
      </w:pPr>
      <w:r>
        <w:rPr>
          <w:rFonts w:ascii="Times New Roman" w:cs="Times New Roman" w:eastAsia="Times New Roman" w:hAnsi="Times New Roman"/>
          <w:sz w:val="14"/>
          <w:szCs w:val="14"/>
          <w:color w:val="auto"/>
        </w:rPr>
        <w:t>to continue to enter into, separate indemnification agreements with our directors and officers that may be broader than the specific indemnification provisions contained in the DGCL.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49" w:lineRule="exact"/>
        <w:rPr>
          <w:sz w:val="20"/>
          <w:szCs w:val="20"/>
          <w:color w:val="auto"/>
        </w:rPr>
      </w:pPr>
    </w:p>
    <w:p>
      <w:pPr>
        <w:ind w:left="1500" w:right="819" w:firstLine="331"/>
        <w:spacing w:after="0" w:line="252" w:lineRule="auto"/>
        <w:rPr>
          <w:sz w:val="20"/>
          <w:szCs w:val="20"/>
          <w:color w:val="auto"/>
        </w:rPr>
      </w:pPr>
      <w:r>
        <w:rPr>
          <w:rFonts w:ascii="Times New Roman" w:cs="Times New Roman" w:eastAsia="Times New Roman" w:hAnsi="Times New Roman"/>
          <w:sz w:val="14"/>
          <w:szCs w:val="14"/>
          <w:color w:val="auto"/>
        </w:rPr>
        <w:t>We have purchased and currently intend to maintain insurance on behalf of each and every person who is or was a director or officer of the Company against any loss arising from any claim asserted against him or her and incurred by him or her in any such capacity, subject to certain exclusions.</w:t>
      </w:r>
    </w:p>
    <w:p>
      <w:pPr>
        <w:spacing w:after="0" w:line="142" w:lineRule="exact"/>
        <w:rPr>
          <w:sz w:val="20"/>
          <w:szCs w:val="20"/>
          <w:color w:val="auto"/>
        </w:rPr>
      </w:pPr>
    </w:p>
    <w:p>
      <w:pPr>
        <w:ind w:left="1500" w:right="419" w:firstLine="331"/>
        <w:spacing w:after="0" w:line="252" w:lineRule="auto"/>
        <w:rPr>
          <w:sz w:val="20"/>
          <w:szCs w:val="20"/>
          <w:color w:val="auto"/>
        </w:rPr>
      </w:pPr>
      <w:r>
        <w:rPr>
          <w:rFonts w:ascii="Times New Roman" w:cs="Times New Roman" w:eastAsia="Times New Roman" w:hAnsi="Times New Roman"/>
          <w:sz w:val="14"/>
          <w:szCs w:val="14"/>
          <w:color w:val="auto"/>
        </w:rPr>
        <w:t>Any underwriting agreement or sales agreement that we may enter into will provide for indemnification by any underwriters or sales agents of the company, our directors, our officers who sign the registration statement and our controlling persons, if any, for some liabilities, including liabilities arising under the Securities Act.</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67"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6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500" w:type="dxa"/>
            <w:vAlign w:val="bottom"/>
            <w:gridSpan w:val="6"/>
            <w:vMerge w:val="restart"/>
          </w:tcPr>
          <w:p>
            <w:pPr>
              <w:ind w:left="24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1"/>
        </w:trPr>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6500" w:type="dxa"/>
            <w:vAlign w:val="bottom"/>
            <w:tcBorders>
              <w:bottom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160" w:type="dxa"/>
            <w:vAlign w:val="bottom"/>
          </w:tcPr>
          <w:p>
            <w:pPr>
              <w:spacing w:after="0"/>
              <w:rPr>
                <w:sz w:val="19"/>
                <w:szCs w:val="19"/>
                <w:color w:val="auto"/>
              </w:rPr>
            </w:pPr>
          </w:p>
        </w:tc>
        <w:tc>
          <w:tcPr>
            <w:tcW w:w="75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214"/>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160" w:type="dxa"/>
            <w:vAlign w:val="bottom"/>
          </w:tcPr>
          <w:p>
            <w:pPr>
              <w:spacing w:after="0"/>
              <w:rPr>
                <w:sz w:val="18"/>
                <w:szCs w:val="18"/>
                <w:color w:val="auto"/>
              </w:rPr>
            </w:pPr>
          </w:p>
        </w:tc>
        <w:tc>
          <w:tcPr>
            <w:tcW w:w="7520" w:type="dxa"/>
            <w:vAlign w:val="bottom"/>
            <w:gridSpan w:val="7"/>
          </w:tcPr>
          <w:p>
            <w:pPr>
              <w:spacing w:after="0"/>
              <w:rPr>
                <w:rFonts w:ascii="Times New Roman" w:cs="Times New Roman" w:eastAsia="Times New Roman" w:hAnsi="Times New Roman"/>
                <w:sz w:val="14"/>
                <w:szCs w:val="14"/>
                <w:color w:val="0000EE"/>
                <w:w w:val="98"/>
              </w:rPr>
            </w:pPr>
            <w:hyperlink r:id="rId88">
              <w:r>
                <w:rPr>
                  <w:rFonts w:ascii="Times New Roman" w:cs="Times New Roman" w:eastAsia="Times New Roman" w:hAnsi="Times New Roman"/>
                  <w:sz w:val="14"/>
                  <w:szCs w:val="14"/>
                  <w:color w:val="0000EE"/>
                  <w:w w:val="98"/>
                </w:rPr>
                <w:t>Amended and Restated Certificate of Incorporation of the Registrant (incorporated herein by reference to Exhibit 3.1 to the Company’s</w:t>
              </w:r>
            </w:hyperlink>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Borders>
              <w:top w:val="single" w:sz="8" w:color="0000EE"/>
              <w:bottom w:val="single" w:sz="8" w:color="0000EE"/>
            </w:tcBorders>
            <w:gridSpan w:val="3"/>
          </w:tcPr>
          <w:p>
            <w:pPr>
              <w:spacing w:after="0" w:line="143" w:lineRule="exact"/>
              <w:rPr>
                <w:rFonts w:ascii="Times New Roman" w:cs="Times New Roman" w:eastAsia="Times New Roman" w:hAnsi="Times New Roman"/>
                <w:sz w:val="14"/>
                <w:szCs w:val="14"/>
                <w:color w:val="0000EE"/>
                <w:w w:val="96"/>
              </w:rPr>
            </w:pPr>
            <w:hyperlink r:id="rId88">
              <w:r>
                <w:rPr>
                  <w:rFonts w:ascii="Times New Roman" w:cs="Times New Roman" w:eastAsia="Times New Roman" w:hAnsi="Times New Roman"/>
                  <w:sz w:val="14"/>
                  <w:szCs w:val="14"/>
                  <w:color w:val="0000EE"/>
                  <w:w w:val="96"/>
                </w:rPr>
                <w:t>Current Report on Form 8-K (File No. 001-39692), filed with the SEC on August 3, 2021).</w:t>
              </w:r>
            </w:hyperlink>
          </w:p>
        </w:tc>
        <w:tc>
          <w:tcPr>
            <w:tcW w:w="2380" w:type="dxa"/>
            <w:vAlign w:val="bottom"/>
            <w:tcBorders>
              <w:top w:val="single" w:sz="8" w:color="0000EE"/>
            </w:tcBorders>
            <w:gridSpan w:val="2"/>
          </w:tcPr>
          <w:p>
            <w:pPr>
              <w:spacing w:after="0"/>
              <w:rPr>
                <w:sz w:val="12"/>
                <w:szCs w:val="12"/>
                <w:color w:val="auto"/>
              </w:rPr>
            </w:pP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160" w:type="dxa"/>
            <w:vAlign w:val="bottom"/>
          </w:tcPr>
          <w:p>
            <w:pPr>
              <w:spacing w:after="0"/>
              <w:rPr>
                <w:sz w:val="19"/>
                <w:szCs w:val="19"/>
                <w:color w:val="auto"/>
              </w:rPr>
            </w:pPr>
          </w:p>
        </w:tc>
        <w:tc>
          <w:tcPr>
            <w:tcW w:w="7520" w:type="dxa"/>
            <w:vAlign w:val="bottom"/>
            <w:gridSpan w:val="7"/>
          </w:tcPr>
          <w:p>
            <w:pPr>
              <w:spacing w:after="0"/>
              <w:rPr>
                <w:rFonts w:ascii="Times New Roman" w:cs="Times New Roman" w:eastAsia="Times New Roman" w:hAnsi="Times New Roman"/>
                <w:sz w:val="14"/>
                <w:szCs w:val="14"/>
                <w:color w:val="0000EE"/>
                <w:w w:val="96"/>
              </w:rPr>
            </w:pPr>
            <w:hyperlink r:id="rId89">
              <w:r>
                <w:rPr>
                  <w:rFonts w:ascii="Times New Roman" w:cs="Times New Roman" w:eastAsia="Times New Roman" w:hAnsi="Times New Roman"/>
                  <w:sz w:val="14"/>
                  <w:szCs w:val="14"/>
                  <w:color w:val="0000EE"/>
                  <w:w w:val="96"/>
                </w:rPr>
                <w:t>Certificate of Amendment of the Amended and Restated Certificate of Incorporation of the Registrant (incorporated herein by reference to</w:t>
              </w:r>
            </w:hyperlink>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0" w:type="dxa"/>
            <w:vAlign w:val="bottom"/>
            <w:tcBorders>
              <w:top w:val="single" w:sz="8" w:color="0000EE"/>
              <w:bottom w:val="single" w:sz="8" w:color="0000EE"/>
            </w:tcBorders>
            <w:gridSpan w:val="4"/>
          </w:tcPr>
          <w:p>
            <w:pPr>
              <w:spacing w:after="0" w:line="143" w:lineRule="exact"/>
              <w:rPr>
                <w:rFonts w:ascii="Times New Roman" w:cs="Times New Roman" w:eastAsia="Times New Roman" w:hAnsi="Times New Roman"/>
                <w:sz w:val="14"/>
                <w:szCs w:val="14"/>
                <w:color w:val="0000EE"/>
                <w:w w:val="96"/>
              </w:rPr>
            </w:pPr>
            <w:hyperlink r:id="rId89">
              <w:r>
                <w:rPr>
                  <w:rFonts w:ascii="Times New Roman" w:cs="Times New Roman" w:eastAsia="Times New Roman" w:hAnsi="Times New Roman"/>
                  <w:sz w:val="14"/>
                  <w:szCs w:val="14"/>
                  <w:color w:val="0000EE"/>
                  <w:w w:val="96"/>
                </w:rPr>
                <w:t>Exhibit 3.1 to the Company’s Current Report on Form 8-K (File No. 001-39692), filed with the SEC on June 4, 2025).</w:t>
              </w:r>
            </w:hyperlink>
          </w:p>
        </w:tc>
        <w:tc>
          <w:tcPr>
            <w:tcW w:w="1080" w:type="dxa"/>
            <w:vAlign w:val="bottom"/>
            <w:tcBorders>
              <w:top w:val="single" w:sz="8" w:color="0000EE"/>
            </w:tcBorders>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4.3</w:t>
            </w:r>
          </w:p>
        </w:tc>
        <w:tc>
          <w:tcPr>
            <w:tcW w:w="160" w:type="dxa"/>
            <w:vAlign w:val="bottom"/>
          </w:tcPr>
          <w:p>
            <w:pPr>
              <w:spacing w:after="0"/>
              <w:rPr>
                <w:sz w:val="19"/>
                <w:szCs w:val="19"/>
                <w:color w:val="auto"/>
              </w:rPr>
            </w:pPr>
          </w:p>
        </w:tc>
        <w:tc>
          <w:tcPr>
            <w:tcW w:w="752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w w:val="96"/>
              </w:rPr>
            </w:pPr>
            <w:hyperlink r:id="rId90">
              <w:r>
                <w:rPr>
                  <w:rFonts w:ascii="Times New Roman" w:cs="Times New Roman" w:eastAsia="Times New Roman" w:hAnsi="Times New Roman"/>
                  <w:sz w:val="14"/>
                  <w:szCs w:val="14"/>
                  <w:color w:val="0000EE"/>
                  <w:w w:val="96"/>
                </w:rPr>
                <w:t>Second Amended and Restated Bylaws of the Company (incorporated herein by reference to Exhibit 3.1 to the Company’s Current Report</w:t>
              </w:r>
            </w:hyperlink>
          </w:p>
        </w:tc>
        <w:tc>
          <w:tcPr>
            <w:tcW w:w="0" w:type="dxa"/>
            <w:vAlign w:val="bottom"/>
          </w:tcPr>
          <w:p>
            <w:pPr>
              <w:spacing w:after="0"/>
              <w:rPr>
                <w:sz w:val="1"/>
                <w:szCs w:val="1"/>
                <w:color w:val="auto"/>
              </w:rPr>
            </w:pPr>
          </w:p>
        </w:tc>
      </w:tr>
      <w:tr>
        <w:trPr>
          <w:trHeight w:val="142"/>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40" w:type="dxa"/>
            <w:vAlign w:val="bottom"/>
            <w:tcBorders>
              <w:bottom w:val="single" w:sz="8" w:color="0000EE"/>
            </w:tcBorders>
            <w:gridSpan w:val="2"/>
          </w:tcPr>
          <w:p>
            <w:pPr>
              <w:spacing w:after="0" w:line="143" w:lineRule="exact"/>
              <w:rPr>
                <w:rFonts w:ascii="Times New Roman" w:cs="Times New Roman" w:eastAsia="Times New Roman" w:hAnsi="Times New Roman"/>
                <w:sz w:val="14"/>
                <w:szCs w:val="14"/>
                <w:color w:val="0000EE"/>
                <w:w w:val="96"/>
              </w:rPr>
            </w:pPr>
            <w:hyperlink r:id="rId90">
              <w:r>
                <w:rPr>
                  <w:rFonts w:ascii="Times New Roman" w:cs="Times New Roman" w:eastAsia="Times New Roman" w:hAnsi="Times New Roman"/>
                  <w:sz w:val="14"/>
                  <w:szCs w:val="14"/>
                  <w:color w:val="0000EE"/>
                  <w:w w:val="96"/>
                </w:rPr>
                <w:t>on Form 8-K (File No. 001-39692), filed with the SEC on December 7, 2023).</w:t>
              </w:r>
            </w:hyperlink>
          </w:p>
        </w:tc>
        <w:tc>
          <w:tcPr>
            <w:tcW w:w="328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4.4*</w:t>
            </w:r>
          </w:p>
        </w:tc>
        <w:tc>
          <w:tcPr>
            <w:tcW w:w="160" w:type="dxa"/>
            <w:vAlign w:val="bottom"/>
          </w:tcPr>
          <w:p>
            <w:pPr>
              <w:spacing w:after="0"/>
              <w:rPr>
                <w:sz w:val="22"/>
                <w:szCs w:val="22"/>
                <w:color w:val="auto"/>
              </w:rPr>
            </w:pPr>
          </w:p>
        </w:tc>
        <w:tc>
          <w:tcPr>
            <w:tcW w:w="75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Specimen Preferred Stock Certificate and Form of Certificate of Designation of Preferred Stock.</w:t>
            </w:r>
          </w:p>
        </w:tc>
        <w:tc>
          <w:tcPr>
            <w:tcW w:w="0" w:type="dxa"/>
            <w:vAlign w:val="bottom"/>
          </w:tcPr>
          <w:p>
            <w:pPr>
              <w:spacing w:after="0"/>
              <w:rPr>
                <w:sz w:val="1"/>
                <w:szCs w:val="1"/>
                <w:color w:val="auto"/>
              </w:rPr>
            </w:pPr>
          </w:p>
        </w:tc>
      </w:tr>
      <w:tr>
        <w:trPr>
          <w:trHeight w:val="214"/>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4.5</w:t>
            </w:r>
          </w:p>
        </w:tc>
        <w:tc>
          <w:tcPr>
            <w:tcW w:w="160" w:type="dxa"/>
            <w:vAlign w:val="bottom"/>
          </w:tcPr>
          <w:p>
            <w:pPr>
              <w:spacing w:after="0"/>
              <w:rPr>
                <w:sz w:val="18"/>
                <w:szCs w:val="18"/>
                <w:color w:val="auto"/>
              </w:rPr>
            </w:pPr>
          </w:p>
        </w:tc>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4"/>
              </w:rPr>
              <w:t>Form of Indenture.</w:t>
            </w:r>
          </w:p>
        </w:tc>
        <w:tc>
          <w:tcPr>
            <w:tcW w:w="65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4.6*</w:t>
            </w:r>
          </w:p>
        </w:tc>
        <w:tc>
          <w:tcPr>
            <w:tcW w:w="160" w:type="dxa"/>
            <w:vAlign w:val="bottom"/>
          </w:tcPr>
          <w:p>
            <w:pPr>
              <w:spacing w:after="0"/>
              <w:rPr>
                <w:sz w:val="22"/>
                <w:szCs w:val="22"/>
                <w:color w:val="auto"/>
              </w:rPr>
            </w:pPr>
          </w:p>
        </w:tc>
        <w:tc>
          <w:tcPr>
            <w:tcW w:w="75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Debt Securities.</w:t>
            </w:r>
          </w:p>
        </w:tc>
        <w:tc>
          <w:tcPr>
            <w:tcW w:w="0" w:type="dxa"/>
            <w:vAlign w:val="bottom"/>
          </w:tcPr>
          <w:p>
            <w:pPr>
              <w:spacing w:after="0"/>
              <w:rPr>
                <w:sz w:val="1"/>
                <w:szCs w:val="1"/>
                <w:color w:val="auto"/>
              </w:rPr>
            </w:pPr>
          </w:p>
        </w:tc>
      </w:tr>
      <w:tr>
        <w:trPr>
          <w:trHeight w:val="244"/>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4.7*</w:t>
            </w:r>
          </w:p>
        </w:tc>
        <w:tc>
          <w:tcPr>
            <w:tcW w:w="160" w:type="dxa"/>
            <w:vAlign w:val="bottom"/>
          </w:tcPr>
          <w:p>
            <w:pPr>
              <w:spacing w:after="0"/>
              <w:rPr>
                <w:sz w:val="21"/>
                <w:szCs w:val="21"/>
                <w:color w:val="auto"/>
              </w:rPr>
            </w:pPr>
          </w:p>
        </w:tc>
        <w:tc>
          <w:tcPr>
            <w:tcW w:w="75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Common Stock Warrant Agreement and Warrant Certificate</w:t>
            </w:r>
          </w:p>
        </w:tc>
        <w:tc>
          <w:tcPr>
            <w:tcW w:w="0" w:type="dxa"/>
            <w:vAlign w:val="bottom"/>
          </w:tcPr>
          <w:p>
            <w:pPr>
              <w:spacing w:after="0"/>
              <w:rPr>
                <w:sz w:val="1"/>
                <w:szCs w:val="1"/>
                <w:color w:val="auto"/>
              </w:rPr>
            </w:pPr>
          </w:p>
        </w:tc>
      </w:tr>
      <w:tr>
        <w:trPr>
          <w:trHeight w:val="244"/>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4.8*</w:t>
            </w:r>
          </w:p>
        </w:tc>
        <w:tc>
          <w:tcPr>
            <w:tcW w:w="160" w:type="dxa"/>
            <w:vAlign w:val="bottom"/>
          </w:tcPr>
          <w:p>
            <w:pPr>
              <w:spacing w:after="0"/>
              <w:rPr>
                <w:sz w:val="21"/>
                <w:szCs w:val="21"/>
                <w:color w:val="auto"/>
              </w:rPr>
            </w:pPr>
          </w:p>
        </w:tc>
        <w:tc>
          <w:tcPr>
            <w:tcW w:w="75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Preferred Stock Warrant Agreement and Warrant Certificate</w:t>
            </w:r>
          </w:p>
        </w:tc>
        <w:tc>
          <w:tcPr>
            <w:tcW w:w="0" w:type="dxa"/>
            <w:vAlign w:val="bottom"/>
          </w:tcPr>
          <w:p>
            <w:pPr>
              <w:spacing w:after="0"/>
              <w:rPr>
                <w:sz w:val="1"/>
                <w:szCs w:val="1"/>
                <w:color w:val="auto"/>
              </w:rPr>
            </w:pPr>
          </w:p>
        </w:tc>
      </w:tr>
      <w:tr>
        <w:trPr>
          <w:trHeight w:val="244"/>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  4.9*</w:t>
            </w:r>
          </w:p>
        </w:tc>
        <w:tc>
          <w:tcPr>
            <w:tcW w:w="160" w:type="dxa"/>
            <w:vAlign w:val="bottom"/>
          </w:tcPr>
          <w:p>
            <w:pPr>
              <w:spacing w:after="0"/>
              <w:rPr>
                <w:sz w:val="21"/>
                <w:szCs w:val="21"/>
                <w:color w:val="auto"/>
              </w:rPr>
            </w:pPr>
          </w:p>
        </w:tc>
        <w:tc>
          <w:tcPr>
            <w:tcW w:w="75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Debt Securities Warrant Agreement and Warrant Certificate</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580" w:hanging="77"/>
        <w:spacing w:after="0"/>
        <w:tabs>
          <w:tab w:leader="none" w:pos="15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4.10*</w:t>
      </w:r>
      <w:r>
        <w:rPr>
          <w:rFonts w:ascii="Times New Roman" w:cs="Times New Roman" w:eastAsia="Times New Roman" w:hAnsi="Times New Roman"/>
          <w:sz w:val="12"/>
          <w:szCs w:val="12"/>
          <w:color w:val="auto"/>
        </w:rPr>
        <w:t>Form of Rights Agreement</w:t>
      </w:r>
    </w:p>
    <w:p>
      <w:pPr>
        <w:spacing w:after="0" w:line="82" w:lineRule="exact"/>
        <w:rPr>
          <w:rFonts w:ascii="Times New Roman" w:cs="Times New Roman" w:eastAsia="Times New Roman" w:hAnsi="Times New Roman"/>
          <w:sz w:val="14"/>
          <w:szCs w:val="14"/>
          <w:color w:val="auto"/>
        </w:rPr>
      </w:pPr>
    </w:p>
    <w:p>
      <w:pPr>
        <w:ind w:left="1580" w:hanging="77"/>
        <w:spacing w:after="0"/>
        <w:tabs>
          <w:tab w:leader="none" w:pos="15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4.11*</w:t>
      </w:r>
      <w:r>
        <w:rPr>
          <w:rFonts w:ascii="Times New Roman" w:cs="Times New Roman" w:eastAsia="Times New Roman" w:hAnsi="Times New Roman"/>
          <w:sz w:val="12"/>
          <w:szCs w:val="12"/>
          <w:color w:val="auto"/>
        </w:rPr>
        <w:t>Form of Unit Agreement</w:t>
      </w:r>
    </w:p>
    <w:p>
      <w:pPr>
        <w:spacing w:after="0" w:line="66"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Opinion of Cooley LLP</w:t>
            </w:r>
          </w:p>
        </w:tc>
      </w:tr>
      <w:tr>
        <w:trPr>
          <w:trHeight w:val="20"/>
        </w:trPr>
        <w:tc>
          <w:tcPr>
            <w:tcW w:w="76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2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45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5"/>
              </w:rPr>
              <w:t>Consent of CohnReznick LLP, an Independent Registered Public Accounting Firm.</w:t>
            </w:r>
          </w:p>
        </w:tc>
      </w:tr>
      <w:tr>
        <w:trPr>
          <w:trHeight w:val="22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Consent of Cooley LLP (included in Exhibit 5.1).</w:t>
            </w:r>
          </w:p>
        </w:tc>
      </w:tr>
      <w:tr>
        <w:trPr>
          <w:trHeight w:val="284"/>
        </w:trPr>
        <w:tc>
          <w:tcPr>
            <w:tcW w:w="76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8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II-2</w:t>
            </w:r>
          </w:p>
        </w:tc>
      </w:tr>
    </w:tbl>
    <w:p>
      <w:pPr>
        <w:sectPr>
          <w:pgSz w:w="11900" w:h="16838" w:orient="portrait"/>
          <w:cols w:equalWidth="0" w:num="1">
            <w:col w:w="10159"/>
          </w:cols>
          <w:pgMar w:left="300" w:top="37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500" w:type="dxa"/>
        <w:tblCellMar>
          <w:top w:w="0" w:type="dxa"/>
          <w:left w:w="0" w:type="dxa"/>
          <w:bottom w:w="0" w:type="dxa"/>
          <w:right w:w="0" w:type="dxa"/>
        </w:tblCellMar>
      </w:tblPr>
      <w:tr>
        <w:trPr>
          <w:trHeight w:val="126"/>
        </w:trPr>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160" w:type="dxa"/>
            <w:vAlign w:val="bottom"/>
          </w:tcPr>
          <w:p>
            <w:pPr>
              <w:spacing w:after="0"/>
              <w:rPr>
                <w:sz w:val="11"/>
                <w:szCs w:val="11"/>
                <w:color w:val="auto"/>
              </w:rPr>
            </w:pPr>
          </w:p>
        </w:tc>
        <w:tc>
          <w:tcPr>
            <w:tcW w:w="7600" w:type="dxa"/>
            <w:vAlign w:val="bottom"/>
            <w:gridSpan w:val="2"/>
            <w:vMerge w:val="restart"/>
          </w:tcPr>
          <w:p>
            <w:pPr>
              <w:ind w:left="35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1"/>
        </w:trPr>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160" w:type="dxa"/>
            <w:vAlign w:val="bottom"/>
          </w:tcPr>
          <w:p>
            <w:pPr>
              <w:spacing w:after="0"/>
              <w:rPr>
                <w:sz w:val="11"/>
                <w:szCs w:val="11"/>
                <w:color w:val="auto"/>
              </w:rPr>
            </w:pPr>
          </w:p>
        </w:tc>
        <w:tc>
          <w:tcPr>
            <w:tcW w:w="760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160" w:type="dxa"/>
            <w:vAlign w:val="bottom"/>
          </w:tcPr>
          <w:p>
            <w:pPr>
              <w:spacing w:after="0"/>
              <w:rPr>
                <w:sz w:val="16"/>
                <w:szCs w:val="16"/>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 to this registration statement).</w:t>
            </w:r>
          </w:p>
        </w:tc>
        <w:tc>
          <w:tcPr>
            <w:tcW w:w="0" w:type="dxa"/>
            <w:vAlign w:val="bottom"/>
          </w:tcPr>
          <w:p>
            <w:pPr>
              <w:spacing w:after="0"/>
              <w:rPr>
                <w:sz w:val="1"/>
                <w:szCs w:val="1"/>
                <w:color w:val="auto"/>
              </w:rPr>
            </w:pPr>
          </w:p>
        </w:tc>
      </w:t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25.1**</w:t>
            </w:r>
          </w:p>
        </w:tc>
        <w:tc>
          <w:tcPr>
            <w:tcW w:w="160" w:type="dxa"/>
            <w:vAlign w:val="bottom"/>
          </w:tcPr>
          <w:p>
            <w:pPr>
              <w:spacing w:after="0"/>
              <w:rPr>
                <w:sz w:val="22"/>
                <w:szCs w:val="22"/>
                <w:color w:val="auto"/>
              </w:rPr>
            </w:pPr>
          </w:p>
        </w:tc>
        <w:tc>
          <w:tcPr>
            <w:tcW w:w="43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color w:val="auto"/>
              </w:rPr>
              <w:t>Statement of Eligibility of Trustee Under the Indenture.</w:t>
            </w:r>
          </w:p>
        </w:tc>
        <w:tc>
          <w:tcPr>
            <w:tcW w:w="3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180" w:hanging="677"/>
        <w:spacing w:after="0"/>
        <w:tabs>
          <w:tab w:leader="none" w:pos="21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73660</wp:posOffset>
            </wp:positionV>
            <wp:extent cx="57975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579755" cy="6350"/>
                    </a:xfrm>
                    <a:prstGeom prst="rect">
                      <a:avLst/>
                    </a:prstGeom>
                    <a:noFill/>
                  </pic:spPr>
                </pic:pic>
              </a:graphicData>
            </a:graphic>
          </wp:anchor>
        </w:drawing>
      </w:r>
    </w:p>
    <w:p>
      <w:pPr>
        <w:spacing w:after="0" w:line="123" w:lineRule="exact"/>
        <w:rPr>
          <w:sz w:val="20"/>
          <w:szCs w:val="20"/>
          <w:color w:val="auto"/>
        </w:rPr>
      </w:pPr>
    </w:p>
    <w:p>
      <w:pPr>
        <w:ind w:left="1820" w:hanging="317"/>
        <w:spacing w:after="0"/>
        <w:tabs>
          <w:tab w:leader="none" w:pos="18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as an exhibit to a Current Report on Form 8-K and incorporated herein by reference, if applicable.</w:t>
      </w:r>
    </w:p>
    <w:p>
      <w:pPr>
        <w:spacing w:after="0" w:line="14" w:lineRule="exact"/>
        <w:rPr>
          <w:sz w:val="20"/>
          <w:szCs w:val="20"/>
          <w:color w:val="auto"/>
        </w:rPr>
      </w:pPr>
    </w:p>
    <w:p>
      <w:pPr>
        <w:ind w:left="1820" w:right="679" w:hanging="317"/>
        <w:spacing w:after="0" w:line="244" w:lineRule="auto"/>
        <w:tabs>
          <w:tab w:leader="none" w:pos="18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in accordance with the requirements of Section 305(b)(2) of the Trust Indenture Act of 1939, as amended, and the applicable rules thereunder.</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8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64" w:lineRule="exact"/>
        <w:rPr>
          <w:sz w:val="20"/>
          <w:szCs w:val="20"/>
          <w:color w:val="auto"/>
        </w:rPr>
      </w:pPr>
    </w:p>
    <w:p>
      <w:pPr>
        <w:ind w:left="2020" w:hanging="186"/>
        <w:spacing w:after="0"/>
        <w:tabs>
          <w:tab w:leader="none" w:pos="20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63" w:lineRule="exact"/>
        <w:rPr>
          <w:rFonts w:ascii="Times New Roman" w:cs="Times New Roman" w:eastAsia="Times New Roman" w:hAnsi="Times New Roman"/>
          <w:sz w:val="14"/>
          <w:szCs w:val="14"/>
          <w:color w:val="auto"/>
        </w:rPr>
      </w:pPr>
    </w:p>
    <w:p>
      <w:pPr>
        <w:ind w:left="2420" w:hanging="171"/>
        <w:spacing w:after="0"/>
        <w:tabs>
          <w:tab w:leader="none" w:pos="24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63" w:lineRule="exact"/>
        <w:rPr>
          <w:rFonts w:ascii="Times New Roman" w:cs="Times New Roman" w:eastAsia="Times New Roman" w:hAnsi="Times New Roman"/>
          <w:sz w:val="14"/>
          <w:szCs w:val="14"/>
          <w:color w:val="auto"/>
        </w:rPr>
      </w:pPr>
    </w:p>
    <w:p>
      <w:pPr>
        <w:ind w:left="1500" w:right="379" w:firstLine="749"/>
        <w:spacing w:after="0" w:line="295" w:lineRule="auto"/>
        <w:tabs>
          <w:tab w:leader="none" w:pos="2444"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19" w:lineRule="exact"/>
        <w:rPr>
          <w:rFonts w:ascii="Times New Roman" w:cs="Times New Roman" w:eastAsia="Times New Roman" w:hAnsi="Times New Roman"/>
          <w:sz w:val="12"/>
          <w:szCs w:val="12"/>
          <w:color w:val="auto"/>
        </w:rPr>
      </w:pPr>
    </w:p>
    <w:p>
      <w:pPr>
        <w:ind w:left="1500" w:right="399" w:firstLine="749"/>
        <w:spacing w:after="0" w:line="262" w:lineRule="auto"/>
        <w:tabs>
          <w:tab w:leader="none" w:pos="2482"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4" w:lineRule="exact"/>
        <w:rPr>
          <w:sz w:val="20"/>
          <w:szCs w:val="20"/>
          <w:color w:val="auto"/>
        </w:rPr>
      </w:pPr>
    </w:p>
    <w:p>
      <w:pPr>
        <w:ind w:left="1500" w:right="399" w:firstLine="745"/>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paragraphs (1)(i), (1)(ii) and (1)(iii)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46" w:lineRule="exact"/>
        <w:rPr>
          <w:sz w:val="20"/>
          <w:szCs w:val="20"/>
          <w:color w:val="auto"/>
        </w:rPr>
      </w:pPr>
    </w:p>
    <w:p>
      <w:pPr>
        <w:ind w:left="1500" w:right="459" w:firstLine="334"/>
        <w:spacing w:after="0" w:line="252" w:lineRule="auto"/>
        <w:tabs>
          <w:tab w:leader="none" w:pos="2023"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 xml:space="preserve">bona fide </w:t>
      </w:r>
      <w:r>
        <w:rPr>
          <w:rFonts w:ascii="Times New Roman" w:cs="Times New Roman" w:eastAsia="Times New Roman" w:hAnsi="Times New Roman"/>
          <w:sz w:val="14"/>
          <w:szCs w:val="14"/>
          <w:color w:val="auto"/>
        </w:rPr>
        <w:t>offering thereof.</w:t>
      </w:r>
    </w:p>
    <w:p>
      <w:pPr>
        <w:spacing w:after="0" w:line="142" w:lineRule="exact"/>
        <w:rPr>
          <w:rFonts w:ascii="Times New Roman" w:cs="Times New Roman" w:eastAsia="Times New Roman" w:hAnsi="Times New Roman"/>
          <w:sz w:val="14"/>
          <w:szCs w:val="14"/>
          <w:color w:val="auto"/>
        </w:rPr>
      </w:pPr>
    </w:p>
    <w:p>
      <w:pPr>
        <w:ind w:left="1500" w:right="859" w:firstLine="334"/>
        <w:spacing w:after="0" w:line="262" w:lineRule="auto"/>
        <w:tabs>
          <w:tab w:leader="none" w:pos="2023"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35" w:lineRule="exact"/>
        <w:rPr>
          <w:rFonts w:ascii="Times New Roman" w:cs="Times New Roman" w:eastAsia="Times New Roman" w:hAnsi="Times New Roman"/>
          <w:sz w:val="14"/>
          <w:szCs w:val="14"/>
          <w:color w:val="auto"/>
        </w:rPr>
      </w:pPr>
    </w:p>
    <w:p>
      <w:pPr>
        <w:ind w:left="2020" w:hanging="186"/>
        <w:spacing w:after="0"/>
        <w:tabs>
          <w:tab w:leader="none" w:pos="20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63" w:lineRule="exact"/>
        <w:rPr>
          <w:rFonts w:ascii="Times New Roman" w:cs="Times New Roman" w:eastAsia="Times New Roman" w:hAnsi="Times New Roman"/>
          <w:sz w:val="14"/>
          <w:szCs w:val="14"/>
          <w:color w:val="auto"/>
        </w:rPr>
      </w:pPr>
    </w:p>
    <w:p>
      <w:pPr>
        <w:ind w:left="1500" w:right="439" w:firstLine="749"/>
        <w:spacing w:after="0" w:line="262" w:lineRule="auto"/>
        <w:tabs>
          <w:tab w:leader="none" w:pos="2407"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7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right="399" w:firstLine="749"/>
        <w:spacing w:after="0" w:line="244" w:lineRule="auto"/>
        <w:tabs>
          <w:tab w:leader="none" w:pos="2444"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8" w:lineRule="exact"/>
        <w:rPr>
          <w:rFonts w:ascii="Times New Roman" w:cs="Times New Roman" w:eastAsia="Times New Roman" w:hAnsi="Times New Roman"/>
          <w:sz w:val="14"/>
          <w:szCs w:val="14"/>
          <w:color w:val="auto"/>
        </w:rPr>
      </w:pPr>
    </w:p>
    <w:p>
      <w:pPr>
        <w:ind w:left="1500" w:right="419" w:firstLine="334"/>
        <w:spacing w:after="0" w:line="247" w:lineRule="auto"/>
        <w:tabs>
          <w:tab w:leader="none" w:pos="202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5" w:lineRule="exact"/>
        <w:rPr>
          <w:rFonts w:ascii="Times New Roman" w:cs="Times New Roman" w:eastAsia="Times New Roman" w:hAnsi="Times New Roman"/>
          <w:sz w:val="14"/>
          <w:szCs w:val="14"/>
          <w:color w:val="auto"/>
        </w:rPr>
      </w:pPr>
    </w:p>
    <w:p>
      <w:pPr>
        <w:ind w:left="2420" w:hanging="171"/>
        <w:spacing w:after="0"/>
        <w:tabs>
          <w:tab w:leader="none" w:pos="242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w:t>
      </w:r>
    </w:p>
    <w:p>
      <w:pPr>
        <w:spacing w:after="0" w:line="13" w:lineRule="exact"/>
        <w:rPr>
          <w:rFonts w:ascii="Times New Roman" w:cs="Times New Roman" w:eastAsia="Times New Roman" w:hAnsi="Times New Roman"/>
          <w:sz w:val="14"/>
          <w:szCs w:val="14"/>
          <w:color w:val="auto"/>
        </w:rPr>
      </w:pPr>
    </w:p>
    <w:p>
      <w:pPr>
        <w:ind w:left="1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424;</w:t>
      </w:r>
    </w:p>
    <w:p>
      <w:pPr>
        <w:spacing w:after="0" w:line="151" w:lineRule="exact"/>
        <w:rPr>
          <w:rFonts w:ascii="Times New Roman" w:cs="Times New Roman" w:eastAsia="Times New Roman" w:hAnsi="Times New Roman"/>
          <w:sz w:val="14"/>
          <w:szCs w:val="14"/>
          <w:color w:val="auto"/>
        </w:rPr>
      </w:pPr>
    </w:p>
    <w:p>
      <w:pPr>
        <w:ind w:left="1500" w:right="459" w:firstLine="749"/>
        <w:spacing w:after="0" w:line="262" w:lineRule="auto"/>
        <w:tabs>
          <w:tab w:leader="none" w:pos="2444"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35" w:lineRule="exact"/>
        <w:rPr>
          <w:rFonts w:ascii="Times New Roman" w:cs="Times New Roman" w:eastAsia="Times New Roman" w:hAnsi="Times New Roman"/>
          <w:sz w:val="14"/>
          <w:szCs w:val="14"/>
          <w:color w:val="auto"/>
        </w:rPr>
      </w:pPr>
    </w:p>
    <w:p>
      <w:pPr>
        <w:ind w:left="1500" w:right="839" w:firstLine="749"/>
        <w:spacing w:after="0" w:line="262" w:lineRule="auto"/>
        <w:tabs>
          <w:tab w:leader="none" w:pos="2482"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5" w:lineRule="exact"/>
        <w:rPr>
          <w:rFonts w:ascii="Times New Roman" w:cs="Times New Roman" w:eastAsia="Times New Roman" w:hAnsi="Times New Roman"/>
          <w:sz w:val="14"/>
          <w:szCs w:val="14"/>
          <w:color w:val="auto"/>
        </w:rPr>
      </w:pPr>
    </w:p>
    <w:p>
      <w:pPr>
        <w:ind w:left="2480" w:hanging="231"/>
        <w:spacing w:after="0"/>
        <w:tabs>
          <w:tab w:leader="none" w:pos="24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63" w:lineRule="exact"/>
        <w:rPr>
          <w:rFonts w:ascii="Times New Roman" w:cs="Times New Roman" w:eastAsia="Times New Roman" w:hAnsi="Times New Roman"/>
          <w:sz w:val="14"/>
          <w:szCs w:val="14"/>
          <w:color w:val="auto"/>
        </w:rPr>
      </w:pPr>
    </w:p>
    <w:p>
      <w:pPr>
        <w:ind w:left="1500" w:right="459" w:firstLine="334"/>
        <w:spacing w:after="0" w:line="247" w:lineRule="auto"/>
        <w:tabs>
          <w:tab w:leader="none" w:pos="202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liability of the registrant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145" w:lineRule="exact"/>
        <w:rPr>
          <w:rFonts w:ascii="Times New Roman" w:cs="Times New Roman" w:eastAsia="Times New Roman" w:hAnsi="Times New Roman"/>
          <w:sz w:val="14"/>
          <w:szCs w:val="14"/>
          <w:color w:val="auto"/>
        </w:rPr>
      </w:pPr>
    </w:p>
    <w:p>
      <w:pPr>
        <w:ind w:left="1500" w:right="379" w:firstLine="334"/>
        <w:spacing w:after="0" w:line="244" w:lineRule="auto"/>
        <w:tabs>
          <w:tab w:leader="none" w:pos="202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77"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9" w:lineRule="exact"/>
        <w:rPr>
          <w:sz w:val="20"/>
          <w:szCs w:val="20"/>
          <w:color w:val="auto"/>
        </w:rPr>
      </w:pPr>
    </w:p>
    <w:p>
      <w:pPr>
        <w:ind w:left="1500" w:right="859" w:firstLine="334"/>
        <w:spacing w:after="0" w:line="345" w:lineRule="auto"/>
        <w:tabs>
          <w:tab w:leader="none" w:pos="2023"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7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Table of Contents</w:t>
      </w:r>
    </w:p>
    <w:p>
      <w:pPr>
        <w:spacing w:after="0" w:line="2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68" w:lineRule="exact"/>
        <w:rPr>
          <w:sz w:val="20"/>
          <w:szCs w:val="20"/>
          <w:color w:val="auto"/>
        </w:rPr>
      </w:pPr>
    </w:p>
    <w:p>
      <w:pPr>
        <w:jc w:val="both"/>
        <w:ind w:left="1500" w:right="859"/>
        <w:spacing w:after="0" w:line="25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State of New York, on this 7th day of November, 2025.</w:t>
      </w:r>
    </w:p>
    <w:p>
      <w:pPr>
        <w:spacing w:after="0" w:line="15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IN8BIO, INC.</w:t>
      </w:r>
    </w:p>
    <w:p>
      <w:pPr>
        <w:spacing w:after="0" w:line="16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color w:val="auto"/>
        </w:rPr>
        <w:t>By: /s/ William Ho</w:t>
      </w:r>
    </w:p>
    <w:p>
      <w:pPr>
        <w:spacing w:after="0" w:line="1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-100965</wp:posOffset>
            </wp:positionV>
            <wp:extent cx="195262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1952625" cy="6350"/>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3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68" w:lineRule="exact"/>
        <w:rPr>
          <w:sz w:val="20"/>
          <w:szCs w:val="20"/>
          <w:color w:val="auto"/>
        </w:rPr>
      </w:pPr>
    </w:p>
    <w:p>
      <w:pPr>
        <w:ind w:left="1500" w:right="439" w:firstLine="331"/>
        <w:spacing w:after="0" w:line="244" w:lineRule="auto"/>
        <w:rPr>
          <w:sz w:val="20"/>
          <w:szCs w:val="20"/>
          <w:color w:val="auto"/>
        </w:rPr>
      </w:pPr>
      <w:r>
        <w:rPr>
          <w:rFonts w:ascii="Times New Roman" w:cs="Times New Roman" w:eastAsia="Times New Roman" w:hAnsi="Times New Roman"/>
          <w:sz w:val="14"/>
          <w:szCs w:val="14"/>
          <w:color w:val="auto"/>
        </w:rPr>
        <w:t>KNOW ALL BY THESE PRESENTS, that each person whose signature appears below constitutes and appoints William Ho and Patrick McCall,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her substitute or substitutes, may lawfully do or cause to be done by virtue hereof.</w:t>
      </w:r>
    </w:p>
    <w:p>
      <w:pPr>
        <w:spacing w:after="0" w:line="151" w:lineRule="exact"/>
        <w:rPr>
          <w:sz w:val="20"/>
          <w:szCs w:val="20"/>
          <w:color w:val="auto"/>
        </w:rPr>
      </w:pPr>
    </w:p>
    <w:p>
      <w:pPr>
        <w:ind w:left="1500" w:right="739" w:firstLine="331"/>
        <w:spacing w:after="0" w:line="26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below by the following persons in the capacities and on the dates indicated.</w:t>
      </w:r>
    </w:p>
    <w:p>
      <w:pPr>
        <w:spacing w:after="0" w:line="150" w:lineRule="exact"/>
        <w:rPr>
          <w:sz w:val="20"/>
          <w:szCs w:val="20"/>
          <w:color w:val="auto"/>
        </w:rPr>
      </w:pPr>
    </w:p>
    <w:tbl>
      <w:tblPr>
        <w:tblLayout w:type="fixed"/>
        <w:tblInd w:w="1500" w:type="dxa"/>
        <w:tblCellMar>
          <w:top w:w="0" w:type="dxa"/>
          <w:left w:w="0" w:type="dxa"/>
          <w:bottom w:w="0" w:type="dxa"/>
          <w:right w:w="0" w:type="dxa"/>
        </w:tblCellMar>
      </w:tblPr>
      <w:tr>
        <w:trPr>
          <w:trHeight w:val="142"/>
        </w:trPr>
        <w:tc>
          <w:tcPr>
            <w:tcW w:w="2820" w:type="dxa"/>
            <w:vAlign w:val="bottom"/>
          </w:tcPr>
          <w:p>
            <w:pPr>
              <w:ind w:left="11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Title</w:t>
            </w:r>
          </w:p>
        </w:tc>
        <w:tc>
          <w:tcPr>
            <w:tcW w:w="1280" w:type="dxa"/>
            <w:vAlign w:val="bottom"/>
          </w:tcPr>
          <w:p>
            <w:pPr>
              <w:jc w:val="center"/>
              <w:ind w:left="234"/>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1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William Ho</w:t>
            </w: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President, Chief Executive Officer and Director</w:t>
            </w:r>
          </w:p>
        </w:tc>
        <w:tc>
          <w:tcPr>
            <w:tcW w:w="1280" w:type="dxa"/>
            <w:vAlign w:val="bottom"/>
          </w:tcPr>
          <w:p>
            <w:pPr>
              <w:jc w:val="center"/>
              <w:ind w:left="214"/>
              <w:spacing w:after="0"/>
              <w:rPr>
                <w:sz w:val="20"/>
                <w:szCs w:val="20"/>
                <w:color w:val="auto"/>
              </w:rPr>
            </w:pPr>
            <w:r>
              <w:rPr>
                <w:rFonts w:ascii="Times New Roman" w:cs="Times New Roman" w:eastAsia="Times New Roman" w:hAnsi="Times New Roman"/>
                <w:sz w:val="14"/>
                <w:szCs w:val="14"/>
                <w:color w:val="auto"/>
                <w:w w:val="95"/>
              </w:rPr>
              <w:t>November 7, 2025</w:t>
            </w: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William Ho</w:t>
            </w:r>
          </w:p>
        </w:tc>
        <w:tc>
          <w:tcPr>
            <w:tcW w:w="39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w w:val="95"/>
              </w:rPr>
              <w:t>(</w:t>
            </w:r>
            <w:r>
              <w:rPr>
                <w:rFonts w:ascii="Times New Roman" w:cs="Times New Roman" w:eastAsia="Times New Roman" w:hAnsi="Times New Roman"/>
                <w:sz w:val="14"/>
                <w:szCs w:val="14"/>
                <w:i w:val="1"/>
                <w:iCs w:val="1"/>
                <w:color w:val="auto"/>
                <w:w w:val="95"/>
              </w:rPr>
              <w:t>Principal Executive Officer</w:t>
            </w:r>
            <w:r>
              <w:rPr>
                <w:rFonts w:ascii="Times New Roman" w:cs="Times New Roman" w:eastAsia="Times New Roman" w:hAnsi="Times New Roman"/>
                <w:sz w:val="14"/>
                <w:szCs w:val="14"/>
                <w:color w:val="auto"/>
                <w:w w:val="95"/>
              </w:rPr>
              <w:t>)</w:t>
            </w:r>
          </w:p>
        </w:tc>
        <w:tc>
          <w:tcPr>
            <w:tcW w:w="1280" w:type="dxa"/>
            <w:vAlign w:val="bottom"/>
          </w:tcPr>
          <w:p>
            <w:pPr>
              <w:spacing w:after="0"/>
              <w:rPr>
                <w:sz w:val="14"/>
                <w:szCs w:val="14"/>
                <w:color w:val="auto"/>
              </w:rPr>
            </w:pPr>
          </w:p>
        </w:tc>
      </w:tr>
      <w:tr>
        <w:trPr>
          <w:trHeight w:val="32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Patrick McCall</w:t>
            </w: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Chief Financial Officer</w:t>
            </w:r>
          </w:p>
        </w:tc>
        <w:tc>
          <w:tcPr>
            <w:tcW w:w="1280" w:type="dxa"/>
            <w:vAlign w:val="bottom"/>
          </w:tcPr>
          <w:p>
            <w:pPr>
              <w:jc w:val="center"/>
              <w:ind w:left="214"/>
              <w:spacing w:after="0"/>
              <w:rPr>
                <w:sz w:val="20"/>
                <w:szCs w:val="20"/>
                <w:color w:val="auto"/>
              </w:rPr>
            </w:pPr>
            <w:r>
              <w:rPr>
                <w:rFonts w:ascii="Times New Roman" w:cs="Times New Roman" w:eastAsia="Times New Roman" w:hAnsi="Times New Roman"/>
                <w:sz w:val="14"/>
                <w:szCs w:val="14"/>
                <w:color w:val="auto"/>
                <w:w w:val="95"/>
              </w:rPr>
              <w:t>November 7, 2025</w:t>
            </w: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Patrick McCall</w:t>
            </w:r>
          </w:p>
        </w:tc>
        <w:tc>
          <w:tcPr>
            <w:tcW w:w="39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color w:val="auto"/>
                <w:w w:val="96"/>
              </w:rPr>
              <w:t>(</w:t>
            </w:r>
            <w:r>
              <w:rPr>
                <w:rFonts w:ascii="Times New Roman" w:cs="Times New Roman" w:eastAsia="Times New Roman" w:hAnsi="Times New Roman"/>
                <w:sz w:val="14"/>
                <w:szCs w:val="14"/>
                <w:i w:val="1"/>
                <w:iCs w:val="1"/>
                <w:color w:val="auto"/>
                <w:w w:val="96"/>
              </w:rPr>
              <w:t>Principal Financial Officer and Principal Accounting Officer</w:t>
            </w:r>
            <w:r>
              <w:rPr>
                <w:rFonts w:ascii="Times New Roman" w:cs="Times New Roman" w:eastAsia="Times New Roman" w:hAnsi="Times New Roman"/>
                <w:sz w:val="14"/>
                <w:szCs w:val="14"/>
                <w:color w:val="auto"/>
                <w:w w:val="96"/>
              </w:rPr>
              <w:t>)</w:t>
            </w:r>
          </w:p>
        </w:tc>
        <w:tc>
          <w:tcPr>
            <w:tcW w:w="1280" w:type="dxa"/>
            <w:vAlign w:val="bottom"/>
          </w:tcPr>
          <w:p>
            <w:pPr>
              <w:spacing w:after="0"/>
              <w:rPr>
                <w:sz w:val="14"/>
                <w:szCs w:val="14"/>
                <w:color w:val="auto"/>
              </w:rPr>
            </w:pPr>
          </w:p>
        </w:tc>
      </w:tr>
      <w:tr>
        <w:trPr>
          <w:trHeight w:val="32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Alan S. Roemer</w:t>
            </w: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Chairman of the Board of Directors</w:t>
            </w:r>
          </w:p>
        </w:tc>
        <w:tc>
          <w:tcPr>
            <w:tcW w:w="1280" w:type="dxa"/>
            <w:vAlign w:val="bottom"/>
          </w:tcPr>
          <w:p>
            <w:pPr>
              <w:jc w:val="center"/>
              <w:ind w:left="214"/>
              <w:spacing w:after="0"/>
              <w:rPr>
                <w:sz w:val="20"/>
                <w:szCs w:val="20"/>
                <w:color w:val="auto"/>
              </w:rPr>
            </w:pPr>
            <w:r>
              <w:rPr>
                <w:rFonts w:ascii="Times New Roman" w:cs="Times New Roman" w:eastAsia="Times New Roman" w:hAnsi="Times New Roman"/>
                <w:sz w:val="14"/>
                <w:szCs w:val="14"/>
                <w:color w:val="auto"/>
                <w:w w:val="95"/>
              </w:rPr>
              <w:t>November 7, 2025</w:t>
            </w: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Alan S. Roemer</w:t>
            </w: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Peter Brandt</w:t>
            </w: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Director</w:t>
            </w:r>
          </w:p>
        </w:tc>
        <w:tc>
          <w:tcPr>
            <w:tcW w:w="1280" w:type="dxa"/>
            <w:vAlign w:val="bottom"/>
          </w:tcPr>
          <w:p>
            <w:pPr>
              <w:jc w:val="center"/>
              <w:ind w:left="214"/>
              <w:spacing w:after="0"/>
              <w:rPr>
                <w:sz w:val="20"/>
                <w:szCs w:val="20"/>
                <w:color w:val="auto"/>
              </w:rPr>
            </w:pPr>
            <w:r>
              <w:rPr>
                <w:rFonts w:ascii="Times New Roman" w:cs="Times New Roman" w:eastAsia="Times New Roman" w:hAnsi="Times New Roman"/>
                <w:sz w:val="14"/>
                <w:szCs w:val="14"/>
                <w:color w:val="auto"/>
                <w:w w:val="95"/>
              </w:rPr>
              <w:t>November 7, 2025</w:t>
            </w: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Peter Brandt</w:t>
            </w: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Corinne Epperly</w:t>
            </w: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Director</w:t>
            </w:r>
          </w:p>
        </w:tc>
        <w:tc>
          <w:tcPr>
            <w:tcW w:w="1280" w:type="dxa"/>
            <w:vAlign w:val="bottom"/>
          </w:tcPr>
          <w:p>
            <w:pPr>
              <w:jc w:val="center"/>
              <w:ind w:left="214"/>
              <w:spacing w:after="0"/>
              <w:rPr>
                <w:sz w:val="20"/>
                <w:szCs w:val="20"/>
                <w:color w:val="auto"/>
              </w:rPr>
            </w:pPr>
            <w:r>
              <w:rPr>
                <w:rFonts w:ascii="Times New Roman" w:cs="Times New Roman" w:eastAsia="Times New Roman" w:hAnsi="Times New Roman"/>
                <w:sz w:val="14"/>
                <w:szCs w:val="14"/>
                <w:color w:val="auto"/>
                <w:w w:val="95"/>
              </w:rPr>
              <w:t>November 7, 2025</w:t>
            </w: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Corinne Epperly</w:t>
            </w: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Emily T. Fairbairn</w:t>
            </w: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Director</w:t>
            </w:r>
          </w:p>
        </w:tc>
        <w:tc>
          <w:tcPr>
            <w:tcW w:w="1280" w:type="dxa"/>
            <w:vAlign w:val="bottom"/>
          </w:tcPr>
          <w:p>
            <w:pPr>
              <w:jc w:val="center"/>
              <w:ind w:left="214"/>
              <w:spacing w:after="0"/>
              <w:rPr>
                <w:sz w:val="20"/>
                <w:szCs w:val="20"/>
                <w:color w:val="auto"/>
              </w:rPr>
            </w:pPr>
            <w:r>
              <w:rPr>
                <w:rFonts w:ascii="Times New Roman" w:cs="Times New Roman" w:eastAsia="Times New Roman" w:hAnsi="Times New Roman"/>
                <w:sz w:val="14"/>
                <w:szCs w:val="14"/>
                <w:color w:val="auto"/>
                <w:w w:val="95"/>
              </w:rPr>
              <w:t>November 7, 2025</w:t>
            </w: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Emily T. Fairbairn</w:t>
            </w: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Jeremy R. Graff</w:t>
            </w: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Director</w:t>
            </w:r>
          </w:p>
        </w:tc>
        <w:tc>
          <w:tcPr>
            <w:tcW w:w="1280" w:type="dxa"/>
            <w:vAlign w:val="bottom"/>
          </w:tcPr>
          <w:p>
            <w:pPr>
              <w:jc w:val="center"/>
              <w:ind w:left="214"/>
              <w:spacing w:after="0"/>
              <w:rPr>
                <w:sz w:val="20"/>
                <w:szCs w:val="20"/>
                <w:color w:val="auto"/>
              </w:rPr>
            </w:pPr>
            <w:r>
              <w:rPr>
                <w:rFonts w:ascii="Times New Roman" w:cs="Times New Roman" w:eastAsia="Times New Roman" w:hAnsi="Times New Roman"/>
                <w:sz w:val="14"/>
                <w:szCs w:val="14"/>
                <w:color w:val="auto"/>
                <w:w w:val="95"/>
              </w:rPr>
              <w:t>November 7, 2025</w:t>
            </w: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Jeremy R. Graff</w:t>
            </w: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2"/>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Luba Greenwood</w:t>
            </w: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Director</w:t>
            </w:r>
          </w:p>
        </w:tc>
        <w:tc>
          <w:tcPr>
            <w:tcW w:w="1280" w:type="dxa"/>
            <w:vAlign w:val="bottom"/>
          </w:tcPr>
          <w:p>
            <w:pPr>
              <w:jc w:val="center"/>
              <w:ind w:left="214"/>
              <w:spacing w:after="0"/>
              <w:rPr>
                <w:sz w:val="20"/>
                <w:szCs w:val="20"/>
                <w:color w:val="auto"/>
              </w:rPr>
            </w:pPr>
            <w:r>
              <w:rPr>
                <w:rFonts w:ascii="Times New Roman" w:cs="Times New Roman" w:eastAsia="Times New Roman" w:hAnsi="Times New Roman"/>
                <w:sz w:val="14"/>
                <w:szCs w:val="14"/>
                <w:color w:val="auto"/>
                <w:w w:val="95"/>
              </w:rPr>
              <w:t>November 7, 2025</w:t>
            </w: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Luba Greenwood</w:t>
            </w: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ectPr>
          <w:pgSz w:w="11900" w:h="16838" w:orient="portrait"/>
          <w:cols w:equalWidth="0" w:num="1">
            <w:col w:w="10159"/>
          </w:cols>
          <w:pgMar w:left="300" w:top="377" w:right="1440" w:bottom="1440" w:gutter="0" w:footer="0" w:header="0"/>
        </w:sectPr>
      </w:pPr>
    </w:p>
    <w:bookmarkStart w:id="44" w:name="page45"/>
    <w:bookmarkEnd w:id="44"/>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Exhibit 4.5</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IN8bio,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Issuer</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168910</wp:posOffset>
            </wp:positionV>
            <wp:extent cx="110871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Dated as of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200025</wp:posOffset>
            </wp:positionV>
            <wp:extent cx="110871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Debt Securities</w:t>
      </w:r>
    </w:p>
    <w:p>
      <w:pPr>
        <w:sectPr>
          <w:pgSz w:w="11900" w:h="16838" w:orient="portrait"/>
          <w:cols w:equalWidth="0" w:num="1">
            <w:col w:w="9019"/>
          </w:cols>
          <w:pgMar w:left="1440" w:top="123"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263" w:lineRule="exact"/>
        <w:rPr>
          <w:sz w:val="20"/>
          <w:szCs w:val="20"/>
          <w:color w:val="auto"/>
        </w:rPr>
      </w:pPr>
    </w:p>
    <w:tbl>
      <w:tblPr>
        <w:tblLayout w:type="fixed"/>
        <w:tblInd w:w="360" w:type="dxa"/>
        <w:tblCellMar>
          <w:top w:w="0" w:type="dxa"/>
          <w:left w:w="0" w:type="dxa"/>
          <w:bottom w:w="0" w:type="dxa"/>
          <w:right w:w="0" w:type="dxa"/>
        </w:tblCellMar>
      </w:tblPr>
      <w:tr>
        <w:trPr>
          <w:trHeight w:val="142"/>
        </w:trPr>
        <w:tc>
          <w:tcPr>
            <w:tcW w:w="9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23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ARTICLE 1</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DEFINITIONS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 Definitions of Terms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ARTICLE 2</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ISSUE, DESCRIPTION, TERMS, EXECUTION, REGISTRATION AND EXCHANGE OF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2.01 Designation and Terms of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2.02 Form of Securities and Trustee’s Certificate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2.03 Denominations: Provisions for Payment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2.04 Execution and Authentications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2.05 Registration of Transfer and Exchange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44"/>
        </w:trPr>
        <w:tc>
          <w:tcPr>
            <w:tcW w:w="9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Section 2.06</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Temporary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2.07 Mutilated, Destroyed, Lost or Stolen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44"/>
        </w:trPr>
        <w:tc>
          <w:tcPr>
            <w:tcW w:w="9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Section 2.08</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Cancellation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2.09 Benefits of Indenture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44"/>
        </w:trPr>
        <w:tc>
          <w:tcPr>
            <w:tcW w:w="9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Section 2.10</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Authenticating Agent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4"/>
        </w:trPr>
        <w:tc>
          <w:tcPr>
            <w:tcW w:w="9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Section 2.11</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Global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44"/>
        </w:trPr>
        <w:tc>
          <w:tcPr>
            <w:tcW w:w="9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Section 2.12</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CUSIP Numbers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4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ARTICLE 3</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REDEMPTION OF SECURITIES AND SINKING FUND PROVISIONS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44"/>
        </w:trPr>
        <w:tc>
          <w:tcPr>
            <w:tcW w:w="9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Section 3.01</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Redemption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3.02 Notice of Redemption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3.03 Payment Upon Redemption</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4"/>
        </w:trPr>
        <w:tc>
          <w:tcPr>
            <w:tcW w:w="9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Section 3.04</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Sinking Fund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3.05 Satisfaction of Sinking Fund Payments with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3.06 Redemption of Securities for Sinking Fund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4"/>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ARTICLE 4</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COVENANTS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4.01 Payment of Principal, Premium and Interest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4.02 Maintenance of Office or Agency</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4"/>
        </w:trPr>
        <w:tc>
          <w:tcPr>
            <w:tcW w:w="98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7"/>
              </w:rPr>
              <w:t>Section 4.03</w:t>
            </w:r>
          </w:p>
        </w:tc>
        <w:tc>
          <w:tcPr>
            <w:tcW w:w="64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Paying Agents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44"/>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4.04 Appointment to Fill Vacancy in Office of Trustee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74"/>
        </w:trPr>
        <w:tc>
          <w:tcPr>
            <w:tcW w:w="980" w:type="dxa"/>
            <w:vAlign w:val="bottom"/>
          </w:tcPr>
          <w:p>
            <w:pPr>
              <w:spacing w:after="0"/>
              <w:rPr>
                <w:sz w:val="23"/>
                <w:szCs w:val="23"/>
                <w:color w:val="auto"/>
              </w:rPr>
            </w:pPr>
          </w:p>
        </w:tc>
        <w:tc>
          <w:tcPr>
            <w:tcW w:w="644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i.</w:t>
            </w:r>
          </w:p>
        </w:tc>
        <w:tc>
          <w:tcPr>
            <w:tcW w:w="820" w:type="dxa"/>
            <w:vAlign w:val="bottom"/>
          </w:tcPr>
          <w:p>
            <w:pPr>
              <w:spacing w:after="0"/>
              <w:rPr>
                <w:sz w:val="23"/>
                <w:szCs w:val="23"/>
                <w:color w:val="auto"/>
              </w:rPr>
            </w:pPr>
          </w:p>
        </w:tc>
      </w:tr>
    </w:tbl>
    <w:p>
      <w:pPr>
        <w:sectPr>
          <w:pgSz w:w="11900" w:h="16838" w:orient="portrait"/>
          <w:cols w:equalWidth="0" w:num="1">
            <w:col w:w="9019"/>
          </w:cols>
          <w:pgMar w:left="1440" w:top="234"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142"/>
        </w:trPr>
        <w:tc>
          <w:tcPr>
            <w:tcW w:w="84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23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ARTICLE 5</w:t>
            </w: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SECURITYHOLDERS’ LISTS AND REPORTS BY THE COMPANY AND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5.01 Company to Furnish Trustee Names and Addresses of Securityholders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5.02 Preservation Of Information; Communications With Securityholders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5.03 Reports by the Company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5.04 Reports by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4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ARTICLE 6</w:t>
            </w: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REMEDIES OF THE TRUSTEE AND SECURITYHOLDERS ON EVENT OF DEFAULT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6.01 Events of Default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6.02 Collection of Indebtedness and Suits for Enforcement by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6.03 Application of Moneys Collected</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6.04 Limitation on Suits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6.05 Rights and Remedies Cumulative; Delay or Omission Not Waiver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6.06 Control by Securityholders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6.07 Undertaking to Pay Costs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4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ARTICLE 7</w:t>
            </w:r>
          </w:p>
        </w:tc>
        <w:tc>
          <w:tcPr>
            <w:tcW w:w="6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CONCERNING THE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7.01 Certain Duties and Responsibilities of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7.02 Certain Rights of Trustee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7.03 Trustee Not Responsible for Recitals or Issuance or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7.04 May Hold 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7.05 Moneys Held in Trust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7.06 Compensation and Reimbursement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7.07 Reliance on Officer’s Certificate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7.08 Disqualification; Conflicting Interests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7.09 Corporate Trustee Required; Eligibility</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7.10 Resignation and Removal; Appointment of Successor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7.11 Acceptance of Appointment By Successor</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44"/>
        </w:trPr>
        <w:tc>
          <w:tcPr>
            <w:tcW w:w="7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7.12 Merger, Conversion, Consolidation or Succession to Business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74"/>
        </w:trPr>
        <w:tc>
          <w:tcPr>
            <w:tcW w:w="840" w:type="dxa"/>
            <w:vAlign w:val="bottom"/>
          </w:tcPr>
          <w:p>
            <w:pPr>
              <w:spacing w:after="0"/>
              <w:rPr>
                <w:sz w:val="23"/>
                <w:szCs w:val="23"/>
                <w:color w:val="auto"/>
              </w:rPr>
            </w:pPr>
          </w:p>
        </w:tc>
        <w:tc>
          <w:tcPr>
            <w:tcW w:w="624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ii.</w:t>
            </w:r>
          </w:p>
        </w:tc>
        <w:tc>
          <w:tcPr>
            <w:tcW w:w="1160" w:type="dxa"/>
            <w:vAlign w:val="bottom"/>
          </w:tcPr>
          <w:p>
            <w:pPr>
              <w:spacing w:after="0"/>
              <w:rPr>
                <w:sz w:val="23"/>
                <w:szCs w:val="23"/>
                <w:color w:val="auto"/>
              </w:rPr>
            </w:pPr>
          </w:p>
        </w:tc>
      </w:tr>
    </w:tbl>
    <w:p>
      <w:pPr>
        <w:sectPr>
          <w:pgSz w:w="11900" w:h="16838" w:orient="portrait"/>
          <w:cols w:equalWidth="0" w:num="1">
            <w:col w:w="9019"/>
          </w:cols>
          <w:pgMar w:left="1440" w:top="234"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142"/>
        </w:trPr>
        <w:tc>
          <w:tcPr>
            <w:tcW w:w="10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231"/>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7.13</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7.14</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Notice of Default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4"/>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ARTICLE 8</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CONCERNING THE SECURITYHOLDERS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8.01</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8.02</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8.03</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Who May be Deemed Owners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8.04</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8.05</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44"/>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ARTICLE 9</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INDENTURES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9.01</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9.02</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9.03</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9.04</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9.05</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44"/>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ARTICLE 10</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SUCCESSOR ENTITY</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Section 10.01</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Section 10.02</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44"/>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ARTICLE 11</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SATISFACTION AND DISCHARGE</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Section 11.01</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Section 11.02</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Discharge of Obligations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Section 11.03</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Section 11.04</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Section 11.05</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to Company</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4"/>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ARTICLE 12</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IMMUNITY OF INCORPORATORS, STOCKHOLDERS, OFFICERS AND DIRECTORS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Section 12.01</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 Recourse</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4"/>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ARTICLE 13</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MISCELLANEOUS PROVISIONS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Section 13.01</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on Successors and Assigns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Section 13.02</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Actions by Successor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4"/>
        </w:trPr>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color w:val="auto"/>
                <w:w w:val="98"/>
              </w:rPr>
              <w:t>Section 13.03</w:t>
            </w:r>
          </w:p>
        </w:tc>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 of Company Powers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74"/>
        </w:trPr>
        <w:tc>
          <w:tcPr>
            <w:tcW w:w="1060" w:type="dxa"/>
            <w:vAlign w:val="bottom"/>
          </w:tcPr>
          <w:p>
            <w:pPr>
              <w:spacing w:after="0"/>
              <w:rPr>
                <w:sz w:val="23"/>
                <w:szCs w:val="23"/>
                <w:color w:val="auto"/>
              </w:rPr>
            </w:pPr>
          </w:p>
        </w:tc>
        <w:tc>
          <w:tcPr>
            <w:tcW w:w="598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iii.</w:t>
            </w:r>
          </w:p>
        </w:tc>
        <w:tc>
          <w:tcPr>
            <w:tcW w:w="1200" w:type="dxa"/>
            <w:vAlign w:val="bottom"/>
          </w:tcPr>
          <w:p>
            <w:pPr>
              <w:spacing w:after="0"/>
              <w:rPr>
                <w:sz w:val="23"/>
                <w:szCs w:val="23"/>
                <w:color w:val="auto"/>
              </w:rPr>
            </w:pPr>
          </w:p>
        </w:tc>
      </w:tr>
    </w:tbl>
    <w:p>
      <w:pPr>
        <w:sectPr>
          <w:pgSz w:w="11900" w:h="16838" w:orient="portrait"/>
          <w:cols w:equalWidth="0" w:num="1">
            <w:col w:w="9019"/>
          </w:cols>
          <w:pgMar w:left="1440" w:top="234"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w:t>
      </w:r>
      <w:r>
        <w:rPr>
          <w:rFonts w:ascii="Times New Roman" w:cs="Times New Roman" w:eastAsia="Times New Roman" w:hAnsi="Times New Roman"/>
          <w:sz w:val="11"/>
          <w:szCs w:val="11"/>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ONTENTS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(CONTINUED)</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42"/>
        </w:trPr>
        <w:tc>
          <w:tcPr>
            <w:tcW w:w="7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2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w:t>
            </w:r>
            <w:r>
              <w:rPr>
                <w:rFonts w:ascii="Times New Roman" w:cs="Times New Roman" w:eastAsia="Times New Roman" w:hAnsi="Times New Roman"/>
                <w:sz w:val="9"/>
                <w:szCs w:val="9"/>
                <w:b w:val="1"/>
                <w:bCs w:val="1"/>
                <w:color w:val="auto"/>
              </w:rPr>
              <w:t>AGE</w:t>
            </w:r>
          </w:p>
        </w:tc>
      </w:tr>
      <w:tr>
        <w:trPr>
          <w:trHeight w:val="231"/>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13.04</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Notices</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13.05</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Governing Law; Jury Trial Waiver</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13.06</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Treatment of Securities as Debt</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13.07</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Certificates and Opinions as to Conditions Precedent</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13.08</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on Business Days</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13.09</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13.10</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Counterparts</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13.11</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Separability</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13.12</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Compliance Certificates</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13.13</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Patriot Act</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13.14</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Force Majeure</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4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w w:val="98"/>
              </w:rPr>
              <w:t>Section 13.12</w:t>
            </w:r>
          </w:p>
        </w:tc>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Table of Contents; Headings</w:t>
            </w:r>
          </w:p>
        </w:tc>
        <w:tc>
          <w:tcPr>
            <w:tcW w:w="4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74"/>
        </w:trPr>
        <w:tc>
          <w:tcPr>
            <w:tcW w:w="7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220" w:type="dxa"/>
            <w:vAlign w:val="bottom"/>
          </w:tcPr>
          <w:p>
            <w:pPr>
              <w:jc w:val="right"/>
              <w:ind w:right="3973"/>
              <w:spacing w:after="0"/>
              <w:rPr>
                <w:sz w:val="20"/>
                <w:szCs w:val="20"/>
                <w:color w:val="auto"/>
              </w:rPr>
            </w:pPr>
            <w:r>
              <w:rPr>
                <w:rFonts w:ascii="Times New Roman" w:cs="Times New Roman" w:eastAsia="Times New Roman" w:hAnsi="Times New Roman"/>
                <w:sz w:val="14"/>
                <w:szCs w:val="14"/>
                <w:color w:val="auto"/>
              </w:rPr>
              <w:t>iv.</w:t>
            </w:r>
          </w:p>
        </w:tc>
      </w:tr>
    </w:tbl>
    <w:p>
      <w:pPr>
        <w:sectPr>
          <w:pgSz w:w="11900" w:h="16838" w:orient="portrait"/>
          <w:cols w:equalWidth="0" w:num="1">
            <w:col w:w="9019"/>
          </w:cols>
          <w:pgMar w:left="1440" w:top="234"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INDENTURE</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0"/>
          <w:szCs w:val="10"/>
          <w:b w:val="1"/>
          <w:bCs w:val="1"/>
          <w:color w:val="auto"/>
        </w:rPr>
        <w:t>NDENTURE</w:t>
      </w:r>
      <w:r>
        <w:rPr>
          <w:rFonts w:ascii="Times New Roman" w:cs="Times New Roman" w:eastAsia="Times New Roman" w:hAnsi="Times New Roman"/>
          <w:sz w:val="12"/>
          <w:szCs w:val="12"/>
          <w:color w:val="auto"/>
        </w:rPr>
        <w:t>, dated as of [•], 20__, among</w:t>
      </w:r>
      <w:r>
        <w:rPr>
          <w:rFonts w:ascii="Times New Roman" w:cs="Times New Roman" w:eastAsia="Times New Roman" w:hAnsi="Times New Roman"/>
          <w:sz w:val="12"/>
          <w:szCs w:val="12"/>
          <w:b w:val="1"/>
          <w:bCs w:val="1"/>
          <w:color w:val="auto"/>
        </w:rPr>
        <w:t xml:space="preserve"> IN8</w:t>
      </w:r>
      <w:r>
        <w:rPr>
          <w:rFonts w:ascii="Times New Roman" w:cs="Times New Roman" w:eastAsia="Times New Roman" w:hAnsi="Times New Roman"/>
          <w:sz w:val="10"/>
          <w:szCs w:val="10"/>
          <w:b w:val="1"/>
          <w:bCs w:val="1"/>
          <w:color w:val="auto"/>
        </w:rPr>
        <w:t>BIO</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Delaware corporation (the “Company”), and [</w:t>
      </w: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10"/>
          <w:szCs w:val="10"/>
          <w:b w:val="1"/>
          <w:bCs w:val="1"/>
          <w:color w:val="auto"/>
        </w:rPr>
        <w:t>RUSTEE</w:t>
      </w:r>
      <w:r>
        <w:rPr>
          <w:rFonts w:ascii="Times New Roman" w:cs="Times New Roman" w:eastAsia="Times New Roman" w:hAnsi="Times New Roman"/>
          <w:sz w:val="12"/>
          <w:szCs w:val="12"/>
          <w:color w:val="auto"/>
        </w:rPr>
        <w:t>], as trustee (the “Trustee”):</w:t>
      </w:r>
    </w:p>
    <w:p>
      <w:pPr>
        <w:spacing w:after="0" w:line="187" w:lineRule="exact"/>
        <w:rPr>
          <w:sz w:val="20"/>
          <w:szCs w:val="20"/>
          <w:color w:val="auto"/>
        </w:rPr>
      </w:pPr>
    </w:p>
    <w:p>
      <w:pPr>
        <w:ind w:left="360" w:right="479" w:firstLine="331"/>
        <w:spacing w:after="0" w:line="317" w:lineRule="auto"/>
        <w:rPr>
          <w:sz w:val="20"/>
          <w:szCs w:val="20"/>
          <w:color w:val="auto"/>
        </w:rPr>
      </w:pPr>
      <w:r>
        <w:rPr>
          <w:rFonts w:ascii="Times New Roman" w:cs="Times New Roman" w:eastAsia="Times New Roman" w:hAnsi="Times New Roman"/>
          <w:sz w:val="12"/>
          <w:szCs w:val="12"/>
          <w:b w:val="1"/>
          <w:bCs w:val="1"/>
          <w:color w:val="auto"/>
        </w:rPr>
        <w:t>W</w:t>
      </w:r>
      <w:r>
        <w:rPr>
          <w:rFonts w:ascii="Times New Roman" w:cs="Times New Roman" w:eastAsia="Times New Roman" w:hAnsi="Times New Roman"/>
          <w:sz w:val="10"/>
          <w:szCs w:val="10"/>
          <w:b w:val="1"/>
          <w:bCs w:val="1"/>
          <w:color w:val="auto"/>
        </w:rPr>
        <w:t>HEREAS</w:t>
      </w:r>
      <w:r>
        <w:rPr>
          <w:rFonts w:ascii="Times New Roman" w:cs="Times New Roman" w:eastAsia="Times New Roman" w:hAnsi="Times New Roman"/>
          <w:sz w:val="12"/>
          <w:szCs w:val="12"/>
          <w:color w:val="auto"/>
        </w:rPr>
        <w:t>, for its lawful corporate purposes, the Company has duly authorized the execution and delivery of this Indenture to provide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03" w:lineRule="exact"/>
        <w:rPr>
          <w:sz w:val="20"/>
          <w:szCs w:val="20"/>
          <w:color w:val="auto"/>
        </w:rPr>
      </w:pPr>
    </w:p>
    <w:p>
      <w:pPr>
        <w:ind w:left="360" w:right="599" w:firstLine="331"/>
        <w:spacing w:after="0" w:line="268"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color w:val="auto"/>
        </w:rPr>
        <w:t>, to provide the terms and conditions upon which the Securities are to be authenticated, issued and delivered, the Company has duly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the execution of this Indenture; and</w:t>
      </w:r>
    </w:p>
    <w:p>
      <w:pPr>
        <w:spacing w:after="0" w:line="1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4"/>
          <w:szCs w:val="14"/>
          <w:color w:val="auto"/>
        </w:rPr>
        <w:t>, all things necessary to make this Indenture a valid agreement of the Company, in accordance with its terms, have been done.</w:t>
      </w:r>
    </w:p>
    <w:p>
      <w:pPr>
        <w:spacing w:after="0" w:line="164" w:lineRule="exact"/>
        <w:rPr>
          <w:sz w:val="20"/>
          <w:szCs w:val="20"/>
          <w:color w:val="auto"/>
        </w:rPr>
      </w:pPr>
    </w:p>
    <w:p>
      <w:pPr>
        <w:ind w:left="360" w:right="699" w:firstLine="331"/>
        <w:spacing w:after="0" w:line="268" w:lineRule="auto"/>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4"/>
          <w:szCs w:val="14"/>
          <w:b w:val="1"/>
          <w:bCs w:val="1"/>
          <w:color w:val="auto"/>
        </w:rPr>
        <w:t>,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4"/>
          <w:szCs w:val="14"/>
          <w:color w:val="auto"/>
        </w:rPr>
        <w:t>, in consideration of the premises and the purchase of the Securities by the holders thereof, it is mutually covenanted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agreed as follows for the equal and ratable benefit of the holders of Securities: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1.01 Definitions of Terms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19" w:firstLine="331"/>
        <w:spacing w:after="0" w:line="246" w:lineRule="auto"/>
        <w:rPr>
          <w:sz w:val="20"/>
          <w:szCs w:val="20"/>
          <w:color w:val="auto"/>
        </w:rPr>
      </w:pPr>
      <w:r>
        <w:rPr>
          <w:rFonts w:ascii="Times New Roman" w:cs="Times New Roman" w:eastAsia="Times New Roman" w:hAnsi="Times New Roman"/>
          <w:sz w:val="14"/>
          <w:szCs w:val="14"/>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43" w:lineRule="exact"/>
        <w:rPr>
          <w:sz w:val="20"/>
          <w:szCs w:val="20"/>
          <w:color w:val="auto"/>
        </w:rPr>
      </w:pPr>
    </w:p>
    <w:p>
      <w:pPr>
        <w:ind w:left="360" w:right="419" w:firstLine="33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Authenticating Agent</w:t>
      </w:r>
      <w:r>
        <w:rPr>
          <w:rFonts w:ascii="Times New Roman" w:cs="Times New Roman" w:eastAsia="Times New Roman" w:hAnsi="Times New Roman"/>
          <w:sz w:val="14"/>
          <w:szCs w:val="14"/>
          <w:color w:val="auto"/>
        </w:rPr>
        <w:t>” means the Trustee or an authenticating agent with respect to all or any of the series of Securities appointed by the Trustee pursuant to Section 2.10.</w:t>
      </w:r>
    </w:p>
    <w:p>
      <w:pPr>
        <w:spacing w:after="0" w:line="1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w:t>
      </w:r>
    </w:p>
    <w:p>
      <w:pPr>
        <w:spacing w:after="0" w:line="164" w:lineRule="exact"/>
        <w:rPr>
          <w:sz w:val="20"/>
          <w:szCs w:val="20"/>
          <w:color w:val="auto"/>
        </w:rPr>
      </w:pPr>
    </w:p>
    <w:p>
      <w:pPr>
        <w:ind w:left="360" w:right="599" w:firstLine="33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of Directors</w:t>
      </w:r>
      <w:r>
        <w:rPr>
          <w:rFonts w:ascii="Times New Roman" w:cs="Times New Roman" w:eastAsia="Times New Roman" w:hAnsi="Times New Roman"/>
          <w:sz w:val="14"/>
          <w:szCs w:val="14"/>
          <w:color w:val="auto"/>
        </w:rPr>
        <w:t>” means the Board of Directors (or the functional equivalent thereof) of the Company or any duly authorized committee of such Board.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4" w:right="1440" w:bottom="1440" w:gutter="0" w:footer="0" w:header="0"/>
        </w:sectPr>
      </w:pPr>
    </w:p>
    <w:bookmarkStart w:id="50" w:name="page51"/>
    <w:bookmarkEnd w:id="50"/>
    <w:p>
      <w:pPr>
        <w:ind w:left="360" w:right="499" w:firstLine="331"/>
        <w:spacing w:after="0" w:line="26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28" w:lineRule="exact"/>
        <w:rPr>
          <w:sz w:val="20"/>
          <w:szCs w:val="20"/>
          <w:color w:val="auto"/>
        </w:rPr>
      </w:pPr>
    </w:p>
    <w:p>
      <w:pPr>
        <w:ind w:left="360" w:right="539" w:firstLine="331"/>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36" w:lineRule="exact"/>
        <w:rPr>
          <w:sz w:val="20"/>
          <w:szCs w:val="20"/>
          <w:color w:val="auto"/>
        </w:rPr>
      </w:pPr>
    </w:p>
    <w:p>
      <w:pPr>
        <w:ind w:left="360" w:right="479" w:firstLine="331"/>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36" w:lineRule="exact"/>
        <w:rPr>
          <w:sz w:val="20"/>
          <w:szCs w:val="20"/>
          <w:color w:val="auto"/>
        </w:rPr>
      </w:pPr>
    </w:p>
    <w:p>
      <w:pPr>
        <w:ind w:left="360" w:right="379" w:firstLine="33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b w:val="1"/>
          <w:bCs w:val="1"/>
          <w:color w:val="auto"/>
        </w:rPr>
        <w:t>IN8</w:t>
      </w:r>
      <w:r>
        <w:rPr>
          <w:rFonts w:ascii="Times New Roman" w:cs="Times New Roman" w:eastAsia="Times New Roman" w:hAnsi="Times New Roman"/>
          <w:sz w:val="11"/>
          <w:szCs w:val="11"/>
          <w:b w:val="1"/>
          <w:bCs w:val="1"/>
          <w:color w:val="auto"/>
        </w:rPr>
        <w:t>BIO</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 corporation duly organized and existing under the laws of the State of Delaware, and, subject to the provisions of Article Ten, shall also include its successors and assigns.</w:t>
      </w:r>
    </w:p>
    <w:p>
      <w:pPr>
        <w:spacing w:after="0" w:line="128" w:lineRule="exact"/>
        <w:rPr>
          <w:sz w:val="20"/>
          <w:szCs w:val="20"/>
          <w:color w:val="auto"/>
        </w:rPr>
      </w:pPr>
    </w:p>
    <w:p>
      <w:pPr>
        <w:ind w:left="360" w:right="939" w:firstLine="33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shall be principally administered, which office at the date hereof is located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2215515</wp:posOffset>
            </wp:positionH>
            <wp:positionV relativeFrom="paragraph">
              <wp:posOffset>-29845</wp:posOffset>
            </wp:positionV>
            <wp:extent cx="120269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1202690" cy="6350"/>
                    </a:xfrm>
                    <a:prstGeom prst="rect">
                      <a:avLst/>
                    </a:prstGeom>
                    <a:noFill/>
                  </pic:spPr>
                </pic:pic>
              </a:graphicData>
            </a:graphic>
          </wp:anchor>
        </w:drawing>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Defaulted Interest</w:t>
      </w:r>
      <w:r>
        <w:rPr>
          <w:rFonts w:ascii="Times New Roman" w:cs="Times New Roman" w:eastAsia="Times New Roman" w:hAnsi="Times New Roman"/>
          <w:sz w:val="14"/>
          <w:szCs w:val="14"/>
          <w:color w:val="auto"/>
        </w:rPr>
        <w:t>” has the meaning set forth in Section 2.03.</w:t>
      </w:r>
    </w:p>
    <w:p>
      <w:pPr>
        <w:spacing w:after="0" w:line="164" w:lineRule="exact"/>
        <w:rPr>
          <w:sz w:val="20"/>
          <w:szCs w:val="20"/>
          <w:color w:val="auto"/>
        </w:rPr>
      </w:pPr>
    </w:p>
    <w:p>
      <w:pPr>
        <w:ind w:left="360" w:right="399" w:firstLine="331"/>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Depositary</w:t>
      </w:r>
      <w:r>
        <w:rPr>
          <w:rFonts w:ascii="Times New Roman" w:cs="Times New Roman" w:eastAsia="Times New Roman" w:hAnsi="Times New Roman"/>
          <w:sz w:val="14"/>
          <w:szCs w:val="14"/>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36" w:lineRule="exact"/>
        <w:rPr>
          <w:sz w:val="20"/>
          <w:szCs w:val="20"/>
          <w:color w:val="auto"/>
        </w:rPr>
      </w:pPr>
    </w:p>
    <w:p>
      <w:pPr>
        <w:ind w:left="360" w:right="439" w:firstLine="33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 means, with respect to Securities of a particular series, any event specified in Section 6.01, continued for the period of time, if any, therein designated.</w:t>
      </w:r>
    </w:p>
    <w:p>
      <w:pPr>
        <w:spacing w:after="0" w:line="128" w:lineRule="exact"/>
        <w:rPr>
          <w:sz w:val="20"/>
          <w:szCs w:val="20"/>
          <w:color w:val="auto"/>
        </w:rPr>
      </w:pPr>
    </w:p>
    <w:p>
      <w:pPr>
        <w:ind w:left="360" w:right="619" w:firstLine="33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United States Securities and Exchange Act of 1934, as amended, and the rules and regulations promulgated by the Commission thereunder.</w:t>
      </w:r>
    </w:p>
    <w:p>
      <w:pPr>
        <w:spacing w:after="0" w:line="128" w:lineRule="exact"/>
        <w:rPr>
          <w:sz w:val="20"/>
          <w:szCs w:val="20"/>
          <w:color w:val="auto"/>
        </w:rPr>
      </w:pPr>
    </w:p>
    <w:p>
      <w:pPr>
        <w:ind w:left="360" w:right="399" w:firstLine="331"/>
        <w:spacing w:after="0" w:line="248"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given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mailed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notify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sent</w:t>
      </w:r>
      <w:r>
        <w:rPr>
          <w:rFonts w:ascii="Times New Roman" w:cs="Times New Roman" w:eastAsia="Times New Roman" w:hAnsi="Times New Roman"/>
          <w:sz w:val="14"/>
          <w:szCs w:val="14"/>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4" w:right="1440" w:bottom="1440" w:gutter="0" w:footer="0" w:header="0"/>
        </w:sectPr>
      </w:pPr>
    </w:p>
    <w:bookmarkStart w:id="51" w:name="page52"/>
    <w:bookmarkEnd w:id="51"/>
    <w:p>
      <w:pPr>
        <w:ind w:left="360" w:right="399" w:firstLine="331"/>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Global Security</w:t>
      </w:r>
      <w:r>
        <w:rPr>
          <w:rFonts w:ascii="Times New Roman" w:cs="Times New Roman" w:eastAsia="Times New Roman" w:hAnsi="Times New Roman"/>
          <w:sz w:val="14"/>
          <w:szCs w:val="14"/>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36" w:lineRule="exact"/>
        <w:rPr>
          <w:sz w:val="20"/>
          <w:szCs w:val="20"/>
          <w:color w:val="auto"/>
        </w:rPr>
      </w:pPr>
    </w:p>
    <w:p>
      <w:pPr>
        <w:ind w:left="360" w:right="399" w:firstLine="33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Obligations</w:t>
      </w:r>
      <w:r>
        <w:rPr>
          <w:rFonts w:ascii="Times New Roman" w:cs="Times New Roman" w:eastAsia="Times New Roman" w:hAnsi="Times New Roman"/>
          <w:sz w:val="14"/>
          <w:szCs w:val="14"/>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45" w:lineRule="exact"/>
        <w:rPr>
          <w:sz w:val="20"/>
          <w:szCs w:val="20"/>
          <w:color w:val="auto"/>
        </w:rPr>
      </w:pPr>
    </w:p>
    <w:p>
      <w:pPr>
        <w:ind w:left="360" w:right="799" w:firstLine="33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herein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hereof</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hereunder</w:t>
      </w:r>
      <w:r>
        <w:rPr>
          <w:rFonts w:ascii="Times New Roman" w:cs="Times New Roman" w:eastAsia="Times New Roman" w:hAnsi="Times New Roman"/>
          <w:sz w:val="14"/>
          <w:szCs w:val="14"/>
          <w:color w:val="auto"/>
        </w:rPr>
        <w:t>”, and other words of similar import, refer to this Indenture as a whole and not to any particular Article, Section or other subdivision.</w:t>
      </w:r>
    </w:p>
    <w:p>
      <w:pPr>
        <w:spacing w:after="0" w:line="128" w:lineRule="exact"/>
        <w:rPr>
          <w:sz w:val="20"/>
          <w:szCs w:val="20"/>
          <w:color w:val="auto"/>
        </w:rPr>
      </w:pPr>
    </w:p>
    <w:p>
      <w:pPr>
        <w:ind w:left="360" w:right="479" w:firstLine="331"/>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36" w:lineRule="exact"/>
        <w:rPr>
          <w:sz w:val="20"/>
          <w:szCs w:val="20"/>
          <w:color w:val="auto"/>
        </w:rPr>
      </w:pPr>
    </w:p>
    <w:p>
      <w:pPr>
        <w:jc w:val="both"/>
        <w:ind w:left="360" w:right="599" w:firstLine="331"/>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Interest Payment Date</w:t>
      </w:r>
      <w:r>
        <w:rPr>
          <w:rFonts w:ascii="Times New Roman" w:cs="Times New Roman" w:eastAsia="Times New Roman" w:hAnsi="Times New Roman"/>
          <w:sz w:val="14"/>
          <w:szCs w:val="14"/>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36" w:lineRule="exact"/>
        <w:rPr>
          <w:sz w:val="20"/>
          <w:szCs w:val="20"/>
          <w:color w:val="auto"/>
        </w:rPr>
      </w:pPr>
    </w:p>
    <w:p>
      <w:pPr>
        <w:ind w:left="360" w:right="519" w:firstLine="331"/>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36" w:lineRule="exact"/>
        <w:rPr>
          <w:sz w:val="20"/>
          <w:szCs w:val="20"/>
          <w:color w:val="auto"/>
        </w:rPr>
      </w:pPr>
    </w:p>
    <w:p>
      <w:pPr>
        <w:ind w:left="360" w:right="479" w:firstLine="33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Officer’s Certificate</w:t>
      </w:r>
      <w:r>
        <w:rPr>
          <w:rFonts w:ascii="Times New Roman" w:cs="Times New Roman" w:eastAsia="Times New Roman" w:hAnsi="Times New Roman"/>
          <w:sz w:val="14"/>
          <w:szCs w:val="14"/>
          <w:color w:val="auto"/>
        </w:rPr>
        <w:t>” means a certificate signed by any Officer. Each such certificate shall include the statements provided for in Section 13.07, if and to the extent required by the provisions thereof.</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4" w:right="1440" w:bottom="1440" w:gutter="0" w:footer="0" w:header="0"/>
        </w:sectPr>
      </w:pPr>
    </w:p>
    <w:bookmarkStart w:id="52" w:name="page53"/>
    <w:bookmarkEnd w:id="52"/>
    <w:p>
      <w:pPr>
        <w:ind w:left="360" w:right="519" w:firstLine="331"/>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Opinion of Counsel</w:t>
      </w:r>
      <w:r>
        <w:rPr>
          <w:rFonts w:ascii="Times New Roman" w:cs="Times New Roman" w:eastAsia="Times New Roman" w:hAnsi="Times New Roman"/>
          <w:sz w:val="14"/>
          <w:szCs w:val="14"/>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36" w:lineRule="exact"/>
        <w:rPr>
          <w:sz w:val="20"/>
          <w:szCs w:val="20"/>
          <w:color w:val="auto"/>
        </w:rPr>
      </w:pPr>
    </w:p>
    <w:p>
      <w:pPr>
        <w:ind w:left="360" w:right="399" w:firstLine="331"/>
        <w:spacing w:after="0" w:line="24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Outstanding</w:t>
      </w:r>
      <w:r>
        <w:rPr>
          <w:rFonts w:ascii="Times New Roman" w:cs="Times New Roman" w:eastAsia="Times New Roman" w:hAnsi="Times New Roman"/>
          <w:sz w:val="14"/>
          <w:szCs w:val="14"/>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45" w:lineRule="exact"/>
        <w:rPr>
          <w:sz w:val="20"/>
          <w:szCs w:val="20"/>
          <w:color w:val="auto"/>
        </w:rPr>
      </w:pPr>
    </w:p>
    <w:p>
      <w:pPr>
        <w:jc w:val="center"/>
        <w:ind w:left="360" w:right="559"/>
        <w:spacing w:after="0" w:line="35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Person</w:t>
      </w:r>
      <w:r>
        <w:rPr>
          <w:rFonts w:ascii="Times New Roman" w:cs="Times New Roman" w:eastAsia="Times New Roman" w:hAnsi="Times New Roman"/>
          <w:sz w:val="12"/>
          <w:szCs w:val="12"/>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82" w:lineRule="exact"/>
        <w:rPr>
          <w:sz w:val="20"/>
          <w:szCs w:val="20"/>
          <w:color w:val="auto"/>
        </w:rPr>
      </w:pPr>
    </w:p>
    <w:p>
      <w:pPr>
        <w:jc w:val="both"/>
        <w:ind w:left="360" w:right="419" w:firstLine="331"/>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Predecessor Security</w:t>
      </w:r>
      <w:r>
        <w:rPr>
          <w:rFonts w:ascii="Times New Roman" w:cs="Times New Roman" w:eastAsia="Times New Roman" w:hAnsi="Times New Roman"/>
          <w:sz w:val="14"/>
          <w:szCs w:val="14"/>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36" w:lineRule="exact"/>
        <w:rPr>
          <w:sz w:val="20"/>
          <w:szCs w:val="20"/>
          <w:color w:val="auto"/>
        </w:rPr>
      </w:pPr>
    </w:p>
    <w:p>
      <w:pPr>
        <w:ind w:left="360" w:right="439" w:firstLine="331"/>
        <w:spacing w:after="0" w:line="30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Responsible Officer</w:t>
      </w:r>
      <w:r>
        <w:rPr>
          <w:rFonts w:ascii="Times New Roman" w:cs="Times New Roman" w:eastAsia="Times New Roman" w:hAnsi="Times New Roman"/>
          <w:sz w:val="12"/>
          <w:szCs w:val="12"/>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10" w:lineRule="exact"/>
        <w:rPr>
          <w:sz w:val="20"/>
          <w:szCs w:val="20"/>
          <w:color w:val="auto"/>
        </w:rPr>
      </w:pPr>
    </w:p>
    <w:p>
      <w:pPr>
        <w:ind w:left="360" w:right="619" w:firstLine="33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Securities authenticated and delivered under this Indenture.</w:t>
      </w:r>
    </w:p>
    <w:p>
      <w:pPr>
        <w:spacing w:after="0" w:line="1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164" w:lineRule="exact"/>
        <w:rPr>
          <w:sz w:val="20"/>
          <w:szCs w:val="20"/>
          <w:color w:val="auto"/>
        </w:rPr>
      </w:pPr>
    </w:p>
    <w:p>
      <w:pPr>
        <w:ind w:left="360" w:right="719" w:firstLine="331"/>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holder of Securities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registered holder</w:t>
      </w:r>
      <w:r>
        <w:rPr>
          <w:rFonts w:ascii="Times New Roman" w:cs="Times New Roman" w:eastAsia="Times New Roman" w:hAnsi="Times New Roman"/>
          <w:sz w:val="14"/>
          <w:szCs w:val="14"/>
          <w:color w:val="auto"/>
        </w:rPr>
        <w:t>”, or other similar term, means the Person or Persons in whose name or names a particular Security is registered on the Security Register kept for that purpose in accordance with the terms of this Indenture.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4" w:right="1440" w:bottom="1440" w:gutter="0" w:footer="0" w:header="0"/>
        </w:sectPr>
      </w:pPr>
    </w:p>
    <w:bookmarkStart w:id="53" w:name="page54"/>
    <w:bookmarkEnd w:id="53"/>
    <w:p>
      <w:pPr>
        <w:ind w:left="7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t>
      </w:r>
      <w:r>
        <w:rPr>
          <w:rFonts w:ascii="Times New Roman" w:cs="Times New Roman" w:eastAsia="Times New Roman" w:hAnsi="Times New Roman"/>
          <w:sz w:val="14"/>
          <w:szCs w:val="14"/>
          <w:b w:val="1"/>
          <w:bCs w:val="1"/>
          <w:i w:val="1"/>
          <w:iCs w:val="1"/>
          <w:color w:val="auto"/>
        </w:rPr>
        <w:t>Security Register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Security Registrar</w:t>
      </w:r>
      <w:r>
        <w:rPr>
          <w:rFonts w:ascii="Times New Roman" w:cs="Times New Roman" w:eastAsia="Times New Roman" w:hAnsi="Times New Roman"/>
          <w:sz w:val="14"/>
          <w:szCs w:val="14"/>
          <w:color w:val="auto"/>
        </w:rPr>
        <w:t>” shall have the meanings as set forth in Section 2.05.</w:t>
      </w:r>
    </w:p>
    <w:p>
      <w:pPr>
        <w:spacing w:after="0" w:line="164" w:lineRule="exact"/>
        <w:rPr>
          <w:sz w:val="20"/>
          <w:szCs w:val="20"/>
          <w:color w:val="auto"/>
        </w:rPr>
      </w:pPr>
    </w:p>
    <w:p>
      <w:pPr>
        <w:ind w:left="360" w:right="459" w:firstLine="331"/>
        <w:spacing w:after="0" w:line="25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Trustee</w:t>
      </w:r>
      <w:r>
        <w:rPr>
          <w:rFonts w:ascii="Times New Roman" w:cs="Times New Roman" w:eastAsia="Times New Roman" w:hAnsi="Times New Roman"/>
          <w:sz w:val="12"/>
          <w:szCs w:val="12"/>
          <w:color w:val="auto"/>
        </w:rPr>
        <w:t>” means _________________________, and, subject to the provisions of Article Seven, shall also include its successors and assigns, and,</w:t>
      </w:r>
    </w:p>
    <w:p>
      <w:pPr>
        <w:spacing w:after="0" w:line="41" w:lineRule="exact"/>
        <w:rPr>
          <w:sz w:val="20"/>
          <w:szCs w:val="20"/>
          <w:color w:val="auto"/>
        </w:rPr>
      </w:pPr>
    </w:p>
    <w:p>
      <w:pPr>
        <w:ind w:left="360" w:right="479"/>
        <w:spacing w:after="0" w:line="244" w:lineRule="auto"/>
        <w:rPr>
          <w:sz w:val="20"/>
          <w:szCs w:val="20"/>
          <w:color w:val="auto"/>
        </w:rPr>
      </w:pPr>
      <w:r>
        <w:rPr>
          <w:rFonts w:ascii="Times New Roman" w:cs="Times New Roman" w:eastAsia="Times New Roman" w:hAnsi="Times New Roman"/>
          <w:sz w:val="14"/>
          <w:szCs w:val="14"/>
          <w:color w:val="auto"/>
        </w:rPr>
        <w:t>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means the Trust Indenture Act of 1939, as amended.</w:t>
      </w:r>
    </w:p>
    <w:p>
      <w:pPr>
        <w:spacing w:after="0" w:line="164" w:lineRule="exact"/>
        <w:rPr>
          <w:sz w:val="20"/>
          <w:szCs w:val="20"/>
          <w:color w:val="auto"/>
        </w:rPr>
      </w:pPr>
    </w:p>
    <w:p>
      <w:pPr>
        <w:ind w:left="360" w:right="399" w:firstLine="331"/>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“U.S.A. Patriot Act” </w:t>
      </w:r>
      <w:r>
        <w:rPr>
          <w:rFonts w:ascii="Times New Roman" w:cs="Times New Roman" w:eastAsia="Times New Roman" w:hAnsi="Times New Roman"/>
          <w:sz w:val="14"/>
          <w:szCs w:val="14"/>
          <w:color w:val="auto"/>
        </w:rPr>
        <w:t>means the Uniting and Strengthening America by Providing Appropriate Tools Required to Intercept and Obstruct Terrorism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 of 2001, Pub. L. 107-56, as amended and signed into law October 26, 2001.</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ISSUE, DESCRIPTION, TERMS, EXECUTION, REGISTRATION AND</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EXCHANGE OF SECURITIES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2.01 Designation and Terms of Securities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59" w:firstLine="749"/>
        <w:spacing w:after="0" w:line="303" w:lineRule="auto"/>
        <w:tabs>
          <w:tab w:leader="none" w:pos="1297" w:val="left"/>
        </w:tabs>
        <w:numPr>
          <w:ilvl w:val="0"/>
          <w:numId w:val="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33" w:lineRule="exact"/>
        <w:rPr>
          <w:rFonts w:ascii="Times New Roman" w:cs="Times New Roman" w:eastAsia="Times New Roman" w:hAnsi="Times New Roman"/>
          <w:sz w:val="12"/>
          <w:szCs w:val="12"/>
          <w:b w:val="1"/>
          <w:bCs w:val="1"/>
          <w:color w:val="auto"/>
        </w:rPr>
      </w:pPr>
    </w:p>
    <w:p>
      <w:pPr>
        <w:ind w:left="1640" w:hanging="200"/>
        <w:spacing w:after="0"/>
        <w:tabs>
          <w:tab w:leader="none" w:pos="1640" w:val="left"/>
        </w:tabs>
        <w:numPr>
          <w:ilvl w:val="1"/>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title of the Securities of the series (which shall distinguish the Securities of that series from all other Securities);</w:t>
      </w:r>
    </w:p>
    <w:p>
      <w:pPr>
        <w:spacing w:after="0" w:line="82" w:lineRule="exact"/>
        <w:rPr>
          <w:rFonts w:ascii="Times New Roman" w:cs="Times New Roman" w:eastAsia="Times New Roman" w:hAnsi="Times New Roman"/>
          <w:sz w:val="14"/>
          <w:szCs w:val="14"/>
          <w:b w:val="1"/>
          <w:bCs w:val="1"/>
          <w:color w:val="auto"/>
        </w:rPr>
      </w:pPr>
    </w:p>
    <w:p>
      <w:pPr>
        <w:ind w:left="360" w:right="499" w:firstLine="1080"/>
        <w:spacing w:after="0" w:line="252" w:lineRule="auto"/>
        <w:tabs>
          <w:tab w:leader="none" w:pos="1628" w:val="left"/>
        </w:tabs>
        <w:numPr>
          <w:ilvl w:val="1"/>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4" w:right="1440" w:bottom="1440" w:gutter="0" w:footer="0" w:header="0"/>
        </w:sectPr>
      </w:pPr>
    </w:p>
    <w:bookmarkStart w:id="54" w:name="page55"/>
    <w:bookmarkEnd w:id="54"/>
    <w:p>
      <w:pPr>
        <w:ind w:left="1640" w:hanging="200"/>
        <w:spacing w:after="0"/>
        <w:tabs>
          <w:tab w:leader="none" w:pos="164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maturity date or dates on which the principal of the Securities of the series is payable;</w:t>
      </w:r>
    </w:p>
    <w:p>
      <w:pPr>
        <w:spacing w:after="0" w:line="82" w:lineRule="exact"/>
        <w:rPr>
          <w:rFonts w:ascii="Times New Roman" w:cs="Times New Roman" w:eastAsia="Times New Roman" w:hAnsi="Times New Roman"/>
          <w:sz w:val="14"/>
          <w:szCs w:val="14"/>
          <w:b w:val="1"/>
          <w:bCs w:val="1"/>
          <w:color w:val="auto"/>
        </w:rPr>
      </w:pPr>
    </w:p>
    <w:p>
      <w:pPr>
        <w:ind w:left="1640" w:hanging="200"/>
        <w:spacing w:after="0"/>
        <w:tabs>
          <w:tab w:leader="none" w:pos="164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82" w:lineRule="exact"/>
        <w:rPr>
          <w:rFonts w:ascii="Times New Roman" w:cs="Times New Roman" w:eastAsia="Times New Roman" w:hAnsi="Times New Roman"/>
          <w:sz w:val="14"/>
          <w:szCs w:val="14"/>
          <w:b w:val="1"/>
          <w:bCs w:val="1"/>
          <w:color w:val="auto"/>
        </w:rPr>
      </w:pPr>
    </w:p>
    <w:p>
      <w:pPr>
        <w:ind w:left="1640" w:hanging="200"/>
        <w:spacing w:after="0"/>
        <w:tabs>
          <w:tab w:leader="none" w:pos="164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applicability of any guarantees;</w:t>
      </w:r>
    </w:p>
    <w:p>
      <w:pPr>
        <w:spacing w:after="0" w:line="82" w:lineRule="exact"/>
        <w:rPr>
          <w:rFonts w:ascii="Times New Roman" w:cs="Times New Roman" w:eastAsia="Times New Roman" w:hAnsi="Times New Roman"/>
          <w:sz w:val="14"/>
          <w:szCs w:val="14"/>
          <w:b w:val="1"/>
          <w:bCs w:val="1"/>
          <w:color w:val="auto"/>
        </w:rPr>
      </w:pPr>
    </w:p>
    <w:p>
      <w:pPr>
        <w:ind w:left="1640" w:hanging="200"/>
        <w:spacing w:after="0"/>
        <w:tabs>
          <w:tab w:leader="none" w:pos="164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whether or not the Securities will be secured or unsecured, and the terms of any secured debt;</w:t>
      </w:r>
    </w:p>
    <w:p>
      <w:pPr>
        <w:spacing w:after="0" w:line="82" w:lineRule="exact"/>
        <w:rPr>
          <w:rFonts w:ascii="Times New Roman" w:cs="Times New Roman" w:eastAsia="Times New Roman" w:hAnsi="Times New Roman"/>
          <w:sz w:val="14"/>
          <w:szCs w:val="14"/>
          <w:b w:val="1"/>
          <w:bCs w:val="1"/>
          <w:color w:val="auto"/>
        </w:rPr>
      </w:pPr>
    </w:p>
    <w:p>
      <w:pPr>
        <w:ind w:left="1640" w:hanging="200"/>
        <w:spacing w:after="0"/>
        <w:tabs>
          <w:tab w:leader="none" w:pos="1640" w:val="left"/>
        </w:tabs>
        <w:numPr>
          <w:ilvl w:val="0"/>
          <w:numId w:val="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whether the Securities rank as senior debt, senior subordinated debt, subordinated debt or any combination thereof, and the terms</w:t>
      </w:r>
    </w:p>
    <w:p>
      <w:pPr>
        <w:spacing w:after="0" w:line="36" w:lineRule="exact"/>
        <w:rPr>
          <w:rFonts w:ascii="Times New Roman" w:cs="Times New Roman" w:eastAsia="Times New Roman" w:hAnsi="Times New Roman"/>
          <w:sz w:val="12"/>
          <w:szCs w:val="12"/>
          <w:b w:val="1"/>
          <w:bCs w:val="1"/>
          <w:color w:val="auto"/>
        </w:rPr>
      </w:pPr>
    </w:p>
    <w:p>
      <w:pPr>
        <w:ind w:left="3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4"/>
          <w:szCs w:val="14"/>
          <w:color w:val="auto"/>
        </w:rPr>
        <w:t>of any subordination;</w:t>
      </w:r>
    </w:p>
    <w:p>
      <w:pPr>
        <w:spacing w:after="0" w:line="70" w:lineRule="exact"/>
        <w:rPr>
          <w:rFonts w:ascii="Times New Roman" w:cs="Times New Roman" w:eastAsia="Times New Roman" w:hAnsi="Times New Roman"/>
          <w:sz w:val="12"/>
          <w:szCs w:val="12"/>
          <w:b w:val="1"/>
          <w:bCs w:val="1"/>
          <w:color w:val="auto"/>
        </w:rPr>
      </w:pPr>
    </w:p>
    <w:p>
      <w:pPr>
        <w:ind w:left="360" w:right="459" w:firstLine="1080"/>
        <w:spacing w:after="0" w:line="248" w:lineRule="auto"/>
        <w:tabs>
          <w:tab w:leader="none" w:pos="1628"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65" w:lineRule="exact"/>
        <w:rPr>
          <w:rFonts w:ascii="Times New Roman" w:cs="Times New Roman" w:eastAsia="Times New Roman" w:hAnsi="Times New Roman"/>
          <w:sz w:val="14"/>
          <w:szCs w:val="14"/>
          <w:b w:val="1"/>
          <w:bCs w:val="1"/>
          <w:color w:val="auto"/>
        </w:rPr>
      </w:pPr>
    </w:p>
    <w:p>
      <w:pPr>
        <w:ind w:left="360" w:right="399" w:firstLine="1080"/>
        <w:spacing w:after="0" w:line="262" w:lineRule="auto"/>
        <w:tabs>
          <w:tab w:leader="none" w:pos="1628"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54" w:lineRule="exact"/>
        <w:rPr>
          <w:rFonts w:ascii="Times New Roman" w:cs="Times New Roman" w:eastAsia="Times New Roman" w:hAnsi="Times New Roman"/>
          <w:sz w:val="14"/>
          <w:szCs w:val="14"/>
          <w:b w:val="1"/>
          <w:bCs w:val="1"/>
          <w:color w:val="auto"/>
        </w:rPr>
      </w:pPr>
    </w:p>
    <w:p>
      <w:pPr>
        <w:ind w:left="1700" w:hanging="260"/>
        <w:spacing w:after="0"/>
        <w:tabs>
          <w:tab w:leader="none" w:pos="170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right, if any, to defer the payment of interest and the maximum length of any such deferral period;</w:t>
      </w:r>
    </w:p>
    <w:p>
      <w:pPr>
        <w:spacing w:after="0" w:line="82" w:lineRule="exact"/>
        <w:rPr>
          <w:rFonts w:ascii="Times New Roman" w:cs="Times New Roman" w:eastAsia="Times New Roman" w:hAnsi="Times New Roman"/>
          <w:sz w:val="14"/>
          <w:szCs w:val="14"/>
          <w:b w:val="1"/>
          <w:bCs w:val="1"/>
          <w:color w:val="auto"/>
        </w:rPr>
      </w:pPr>
    </w:p>
    <w:p>
      <w:pPr>
        <w:ind w:left="360" w:right="419" w:firstLine="1080"/>
        <w:spacing w:after="0" w:line="252" w:lineRule="auto"/>
        <w:tabs>
          <w:tab w:leader="none" w:pos="1688"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61" w:lineRule="exact"/>
        <w:rPr>
          <w:rFonts w:ascii="Times New Roman" w:cs="Times New Roman" w:eastAsia="Times New Roman" w:hAnsi="Times New Roman"/>
          <w:sz w:val="14"/>
          <w:szCs w:val="14"/>
          <w:b w:val="1"/>
          <w:bCs w:val="1"/>
          <w:color w:val="auto"/>
        </w:rPr>
      </w:pPr>
    </w:p>
    <w:p>
      <w:pPr>
        <w:ind w:left="360" w:right="799" w:firstLine="1080"/>
        <w:spacing w:after="0" w:line="252" w:lineRule="auto"/>
        <w:tabs>
          <w:tab w:leader="none" w:pos="1696"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61" w:lineRule="exact"/>
        <w:rPr>
          <w:rFonts w:ascii="Times New Roman" w:cs="Times New Roman" w:eastAsia="Times New Roman" w:hAnsi="Times New Roman"/>
          <w:sz w:val="14"/>
          <w:szCs w:val="14"/>
          <w:b w:val="1"/>
          <w:bCs w:val="1"/>
          <w:color w:val="auto"/>
        </w:rPr>
      </w:pPr>
    </w:p>
    <w:p>
      <w:pPr>
        <w:ind w:left="360" w:right="719" w:firstLine="1080"/>
        <w:spacing w:after="0" w:line="262" w:lineRule="auto"/>
        <w:tabs>
          <w:tab w:leader="none" w:pos="1696"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denominations in which the Securities of the series shall be issuable, if other than denominations of one thousand U.S. dollars ($1,000) or any integral multiple thereof;</w:t>
      </w:r>
    </w:p>
    <w:p>
      <w:pPr>
        <w:spacing w:after="0" w:line="54" w:lineRule="exact"/>
        <w:rPr>
          <w:rFonts w:ascii="Times New Roman" w:cs="Times New Roman" w:eastAsia="Times New Roman" w:hAnsi="Times New Roman"/>
          <w:sz w:val="14"/>
          <w:szCs w:val="14"/>
          <w:b w:val="1"/>
          <w:bCs w:val="1"/>
          <w:color w:val="auto"/>
        </w:rPr>
      </w:pPr>
    </w:p>
    <w:p>
      <w:pPr>
        <w:ind w:left="360" w:right="499" w:firstLine="1080"/>
        <w:spacing w:after="0" w:line="252" w:lineRule="auto"/>
        <w:tabs>
          <w:tab w:leader="none" w:pos="1696"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55" w:name="page56"/>
    <w:bookmarkEnd w:id="55"/>
    <w:p>
      <w:pPr>
        <w:ind w:left="360" w:right="519" w:firstLine="1080"/>
        <w:spacing w:after="0" w:line="252" w:lineRule="auto"/>
        <w:tabs>
          <w:tab w:leader="none" w:pos="1696"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1" w:lineRule="exact"/>
        <w:rPr>
          <w:rFonts w:ascii="Times New Roman" w:cs="Times New Roman" w:eastAsia="Times New Roman" w:hAnsi="Times New Roman"/>
          <w:sz w:val="14"/>
          <w:szCs w:val="14"/>
          <w:b w:val="1"/>
          <w:bCs w:val="1"/>
          <w:color w:val="auto"/>
        </w:rPr>
      </w:pPr>
    </w:p>
    <w:p>
      <w:pPr>
        <w:jc w:val="both"/>
        <w:ind w:left="360" w:right="399" w:firstLine="1080"/>
        <w:spacing w:after="0" w:line="247" w:lineRule="auto"/>
        <w:tabs>
          <w:tab w:leader="none" w:pos="1696"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64" w:lineRule="exact"/>
        <w:rPr>
          <w:rFonts w:ascii="Times New Roman" w:cs="Times New Roman" w:eastAsia="Times New Roman" w:hAnsi="Times New Roman"/>
          <w:sz w:val="14"/>
          <w:szCs w:val="14"/>
          <w:b w:val="1"/>
          <w:bCs w:val="1"/>
          <w:color w:val="auto"/>
        </w:rPr>
      </w:pPr>
    </w:p>
    <w:p>
      <w:pPr>
        <w:ind w:left="360" w:right="699" w:firstLine="1080"/>
        <w:spacing w:after="0" w:line="262" w:lineRule="auto"/>
        <w:tabs>
          <w:tab w:leader="none" w:pos="1696"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other than the full principal amount thereof, the portion of the principal amount of Securities of the series which shall be payable upon declaration of acceleration of the maturity thereof pursuant to Section 6.01;</w:t>
      </w:r>
    </w:p>
    <w:p>
      <w:pPr>
        <w:spacing w:after="0" w:line="54" w:lineRule="exact"/>
        <w:rPr>
          <w:rFonts w:ascii="Times New Roman" w:cs="Times New Roman" w:eastAsia="Times New Roman" w:hAnsi="Times New Roman"/>
          <w:sz w:val="14"/>
          <w:szCs w:val="14"/>
          <w:b w:val="1"/>
          <w:bCs w:val="1"/>
          <w:color w:val="auto"/>
        </w:rPr>
      </w:pPr>
    </w:p>
    <w:p>
      <w:pPr>
        <w:ind w:left="360" w:right="859" w:firstLine="1080"/>
        <w:spacing w:after="0" w:line="262" w:lineRule="auto"/>
        <w:tabs>
          <w:tab w:leader="none" w:pos="1696"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covenants applicable to the series of Securities being issued, including, among others, the consolidation, merger or sale covenant;</w:t>
      </w:r>
    </w:p>
    <w:p>
      <w:pPr>
        <w:spacing w:after="0" w:line="54" w:lineRule="exact"/>
        <w:rPr>
          <w:rFonts w:ascii="Times New Roman" w:cs="Times New Roman" w:eastAsia="Times New Roman" w:hAnsi="Times New Roman"/>
          <w:sz w:val="14"/>
          <w:szCs w:val="14"/>
          <w:b w:val="1"/>
          <w:bCs w:val="1"/>
          <w:color w:val="auto"/>
        </w:rPr>
      </w:pPr>
    </w:p>
    <w:p>
      <w:pPr>
        <w:ind w:left="360" w:right="519" w:firstLine="1080"/>
        <w:spacing w:after="0" w:line="262" w:lineRule="auto"/>
        <w:tabs>
          <w:tab w:leader="none" w:pos="1696"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54" w:lineRule="exact"/>
        <w:rPr>
          <w:rFonts w:ascii="Times New Roman" w:cs="Times New Roman" w:eastAsia="Times New Roman" w:hAnsi="Times New Roman"/>
          <w:sz w:val="14"/>
          <w:szCs w:val="14"/>
          <w:b w:val="1"/>
          <w:bCs w:val="1"/>
          <w:color w:val="auto"/>
        </w:rPr>
      </w:pPr>
    </w:p>
    <w:p>
      <w:pPr>
        <w:ind w:left="1700" w:hanging="260"/>
        <w:spacing w:after="0"/>
        <w:tabs>
          <w:tab w:leader="none" w:pos="170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82" w:lineRule="exact"/>
        <w:rPr>
          <w:rFonts w:ascii="Times New Roman" w:cs="Times New Roman" w:eastAsia="Times New Roman" w:hAnsi="Times New Roman"/>
          <w:sz w:val="14"/>
          <w:szCs w:val="14"/>
          <w:b w:val="1"/>
          <w:bCs w:val="1"/>
          <w:color w:val="auto"/>
        </w:rPr>
      </w:pPr>
    </w:p>
    <w:p>
      <w:pPr>
        <w:ind w:left="1700" w:hanging="260"/>
        <w:spacing w:after="0"/>
        <w:tabs>
          <w:tab w:leader="none" w:pos="170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provisions relating to satisfaction and discharge of this Indenture;</w:t>
      </w:r>
    </w:p>
    <w:p>
      <w:pPr>
        <w:spacing w:after="0" w:line="82" w:lineRule="exact"/>
        <w:rPr>
          <w:rFonts w:ascii="Times New Roman" w:cs="Times New Roman" w:eastAsia="Times New Roman" w:hAnsi="Times New Roman"/>
          <w:sz w:val="14"/>
          <w:szCs w:val="14"/>
          <w:b w:val="1"/>
          <w:bCs w:val="1"/>
          <w:color w:val="auto"/>
        </w:rPr>
      </w:pPr>
    </w:p>
    <w:p>
      <w:pPr>
        <w:ind w:left="360" w:right="679" w:firstLine="1080"/>
        <w:spacing w:after="0" w:line="262" w:lineRule="auto"/>
        <w:tabs>
          <w:tab w:leader="none" w:pos="1696"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additions to or changes in the provisions relating to the modification of this Indenture both with and without the consent of Securityholders of Securities issued under this Indenture;</w:t>
      </w:r>
    </w:p>
    <w:p>
      <w:pPr>
        <w:spacing w:after="0" w:line="54" w:lineRule="exact"/>
        <w:rPr>
          <w:rFonts w:ascii="Times New Roman" w:cs="Times New Roman" w:eastAsia="Times New Roman" w:hAnsi="Times New Roman"/>
          <w:sz w:val="14"/>
          <w:szCs w:val="14"/>
          <w:b w:val="1"/>
          <w:bCs w:val="1"/>
          <w:color w:val="auto"/>
        </w:rPr>
      </w:pPr>
    </w:p>
    <w:p>
      <w:pPr>
        <w:ind w:left="1700" w:hanging="260"/>
        <w:spacing w:after="0"/>
        <w:tabs>
          <w:tab w:leader="none" w:pos="1700" w:val="left"/>
        </w:tabs>
        <w:numPr>
          <w:ilvl w:val="0"/>
          <w:numId w:val="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currency of payment of Securities if other than U.S. dollars and the manner of determining the equivalent amount in U.S.</w:t>
      </w:r>
    </w:p>
    <w:p>
      <w:pPr>
        <w:spacing w:after="0" w:line="36" w:lineRule="exact"/>
        <w:rPr>
          <w:rFonts w:ascii="Times New Roman" w:cs="Times New Roman" w:eastAsia="Times New Roman" w:hAnsi="Times New Roman"/>
          <w:sz w:val="12"/>
          <w:szCs w:val="12"/>
          <w:b w:val="1"/>
          <w:bCs w:val="1"/>
          <w:color w:val="auto"/>
        </w:rPr>
      </w:pPr>
    </w:p>
    <w:p>
      <w:pPr>
        <w:ind w:left="3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4"/>
          <w:szCs w:val="14"/>
          <w:color w:val="auto"/>
        </w:rPr>
        <w:t>dollars;</w:t>
      </w:r>
    </w:p>
    <w:p>
      <w:pPr>
        <w:spacing w:after="0" w:line="70" w:lineRule="exact"/>
        <w:rPr>
          <w:rFonts w:ascii="Times New Roman" w:cs="Times New Roman" w:eastAsia="Times New Roman" w:hAnsi="Times New Roman"/>
          <w:sz w:val="12"/>
          <w:szCs w:val="12"/>
          <w:b w:val="1"/>
          <w:bCs w:val="1"/>
          <w:color w:val="auto"/>
        </w:rPr>
      </w:pPr>
    </w:p>
    <w:p>
      <w:pPr>
        <w:ind w:left="360" w:right="499" w:firstLine="1080"/>
        <w:spacing w:after="0" w:line="262" w:lineRule="auto"/>
        <w:tabs>
          <w:tab w:leader="none" w:pos="1696"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whether interest will be payable in cash or additional Securities at the Company’s or the Securityholders’ option and the terms and conditions upon which the election may be made;</w:t>
      </w:r>
    </w:p>
    <w:p>
      <w:pPr>
        <w:spacing w:after="0" w:line="54" w:lineRule="exact"/>
        <w:rPr>
          <w:rFonts w:ascii="Times New Roman" w:cs="Times New Roman" w:eastAsia="Times New Roman" w:hAnsi="Times New Roman"/>
          <w:sz w:val="14"/>
          <w:szCs w:val="14"/>
          <w:b w:val="1"/>
          <w:bCs w:val="1"/>
          <w:color w:val="auto"/>
        </w:rPr>
      </w:pPr>
    </w:p>
    <w:p>
      <w:pPr>
        <w:ind w:left="360" w:right="479" w:firstLine="1080"/>
        <w:spacing w:after="0" w:line="262" w:lineRule="auto"/>
        <w:tabs>
          <w:tab w:leader="none" w:pos="1696"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56" w:name="page57"/>
    <w:bookmarkEnd w:id="56"/>
    <w:p>
      <w:pPr>
        <w:ind w:left="1700" w:hanging="260"/>
        <w:spacing w:after="0"/>
        <w:tabs>
          <w:tab w:leader="none" w:pos="1700"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any restrictions on transfer, sale or assignment of the Securities of the series; and</w:t>
      </w:r>
    </w:p>
    <w:p>
      <w:pPr>
        <w:spacing w:after="0" w:line="82" w:lineRule="exact"/>
        <w:rPr>
          <w:rFonts w:ascii="Times New Roman" w:cs="Times New Roman" w:eastAsia="Times New Roman" w:hAnsi="Times New Roman"/>
          <w:sz w:val="14"/>
          <w:szCs w:val="14"/>
          <w:b w:val="1"/>
          <w:bCs w:val="1"/>
          <w:color w:val="auto"/>
        </w:rPr>
      </w:pPr>
    </w:p>
    <w:p>
      <w:pPr>
        <w:ind w:left="360" w:right="399" w:firstLine="1080"/>
        <w:spacing w:after="0" w:line="262" w:lineRule="auto"/>
        <w:tabs>
          <w:tab w:leader="none" w:pos="1696"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36" w:lineRule="exact"/>
        <w:rPr>
          <w:sz w:val="20"/>
          <w:szCs w:val="20"/>
          <w:color w:val="auto"/>
        </w:rPr>
      </w:pPr>
    </w:p>
    <w:p>
      <w:pPr>
        <w:ind w:left="360" w:right="519" w:firstLine="331"/>
        <w:spacing w:after="0" w:line="262" w:lineRule="auto"/>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may otherwise be provided in or pursuant to any such Board Resolution or in any indentures supplemental hereto.</w:t>
      </w:r>
    </w:p>
    <w:p>
      <w:pPr>
        <w:spacing w:after="0" w:line="136" w:lineRule="exact"/>
        <w:rPr>
          <w:sz w:val="20"/>
          <w:szCs w:val="20"/>
          <w:color w:val="auto"/>
        </w:rPr>
      </w:pPr>
    </w:p>
    <w:p>
      <w:pPr>
        <w:ind w:left="360" w:right="419" w:firstLine="331"/>
        <w:spacing w:after="0" w:line="252"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42" w:lineRule="exact"/>
        <w:rPr>
          <w:sz w:val="20"/>
          <w:szCs w:val="20"/>
          <w:color w:val="auto"/>
        </w:rPr>
      </w:pPr>
    </w:p>
    <w:p>
      <w:pPr>
        <w:jc w:val="both"/>
        <w:ind w:left="360" w:right="619" w:firstLine="331"/>
        <w:spacing w:after="0" w:line="252"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2.02 Form of Securities and Trustee’s Certificate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39" w:firstLine="331"/>
        <w:spacing w:after="0" w:line="246" w:lineRule="auto"/>
        <w:rPr>
          <w:sz w:val="20"/>
          <w:szCs w:val="20"/>
          <w:color w:val="auto"/>
        </w:rPr>
      </w:pPr>
      <w:r>
        <w:rPr>
          <w:rFonts w:ascii="Times New Roman" w:cs="Times New Roman" w:eastAsia="Times New Roman" w:hAnsi="Times New Roman"/>
          <w:sz w:val="14"/>
          <w:szCs w:val="14"/>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2.03 Denominations: Provisions for Payment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79" w:firstLine="331"/>
        <w:spacing w:after="0" w:line="245" w:lineRule="auto"/>
        <w:rPr>
          <w:sz w:val="20"/>
          <w:szCs w:val="20"/>
          <w:color w:val="auto"/>
        </w:rPr>
      </w:pPr>
      <w:r>
        <w:rPr>
          <w:rFonts w:ascii="Times New Roman" w:cs="Times New Roman" w:eastAsia="Times New Roman" w:hAnsi="Times New Roman"/>
          <w:sz w:val="14"/>
          <w:szCs w:val="14"/>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8" w:right="1440" w:bottom="1440" w:gutter="0" w:footer="0" w:header="0"/>
        </w:sectPr>
      </w:pPr>
    </w:p>
    <w:bookmarkStart w:id="57" w:name="page58"/>
    <w:bookmarkEnd w:id="57"/>
    <w:p>
      <w:pPr>
        <w:ind w:left="360" w:right="399" w:firstLine="331"/>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46" w:lineRule="exact"/>
        <w:rPr>
          <w:sz w:val="20"/>
          <w:szCs w:val="20"/>
          <w:color w:val="auto"/>
        </w:rPr>
      </w:pPr>
    </w:p>
    <w:p>
      <w:pPr>
        <w:ind w:left="360" w:right="479" w:firstLine="331"/>
        <w:spacing w:after="0" w:line="314" w:lineRule="auto"/>
        <w:rPr>
          <w:sz w:val="20"/>
          <w:szCs w:val="20"/>
          <w:color w:val="auto"/>
        </w:rPr>
      </w:pPr>
      <w:r>
        <w:rPr>
          <w:rFonts w:ascii="Times New Roman" w:cs="Times New Roman" w:eastAsia="Times New Roman" w:hAnsi="Times New Roman"/>
          <w:sz w:val="12"/>
          <w:szCs w:val="12"/>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27" w:lineRule="exact"/>
        <w:rPr>
          <w:sz w:val="20"/>
          <w:szCs w:val="20"/>
          <w:color w:val="auto"/>
        </w:rPr>
      </w:pPr>
    </w:p>
    <w:p>
      <w:pPr>
        <w:ind w:left="360" w:right="379" w:firstLine="1080"/>
        <w:spacing w:after="0" w:line="243" w:lineRule="auto"/>
        <w:tabs>
          <w:tab w:leader="none" w:pos="1628"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73" w:lineRule="exact"/>
        <w:rPr>
          <w:rFonts w:ascii="Times New Roman" w:cs="Times New Roman" w:eastAsia="Times New Roman" w:hAnsi="Times New Roman"/>
          <w:sz w:val="14"/>
          <w:szCs w:val="14"/>
          <w:b w:val="1"/>
          <w:bCs w:val="1"/>
          <w:color w:val="auto"/>
        </w:rPr>
      </w:pPr>
    </w:p>
    <w:p>
      <w:pPr>
        <w:ind w:left="360" w:right="379" w:firstLine="1080"/>
        <w:spacing w:after="0" w:line="248" w:lineRule="auto"/>
        <w:tabs>
          <w:tab w:leader="none" w:pos="1628" w:val="left"/>
        </w:tabs>
        <w:numPr>
          <w:ilvl w:val="0"/>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8" w:right="1440" w:bottom="1440" w:gutter="0" w:footer="0" w:header="0"/>
        </w:sectPr>
      </w:pPr>
    </w:p>
    <w:bookmarkStart w:id="58" w:name="page59"/>
    <w:bookmarkEnd w:id="58"/>
    <w:p>
      <w:pPr>
        <w:ind w:left="360" w:right="379" w:firstLine="331"/>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47" w:lineRule="exact"/>
        <w:rPr>
          <w:sz w:val="20"/>
          <w:szCs w:val="20"/>
          <w:color w:val="auto"/>
        </w:rPr>
      </w:pPr>
    </w:p>
    <w:p>
      <w:pPr>
        <w:jc w:val="both"/>
        <w:ind w:left="360" w:right="499" w:firstLine="331"/>
        <w:spacing w:after="0" w:line="345" w:lineRule="auto"/>
        <w:rPr>
          <w:sz w:val="20"/>
          <w:szCs w:val="20"/>
          <w:color w:val="auto"/>
        </w:rPr>
      </w:pPr>
      <w:r>
        <w:rPr>
          <w:rFonts w:ascii="Times New Roman" w:cs="Times New Roman" w:eastAsia="Times New Roman" w:hAnsi="Times New Roman"/>
          <w:sz w:val="12"/>
          <w:szCs w:val="12"/>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2.04 Execution and Authentications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color w:val="auto"/>
        </w:rPr>
        <w:t>The Securities shall be signed on behalf of the Company by one of its Officers. Signatures may be in the form of a manual or facsimile signature.</w:t>
      </w:r>
    </w:p>
    <w:p>
      <w:pPr>
        <w:spacing w:after="0" w:line="187" w:lineRule="exact"/>
        <w:rPr>
          <w:sz w:val="20"/>
          <w:szCs w:val="20"/>
          <w:color w:val="auto"/>
        </w:rPr>
      </w:pPr>
    </w:p>
    <w:p>
      <w:pPr>
        <w:ind w:left="360" w:right="399" w:firstLine="331"/>
        <w:spacing w:after="0" w:line="248" w:lineRule="auto"/>
        <w:rPr>
          <w:sz w:val="20"/>
          <w:szCs w:val="20"/>
          <w:color w:val="auto"/>
        </w:rPr>
      </w:pPr>
      <w:r>
        <w:rPr>
          <w:rFonts w:ascii="Times New Roman" w:cs="Times New Roman" w:eastAsia="Times New Roman" w:hAnsi="Times New Roman"/>
          <w:sz w:val="14"/>
          <w:szCs w:val="14"/>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47" w:lineRule="exact"/>
        <w:rPr>
          <w:sz w:val="20"/>
          <w:szCs w:val="20"/>
          <w:color w:val="auto"/>
        </w:rPr>
      </w:pPr>
    </w:p>
    <w:p>
      <w:pPr>
        <w:ind w:left="360" w:right="459" w:firstLine="331"/>
        <w:spacing w:after="0" w:line="246" w:lineRule="auto"/>
        <w:rPr>
          <w:sz w:val="20"/>
          <w:szCs w:val="20"/>
          <w:color w:val="auto"/>
        </w:rPr>
      </w:pPr>
      <w:r>
        <w:rPr>
          <w:rFonts w:ascii="Times New Roman" w:cs="Times New Roman" w:eastAsia="Times New Roman" w:hAnsi="Times New Roman"/>
          <w:sz w:val="14"/>
          <w:szCs w:val="14"/>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47" w:lineRule="exact"/>
        <w:rPr>
          <w:sz w:val="20"/>
          <w:szCs w:val="20"/>
          <w:color w:val="auto"/>
        </w:rPr>
      </w:pPr>
    </w:p>
    <w:p>
      <w:pPr>
        <w:ind w:left="360" w:right="739" w:firstLine="331"/>
        <w:spacing w:after="0" w:line="248" w:lineRule="auto"/>
        <w:rPr>
          <w:sz w:val="20"/>
          <w:szCs w:val="20"/>
          <w:color w:val="auto"/>
        </w:rPr>
      </w:pPr>
      <w:r>
        <w:rPr>
          <w:rFonts w:ascii="Times New Roman" w:cs="Times New Roman" w:eastAsia="Times New Roman" w:hAnsi="Times New Roman"/>
          <w:sz w:val="14"/>
          <w:szCs w:val="14"/>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47" w:lineRule="exact"/>
        <w:rPr>
          <w:sz w:val="20"/>
          <w:szCs w:val="20"/>
          <w:color w:val="auto"/>
        </w:rPr>
      </w:pPr>
    </w:p>
    <w:p>
      <w:pPr>
        <w:ind w:left="360" w:right="519" w:firstLine="331"/>
        <w:spacing w:after="0" w:line="345" w:lineRule="auto"/>
        <w:rPr>
          <w:sz w:val="20"/>
          <w:szCs w:val="20"/>
          <w:color w:val="auto"/>
        </w:rPr>
      </w:pPr>
      <w:r>
        <w:rPr>
          <w:rFonts w:ascii="Times New Roman" w:cs="Times New Roman" w:eastAsia="Times New Roman" w:hAnsi="Times New Roman"/>
          <w:sz w:val="12"/>
          <w:szCs w:val="12"/>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59" w:name="page60"/>
    <w:bookmarkEnd w:id="59"/>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2.05 Registration of Transfer and Exchange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59" w:firstLine="749"/>
        <w:spacing w:after="0" w:line="298" w:lineRule="auto"/>
        <w:tabs>
          <w:tab w:leader="none" w:pos="1297" w:val="left"/>
        </w:tabs>
        <w:numPr>
          <w:ilvl w:val="0"/>
          <w:numId w:val="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36" w:lineRule="exact"/>
        <w:rPr>
          <w:rFonts w:ascii="Times New Roman" w:cs="Times New Roman" w:eastAsia="Times New Roman" w:hAnsi="Times New Roman"/>
          <w:sz w:val="12"/>
          <w:szCs w:val="12"/>
          <w:b w:val="1"/>
          <w:bCs w:val="1"/>
          <w:color w:val="auto"/>
        </w:rPr>
      </w:pPr>
    </w:p>
    <w:p>
      <w:pPr>
        <w:ind w:left="360" w:right="439" w:firstLine="749"/>
        <w:spacing w:after="0" w:line="247" w:lineRule="auto"/>
        <w:tabs>
          <w:tab w:leader="none" w:pos="1304"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46" w:lineRule="exact"/>
        <w:rPr>
          <w:sz w:val="20"/>
          <w:szCs w:val="20"/>
          <w:color w:val="auto"/>
        </w:rPr>
      </w:pPr>
    </w:p>
    <w:p>
      <w:pPr>
        <w:ind w:left="360" w:right="519" w:firstLine="331"/>
        <w:spacing w:after="0" w:line="252" w:lineRule="auto"/>
        <w:rPr>
          <w:sz w:val="20"/>
          <w:szCs w:val="20"/>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The Company initially appoints the Trustee as Security Registrar for each series of Securities.</w:t>
      </w:r>
    </w:p>
    <w:p>
      <w:pPr>
        <w:spacing w:after="0" w:line="164" w:lineRule="exact"/>
        <w:rPr>
          <w:sz w:val="20"/>
          <w:szCs w:val="20"/>
          <w:color w:val="auto"/>
        </w:rPr>
      </w:pPr>
    </w:p>
    <w:p>
      <w:pPr>
        <w:jc w:val="both"/>
        <w:ind w:left="360" w:right="399" w:firstLine="331"/>
        <w:spacing w:after="0" w:line="252" w:lineRule="auto"/>
        <w:rPr>
          <w:sz w:val="20"/>
          <w:szCs w:val="20"/>
          <w:color w:val="auto"/>
        </w:rPr>
      </w:pPr>
      <w:r>
        <w:rPr>
          <w:rFonts w:ascii="Times New Roman" w:cs="Times New Roman" w:eastAsia="Times New Roman" w:hAnsi="Times New Roman"/>
          <w:sz w:val="14"/>
          <w:szCs w:val="14"/>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61" w:lineRule="exact"/>
        <w:rPr>
          <w:sz w:val="20"/>
          <w:szCs w:val="20"/>
          <w:color w:val="auto"/>
        </w:rPr>
      </w:pPr>
    </w:p>
    <w:p>
      <w:pPr>
        <w:ind w:left="360" w:right="379" w:firstLine="749"/>
        <w:spacing w:after="0" w:line="247" w:lineRule="auto"/>
        <w:tabs>
          <w:tab w:leader="none" w:pos="1289" w:val="left"/>
        </w:tabs>
        <w:numPr>
          <w:ilvl w:val="0"/>
          <w:numId w:val="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4" w:right="1440" w:bottom="1440" w:gutter="0" w:footer="0" w:header="0"/>
        </w:sectPr>
      </w:pPr>
    </w:p>
    <w:bookmarkStart w:id="60" w:name="page61"/>
    <w:bookmarkEnd w:id="60"/>
    <w:p>
      <w:pPr>
        <w:ind w:left="360" w:right="419" w:firstLine="749"/>
        <w:spacing w:after="0" w:line="246" w:lineRule="auto"/>
        <w:tabs>
          <w:tab w:leader="none" w:pos="1304"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47" w:lineRule="exact"/>
        <w:rPr>
          <w:sz w:val="20"/>
          <w:szCs w:val="20"/>
          <w:color w:val="auto"/>
        </w:rPr>
      </w:pPr>
    </w:p>
    <w:p>
      <w:pPr>
        <w:ind w:left="360" w:right="399" w:firstLine="331"/>
        <w:spacing w:after="0" w:line="247"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2.06 Temporary Securities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19" w:firstLine="331"/>
        <w:spacing w:after="0" w:line="244" w:lineRule="auto"/>
        <w:rPr>
          <w:sz w:val="20"/>
          <w:szCs w:val="20"/>
          <w:color w:val="auto"/>
        </w:rPr>
      </w:pPr>
      <w:r>
        <w:rPr>
          <w:rFonts w:ascii="Times New Roman" w:cs="Times New Roman" w:eastAsia="Times New Roman" w:hAnsi="Times New Roman"/>
          <w:sz w:val="14"/>
          <w:szCs w:val="14"/>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2.07 Mutilated, Destroyed, Lost or Stolen Securities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291" w:lineRule="auto"/>
        <w:rPr>
          <w:sz w:val="20"/>
          <w:szCs w:val="20"/>
          <w:color w:val="auto"/>
        </w:rPr>
      </w:pPr>
      <w:r>
        <w:rPr>
          <w:rFonts w:ascii="Times New Roman" w:cs="Times New Roman" w:eastAsia="Times New Roman" w:hAnsi="Times New Roman"/>
          <w:sz w:val="12"/>
          <w:szCs w:val="12"/>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8" w:right="1440" w:bottom="1440" w:gutter="0" w:footer="0" w:header="0"/>
        </w:sectPr>
      </w:pPr>
    </w:p>
    <w:bookmarkStart w:id="61" w:name="page62"/>
    <w:bookmarkEnd w:id="61"/>
    <w:p>
      <w:pPr>
        <w:ind w:left="360" w:right="459" w:firstLine="331"/>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46" w:lineRule="exact"/>
        <w:rPr>
          <w:sz w:val="20"/>
          <w:szCs w:val="20"/>
          <w:color w:val="auto"/>
        </w:rPr>
      </w:pPr>
    </w:p>
    <w:p>
      <w:pPr>
        <w:ind w:left="360" w:right="499" w:firstLine="331"/>
        <w:spacing w:after="0" w:line="245"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2.08 Cancellation</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79" w:firstLine="331"/>
        <w:spacing w:after="0" w:line="293" w:lineRule="auto"/>
        <w:rPr>
          <w:sz w:val="20"/>
          <w:szCs w:val="20"/>
          <w:color w:val="auto"/>
        </w:rPr>
      </w:pPr>
      <w:r>
        <w:rPr>
          <w:rFonts w:ascii="Times New Roman" w:cs="Times New Roman" w:eastAsia="Times New Roman" w:hAnsi="Times New Roman"/>
          <w:sz w:val="12"/>
          <w:szCs w:val="12"/>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2.09 Benefits of Indenture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331"/>
        <w:spacing w:after="0" w:line="248"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8" w:right="1440" w:bottom="1440" w:gutter="0" w:footer="0" w:header="0"/>
        </w:sectPr>
      </w:pPr>
    </w:p>
    <w:bookmarkStart w:id="62" w:name="page63"/>
    <w:bookmarkEnd w:id="62"/>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2.10 Authenticating Agent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39" w:firstLine="331"/>
        <w:spacing w:after="0" w:line="291" w:lineRule="auto"/>
        <w:rPr>
          <w:sz w:val="20"/>
          <w:szCs w:val="20"/>
          <w:color w:val="auto"/>
        </w:rPr>
      </w:pPr>
      <w:r>
        <w:rPr>
          <w:rFonts w:ascii="Times New Roman" w:cs="Times New Roman" w:eastAsia="Times New Roman" w:hAnsi="Times New Roman"/>
          <w:sz w:val="12"/>
          <w:szCs w:val="12"/>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285" w:lineRule="exact"/>
        <w:rPr>
          <w:sz w:val="20"/>
          <w:szCs w:val="20"/>
          <w:color w:val="auto"/>
        </w:rPr>
      </w:pPr>
    </w:p>
    <w:p>
      <w:pPr>
        <w:ind w:left="360" w:right="519" w:firstLine="331"/>
        <w:spacing w:after="0" w:line="246"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2.11 Global Securities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749"/>
        <w:spacing w:after="0" w:line="245" w:lineRule="auto"/>
        <w:tabs>
          <w:tab w:leader="none" w:pos="1297"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67" w:lineRule="exact"/>
        <w:rPr>
          <w:rFonts w:ascii="Times New Roman" w:cs="Times New Roman" w:eastAsia="Times New Roman" w:hAnsi="Times New Roman"/>
          <w:sz w:val="14"/>
          <w:szCs w:val="14"/>
          <w:b w:val="1"/>
          <w:bCs w:val="1"/>
          <w:color w:val="auto"/>
        </w:rPr>
      </w:pPr>
    </w:p>
    <w:p>
      <w:pPr>
        <w:ind w:left="360" w:right="499" w:firstLine="749"/>
        <w:spacing w:after="0" w:line="252" w:lineRule="auto"/>
        <w:tabs>
          <w:tab w:leader="none" w:pos="1304"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4" w:right="1440" w:bottom="1440" w:gutter="0" w:footer="0" w:header="0"/>
        </w:sectPr>
      </w:pPr>
    </w:p>
    <w:bookmarkStart w:id="63" w:name="page64"/>
    <w:bookmarkEnd w:id="63"/>
    <w:p>
      <w:pPr>
        <w:ind w:left="360" w:right="399" w:firstLine="749"/>
        <w:spacing w:after="0" w:line="243" w:lineRule="auto"/>
        <w:tabs>
          <w:tab w:leader="none" w:pos="1289"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2.12 CUSIP Numbers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39" w:firstLine="331"/>
        <w:spacing w:after="0" w:line="247" w:lineRule="auto"/>
        <w:rPr>
          <w:sz w:val="20"/>
          <w:szCs w:val="20"/>
          <w:color w:val="auto"/>
        </w:rPr>
      </w:pPr>
      <w:r>
        <w:rPr>
          <w:rFonts w:ascii="Times New Roman" w:cs="Times New Roman" w:eastAsia="Times New Roman" w:hAnsi="Times New Roman"/>
          <w:sz w:val="14"/>
          <w:szCs w:val="14"/>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ARTICLE 3</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 OF SECURITIES AND SINKING FUND PROVISIONS</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3.01 Redemption</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599" w:firstLine="331"/>
        <w:spacing w:after="0" w:line="262" w:lineRule="auto"/>
        <w:rPr>
          <w:sz w:val="20"/>
          <w:szCs w:val="20"/>
          <w:color w:val="auto"/>
        </w:rPr>
      </w:pPr>
      <w:r>
        <w:rPr>
          <w:rFonts w:ascii="Times New Roman" w:cs="Times New Roman" w:eastAsia="Times New Roman" w:hAnsi="Times New Roman"/>
          <w:sz w:val="14"/>
          <w:szCs w:val="14"/>
          <w:color w:val="auto"/>
        </w:rPr>
        <w:t>The Company may redeem the Securities of any series issued hereunder on and after the dates and in accordance with the terms established for such series pursuant to Section 2.01 hereof.</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3.02 Notice of Redemption</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749"/>
        <w:spacing w:after="0" w:line="244" w:lineRule="auto"/>
        <w:tabs>
          <w:tab w:leader="none" w:pos="1297" w:val="left"/>
        </w:tabs>
        <w:numPr>
          <w:ilvl w:val="0"/>
          <w:numId w:val="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48" w:lineRule="exact"/>
        <w:rPr>
          <w:sz w:val="20"/>
          <w:szCs w:val="20"/>
          <w:color w:val="auto"/>
        </w:rPr>
      </w:pPr>
    </w:p>
    <w:p>
      <w:pPr>
        <w:ind w:left="360" w:right="399" w:firstLine="331"/>
        <w:spacing w:after="0" w:line="246" w:lineRule="auto"/>
        <w:rPr>
          <w:sz w:val="20"/>
          <w:szCs w:val="20"/>
          <w:color w:val="auto"/>
        </w:rPr>
      </w:pPr>
      <w:r>
        <w:rPr>
          <w:rFonts w:ascii="Times New Roman" w:cs="Times New Roman" w:eastAsia="Times New Roman" w:hAnsi="Times New Roman"/>
          <w:sz w:val="14"/>
          <w:szCs w:val="14"/>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47" w:lineRule="exact"/>
        <w:rPr>
          <w:sz w:val="20"/>
          <w:szCs w:val="20"/>
          <w:color w:val="auto"/>
        </w:rPr>
      </w:pPr>
    </w:p>
    <w:p>
      <w:pPr>
        <w:ind w:left="360" w:right="419" w:firstLine="331"/>
        <w:spacing w:after="0" w:line="252" w:lineRule="auto"/>
        <w:rPr>
          <w:sz w:val="20"/>
          <w:szCs w:val="20"/>
          <w:color w:val="auto"/>
        </w:rPr>
      </w:pPr>
      <w:r>
        <w:rPr>
          <w:rFonts w:ascii="Times New Roman" w:cs="Times New Roman" w:eastAsia="Times New Roman" w:hAnsi="Times New Roman"/>
          <w:sz w:val="14"/>
          <w:szCs w:val="14"/>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4" w:right="1440" w:bottom="1440" w:gutter="0" w:footer="0" w:header="0"/>
        </w:sectPr>
      </w:pPr>
    </w:p>
    <w:bookmarkStart w:id="65" w:name="page66"/>
    <w:bookmarkEnd w:id="65"/>
    <w:p>
      <w:pPr>
        <w:ind w:left="360" w:right="379" w:firstLine="749"/>
        <w:spacing w:after="0" w:line="288" w:lineRule="auto"/>
        <w:tabs>
          <w:tab w:leader="none" w:pos="1304" w:val="left"/>
        </w:tabs>
        <w:numPr>
          <w:ilvl w:val="0"/>
          <w:numId w:val="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3.03 Payment Upon Redemption</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749"/>
        <w:spacing w:after="0" w:line="291" w:lineRule="auto"/>
        <w:tabs>
          <w:tab w:leader="none" w:pos="1297" w:val="left"/>
        </w:tabs>
        <w:numPr>
          <w:ilvl w:val="0"/>
          <w:numId w:val="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41" w:lineRule="exact"/>
        <w:rPr>
          <w:rFonts w:ascii="Times New Roman" w:cs="Times New Roman" w:eastAsia="Times New Roman" w:hAnsi="Times New Roman"/>
          <w:sz w:val="12"/>
          <w:szCs w:val="12"/>
          <w:b w:val="1"/>
          <w:bCs w:val="1"/>
          <w:color w:val="auto"/>
        </w:rPr>
      </w:pPr>
    </w:p>
    <w:p>
      <w:pPr>
        <w:jc w:val="both"/>
        <w:ind w:left="360" w:right="539" w:firstLine="749"/>
        <w:spacing w:after="0" w:line="314" w:lineRule="auto"/>
        <w:tabs>
          <w:tab w:leader="none" w:pos="1304" w:val="left"/>
        </w:tabs>
        <w:numPr>
          <w:ilvl w:val="0"/>
          <w:numId w:val="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3.04 Sinking Fund</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839" w:firstLine="331"/>
        <w:spacing w:after="0" w:line="262" w:lineRule="auto"/>
        <w:rPr>
          <w:sz w:val="20"/>
          <w:szCs w:val="20"/>
          <w:color w:val="auto"/>
        </w:rPr>
      </w:pPr>
      <w:r>
        <w:rPr>
          <w:rFonts w:ascii="Times New Roman" w:cs="Times New Roman" w:eastAsia="Times New Roman" w:hAnsi="Times New Roman"/>
          <w:sz w:val="14"/>
          <w:szCs w:val="14"/>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8" w:right="1440" w:bottom="1440" w:gutter="0" w:footer="0" w:header="0"/>
        </w:sectPr>
      </w:pPr>
    </w:p>
    <w:bookmarkStart w:id="66" w:name="page67"/>
    <w:bookmarkEnd w:id="66"/>
    <w:p>
      <w:pPr>
        <w:ind w:left="360" w:right="379" w:firstLine="331"/>
        <w:spacing w:after="0" w:line="24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3.05 Satisfaction of Sinking Fund Payments with Securities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295" w:lineRule="auto"/>
        <w:rPr>
          <w:sz w:val="20"/>
          <w:szCs w:val="20"/>
          <w:color w:val="auto"/>
        </w:rPr>
      </w:pPr>
      <w:r>
        <w:rPr>
          <w:rFonts w:ascii="Times New Roman" w:cs="Times New Roman" w:eastAsia="Times New Roman" w:hAnsi="Times New Roman"/>
          <w:sz w:val="12"/>
          <w:szCs w:val="12"/>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3.06 Redemption of Securities for Sinking Fund</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244" w:lineRule="auto"/>
        <w:rPr>
          <w:sz w:val="20"/>
          <w:szCs w:val="20"/>
          <w:color w:val="auto"/>
        </w:rPr>
      </w:pPr>
      <w:r>
        <w:rPr>
          <w:rFonts w:ascii="Times New Roman" w:cs="Times New Roman" w:eastAsia="Times New Roman" w:hAnsi="Times New Roman"/>
          <w:sz w:val="14"/>
          <w:szCs w:val="14"/>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4.01 Payment of Principal, Premium and Interest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331"/>
        <w:spacing w:after="0" w:line="247" w:lineRule="auto"/>
        <w:rPr>
          <w:sz w:val="20"/>
          <w:szCs w:val="20"/>
          <w:color w:val="auto"/>
        </w:rPr>
      </w:pPr>
      <w:r>
        <w:rPr>
          <w:rFonts w:ascii="Times New Roman" w:cs="Times New Roman" w:eastAsia="Times New Roman" w:hAnsi="Times New Roman"/>
          <w:sz w:val="14"/>
          <w:szCs w:val="14"/>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8" w:right="1440" w:bottom="1440" w:gutter="0" w:footer="0" w:header="0"/>
        </w:sectPr>
      </w:pPr>
    </w:p>
    <w:bookmarkStart w:id="67" w:name="page68"/>
    <w:bookmarkEnd w:id="67"/>
    <w:p>
      <w:pPr>
        <w:ind w:left="360" w:right="43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4.02 Maintenance of Office or Agency</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331"/>
        <w:spacing w:after="0" w:line="291" w:lineRule="auto"/>
        <w:rPr>
          <w:sz w:val="20"/>
          <w:szCs w:val="20"/>
          <w:color w:val="auto"/>
        </w:rPr>
      </w:pPr>
      <w:r>
        <w:rPr>
          <w:rFonts w:ascii="Times New Roman" w:cs="Times New Roman" w:eastAsia="Times New Roman" w:hAnsi="Times New Roman"/>
          <w:sz w:val="12"/>
          <w:szCs w:val="12"/>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2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4.03 Paying Agents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749"/>
        <w:spacing w:after="0" w:line="252" w:lineRule="auto"/>
        <w:tabs>
          <w:tab w:leader="none" w:pos="1297" w:val="left"/>
        </w:tabs>
        <w:numPr>
          <w:ilvl w:val="0"/>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1" w:lineRule="exact"/>
        <w:rPr>
          <w:rFonts w:ascii="Times New Roman" w:cs="Times New Roman" w:eastAsia="Times New Roman" w:hAnsi="Times New Roman"/>
          <w:sz w:val="14"/>
          <w:szCs w:val="14"/>
          <w:b w:val="1"/>
          <w:bCs w:val="1"/>
          <w:color w:val="auto"/>
        </w:rPr>
      </w:pPr>
    </w:p>
    <w:p>
      <w:pPr>
        <w:ind w:left="360" w:right="379" w:firstLine="1080"/>
        <w:spacing w:after="0" w:line="252" w:lineRule="auto"/>
        <w:tabs>
          <w:tab w:leader="none" w:pos="1628" w:val="left"/>
        </w:tabs>
        <w:numPr>
          <w:ilvl w:val="1"/>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61" w:lineRule="exact"/>
        <w:rPr>
          <w:rFonts w:ascii="Times New Roman" w:cs="Times New Roman" w:eastAsia="Times New Roman" w:hAnsi="Times New Roman"/>
          <w:sz w:val="14"/>
          <w:szCs w:val="14"/>
          <w:b w:val="1"/>
          <w:bCs w:val="1"/>
          <w:color w:val="auto"/>
        </w:rPr>
      </w:pPr>
    </w:p>
    <w:p>
      <w:pPr>
        <w:ind w:left="360" w:right="819" w:firstLine="1080"/>
        <w:spacing w:after="0" w:line="262" w:lineRule="auto"/>
        <w:tabs>
          <w:tab w:leader="none" w:pos="1628" w:val="left"/>
        </w:tabs>
        <w:numPr>
          <w:ilvl w:val="1"/>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54" w:lineRule="exact"/>
        <w:rPr>
          <w:rFonts w:ascii="Times New Roman" w:cs="Times New Roman" w:eastAsia="Times New Roman" w:hAnsi="Times New Roman"/>
          <w:sz w:val="14"/>
          <w:szCs w:val="14"/>
          <w:b w:val="1"/>
          <w:bCs w:val="1"/>
          <w:color w:val="auto"/>
        </w:rPr>
      </w:pPr>
    </w:p>
    <w:p>
      <w:pPr>
        <w:ind w:left="360" w:right="399" w:firstLine="1080"/>
        <w:spacing w:after="0" w:line="262" w:lineRule="auto"/>
        <w:tabs>
          <w:tab w:leader="none" w:pos="1628" w:val="left"/>
        </w:tabs>
        <w:numPr>
          <w:ilvl w:val="1"/>
          <w:numId w:val="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8" w:right="1440" w:bottom="1440" w:gutter="0" w:footer="0" w:header="0"/>
        </w:sectPr>
      </w:pPr>
    </w:p>
    <w:bookmarkStart w:id="68" w:name="page69"/>
    <w:bookmarkEnd w:id="68"/>
    <w:p>
      <w:pPr>
        <w:ind w:left="1640" w:hanging="200"/>
        <w:spacing w:after="0"/>
        <w:tabs>
          <w:tab w:leader="none" w:pos="1640" w:val="left"/>
        </w:tabs>
        <w:numPr>
          <w:ilvl w:val="1"/>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that it will perform all other duties of paying agent as set forth in this Indenture.</w:t>
      </w:r>
    </w:p>
    <w:p>
      <w:pPr>
        <w:spacing w:after="0" w:line="82" w:lineRule="exact"/>
        <w:rPr>
          <w:rFonts w:ascii="Times New Roman" w:cs="Times New Roman" w:eastAsia="Times New Roman" w:hAnsi="Times New Roman"/>
          <w:sz w:val="14"/>
          <w:szCs w:val="14"/>
          <w:b w:val="1"/>
          <w:bCs w:val="1"/>
          <w:color w:val="auto"/>
        </w:rPr>
      </w:pPr>
    </w:p>
    <w:p>
      <w:pPr>
        <w:ind w:left="360" w:right="399" w:firstLine="749"/>
        <w:spacing w:after="0" w:line="291" w:lineRule="auto"/>
        <w:tabs>
          <w:tab w:leader="none" w:pos="1304" w:val="left"/>
        </w:tabs>
        <w:numPr>
          <w:ilvl w:val="0"/>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41" w:lineRule="exact"/>
        <w:rPr>
          <w:rFonts w:ascii="Times New Roman" w:cs="Times New Roman" w:eastAsia="Times New Roman" w:hAnsi="Times New Roman"/>
          <w:sz w:val="12"/>
          <w:szCs w:val="12"/>
          <w:b w:val="1"/>
          <w:bCs w:val="1"/>
          <w:color w:val="auto"/>
        </w:rPr>
      </w:pPr>
    </w:p>
    <w:p>
      <w:pPr>
        <w:ind w:left="360" w:right="379" w:firstLine="749"/>
        <w:spacing w:after="0" w:line="246" w:lineRule="auto"/>
        <w:tabs>
          <w:tab w:leader="none" w:pos="1289"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4.04 Appointment to Fill Vacancy in Office of Trustee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739" w:firstLine="331"/>
        <w:spacing w:after="0" w:line="262" w:lineRule="auto"/>
        <w:rPr>
          <w:sz w:val="20"/>
          <w:szCs w:val="20"/>
          <w:color w:val="auto"/>
        </w:rPr>
      </w:pPr>
      <w:r>
        <w:rPr>
          <w:rFonts w:ascii="Times New Roman" w:cs="Times New Roman" w:eastAsia="Times New Roman" w:hAnsi="Times New Roman"/>
          <w:sz w:val="14"/>
          <w:szCs w:val="14"/>
          <w:color w:val="auto"/>
        </w:rPr>
        <w:t>The Company, whenever necessary to avoid or fill a vacancy in the office of Trustee, will appoint, in the manner provided in Section 7.10, a Trustee, so that there shall at all times be a Trustee hereunder.</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SECURITYHOLDERS’ LISTS AND REPORTS BY THE COMPANY AND</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5.01 Company to Furnish Trustee Names and Addresses of Securityholders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39" w:firstLine="331"/>
        <w:spacing w:after="0" w:line="295" w:lineRule="auto"/>
        <w:rPr>
          <w:sz w:val="20"/>
          <w:szCs w:val="20"/>
          <w:color w:val="auto"/>
        </w:rPr>
      </w:pPr>
      <w:r>
        <w:rPr>
          <w:rFonts w:ascii="Times New Roman" w:cs="Times New Roman" w:eastAsia="Times New Roman" w:hAnsi="Times New Roman"/>
          <w:sz w:val="12"/>
          <w:szCs w:val="12"/>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8" w:right="1440" w:bottom="1440" w:gutter="0" w:footer="0" w:header="0"/>
        </w:sectPr>
      </w:pPr>
    </w:p>
    <w:bookmarkStart w:id="69" w:name="page70"/>
    <w:bookmarkEnd w:id="69"/>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5.02 Preservation Of Information; Communications With Securityholders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779" w:firstLine="749"/>
        <w:spacing w:after="0" w:line="252" w:lineRule="auto"/>
        <w:tabs>
          <w:tab w:leader="none" w:pos="1297"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61" w:lineRule="exact"/>
        <w:rPr>
          <w:rFonts w:ascii="Times New Roman" w:cs="Times New Roman" w:eastAsia="Times New Roman" w:hAnsi="Times New Roman"/>
          <w:sz w:val="14"/>
          <w:szCs w:val="14"/>
          <w:b w:val="1"/>
          <w:bCs w:val="1"/>
          <w:color w:val="auto"/>
        </w:rPr>
      </w:pPr>
    </w:p>
    <w:p>
      <w:pPr>
        <w:ind w:left="1300" w:hanging="191"/>
        <w:spacing w:after="0"/>
        <w:tabs>
          <w:tab w:leader="none" w:pos="1300"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destroy any list furnished to it as provided in Section 5.01 upon receipt of a new list so furnished.</w:t>
      </w:r>
    </w:p>
    <w:p>
      <w:pPr>
        <w:spacing w:after="0" w:line="82" w:lineRule="exact"/>
        <w:rPr>
          <w:rFonts w:ascii="Times New Roman" w:cs="Times New Roman" w:eastAsia="Times New Roman" w:hAnsi="Times New Roman"/>
          <w:sz w:val="14"/>
          <w:szCs w:val="14"/>
          <w:b w:val="1"/>
          <w:bCs w:val="1"/>
          <w:color w:val="auto"/>
        </w:rPr>
      </w:pPr>
    </w:p>
    <w:p>
      <w:pPr>
        <w:ind w:left="360" w:right="439" w:firstLine="749"/>
        <w:spacing w:after="0" w:line="252" w:lineRule="auto"/>
        <w:tabs>
          <w:tab w:leader="none" w:pos="1289"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5.03 Reports by the Company</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749"/>
        <w:spacing w:after="0" w:line="244" w:lineRule="auto"/>
        <w:tabs>
          <w:tab w:leader="none" w:pos="1297"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68" w:lineRule="exact"/>
        <w:rPr>
          <w:rFonts w:ascii="Times New Roman" w:cs="Times New Roman" w:eastAsia="Times New Roman" w:hAnsi="Times New Roman"/>
          <w:sz w:val="14"/>
          <w:szCs w:val="14"/>
          <w:b w:val="1"/>
          <w:bCs w:val="1"/>
          <w:color w:val="auto"/>
        </w:rPr>
      </w:pPr>
    </w:p>
    <w:p>
      <w:pPr>
        <w:ind w:left="360" w:right="399" w:firstLine="749"/>
        <w:spacing w:after="0" w:line="248" w:lineRule="auto"/>
        <w:tabs>
          <w:tab w:leader="none" w:pos="1304"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4" w:right="1440" w:bottom="1440" w:gutter="0" w:footer="0" w:header="0"/>
        </w:sectPr>
      </w:pPr>
    </w:p>
    <w:bookmarkStart w:id="70" w:name="page71"/>
    <w:bookmarkEnd w:id="70"/>
    <w:p>
      <w:pPr>
        <w:ind w:left="360" w:right="519"/>
        <w:spacing w:after="0" w:line="31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5.04 Reports by the Trustee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899" w:firstLine="749"/>
        <w:spacing w:after="0" w:line="262" w:lineRule="auto"/>
        <w:tabs>
          <w:tab w:leader="none" w:pos="1297"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54" w:lineRule="exact"/>
        <w:rPr>
          <w:rFonts w:ascii="Times New Roman" w:cs="Times New Roman" w:eastAsia="Times New Roman" w:hAnsi="Times New Roman"/>
          <w:sz w:val="14"/>
          <w:szCs w:val="14"/>
          <w:b w:val="1"/>
          <w:bCs w:val="1"/>
          <w:color w:val="auto"/>
        </w:rPr>
      </w:pPr>
    </w:p>
    <w:p>
      <w:pPr>
        <w:ind w:left="1300" w:hanging="191"/>
        <w:spacing w:after="0"/>
        <w:tabs>
          <w:tab w:leader="none" w:pos="130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comply with Section 313(b) and 313(c) of the Trust Indenture Act.</w:t>
      </w:r>
    </w:p>
    <w:p>
      <w:pPr>
        <w:spacing w:after="0" w:line="82" w:lineRule="exact"/>
        <w:rPr>
          <w:rFonts w:ascii="Times New Roman" w:cs="Times New Roman" w:eastAsia="Times New Roman" w:hAnsi="Times New Roman"/>
          <w:sz w:val="14"/>
          <w:szCs w:val="14"/>
          <w:b w:val="1"/>
          <w:bCs w:val="1"/>
          <w:color w:val="auto"/>
        </w:rPr>
      </w:pPr>
    </w:p>
    <w:p>
      <w:pPr>
        <w:ind w:left="360" w:right="559" w:firstLine="749"/>
        <w:spacing w:after="0" w:line="252" w:lineRule="auto"/>
        <w:tabs>
          <w:tab w:leader="none" w:pos="1289"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16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REMEDIES OF THE TRUSTEE AND SECURITYHOLDERS ON EVENT OF DEFAULT</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6.01 Events of Default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679" w:firstLine="749"/>
        <w:spacing w:after="0" w:line="262" w:lineRule="auto"/>
        <w:tabs>
          <w:tab w:leader="none" w:pos="1297"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Whenever used herein with respect to Securities of a particular series, “Event of Default” means any one or more of the following events that has occurred and is continuing:</w:t>
      </w:r>
    </w:p>
    <w:p>
      <w:pPr>
        <w:spacing w:after="0" w:line="54" w:lineRule="exact"/>
        <w:rPr>
          <w:rFonts w:ascii="Times New Roman" w:cs="Times New Roman" w:eastAsia="Times New Roman" w:hAnsi="Times New Roman"/>
          <w:sz w:val="14"/>
          <w:szCs w:val="14"/>
          <w:b w:val="1"/>
          <w:bCs w:val="1"/>
          <w:color w:val="auto"/>
        </w:rPr>
      </w:pPr>
    </w:p>
    <w:p>
      <w:pPr>
        <w:ind w:left="360" w:right="419" w:firstLine="1080"/>
        <w:spacing w:after="0" w:line="248" w:lineRule="auto"/>
        <w:tabs>
          <w:tab w:leader="none" w:pos="1628" w:val="left"/>
        </w:tabs>
        <w:numPr>
          <w:ilvl w:val="1"/>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65" w:lineRule="exact"/>
        <w:rPr>
          <w:rFonts w:ascii="Times New Roman" w:cs="Times New Roman" w:eastAsia="Times New Roman" w:hAnsi="Times New Roman"/>
          <w:sz w:val="14"/>
          <w:szCs w:val="14"/>
          <w:b w:val="1"/>
          <w:bCs w:val="1"/>
          <w:color w:val="auto"/>
        </w:rPr>
      </w:pPr>
    </w:p>
    <w:p>
      <w:pPr>
        <w:ind w:left="360" w:right="399" w:firstLine="1080"/>
        <w:spacing w:after="0" w:line="248" w:lineRule="auto"/>
        <w:tabs>
          <w:tab w:leader="none" w:pos="1628" w:val="left"/>
        </w:tabs>
        <w:numPr>
          <w:ilvl w:val="1"/>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8" w:right="1440" w:bottom="1440" w:gutter="0" w:footer="0" w:header="0"/>
        </w:sectPr>
      </w:pPr>
    </w:p>
    <w:bookmarkStart w:id="71" w:name="page72"/>
    <w:bookmarkEnd w:id="71"/>
    <w:p>
      <w:pPr>
        <w:ind w:left="360" w:right="379" w:firstLine="1080"/>
        <w:spacing w:after="0" w:line="246" w:lineRule="auto"/>
        <w:tabs>
          <w:tab w:leader="none" w:pos="1628" w:val="left"/>
        </w:tabs>
        <w:numPr>
          <w:ilvl w:val="2"/>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65" w:lineRule="exact"/>
        <w:rPr>
          <w:rFonts w:ascii="Times New Roman" w:cs="Times New Roman" w:eastAsia="Times New Roman" w:hAnsi="Times New Roman"/>
          <w:sz w:val="14"/>
          <w:szCs w:val="14"/>
          <w:b w:val="1"/>
          <w:bCs w:val="1"/>
          <w:color w:val="auto"/>
        </w:rPr>
      </w:pPr>
    </w:p>
    <w:p>
      <w:pPr>
        <w:ind w:left="360" w:right="659" w:firstLine="1080"/>
        <w:spacing w:after="0" w:line="252" w:lineRule="auto"/>
        <w:tabs>
          <w:tab w:leader="none" w:pos="1628" w:val="left"/>
        </w:tabs>
        <w:numPr>
          <w:ilvl w:val="2"/>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61" w:lineRule="exact"/>
        <w:rPr>
          <w:rFonts w:ascii="Times New Roman" w:cs="Times New Roman" w:eastAsia="Times New Roman" w:hAnsi="Times New Roman"/>
          <w:sz w:val="14"/>
          <w:szCs w:val="14"/>
          <w:b w:val="1"/>
          <w:bCs w:val="1"/>
          <w:color w:val="auto"/>
        </w:rPr>
      </w:pPr>
    </w:p>
    <w:p>
      <w:pPr>
        <w:ind w:left="360" w:right="539" w:firstLine="1080"/>
        <w:spacing w:after="0" w:line="252" w:lineRule="auto"/>
        <w:tabs>
          <w:tab w:leader="none" w:pos="1628" w:val="left"/>
        </w:tabs>
        <w:numPr>
          <w:ilvl w:val="2"/>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61" w:lineRule="exact"/>
        <w:rPr>
          <w:rFonts w:ascii="Times New Roman" w:cs="Times New Roman" w:eastAsia="Times New Roman" w:hAnsi="Times New Roman"/>
          <w:sz w:val="14"/>
          <w:szCs w:val="14"/>
          <w:b w:val="1"/>
          <w:bCs w:val="1"/>
          <w:color w:val="auto"/>
        </w:rPr>
      </w:pPr>
    </w:p>
    <w:p>
      <w:pPr>
        <w:ind w:left="360" w:right="439" w:firstLine="749"/>
        <w:spacing w:after="0" w:line="286" w:lineRule="auto"/>
        <w:tabs>
          <w:tab w:leader="none" w:pos="1304" w:val="left"/>
        </w:tabs>
        <w:numPr>
          <w:ilvl w:val="1"/>
          <w:numId w:val="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1" w:lineRule="exact"/>
        <w:rPr>
          <w:rFonts w:ascii="Times New Roman" w:cs="Times New Roman" w:eastAsia="Times New Roman" w:hAnsi="Times New Roman"/>
          <w:sz w:val="12"/>
          <w:szCs w:val="12"/>
          <w:b w:val="1"/>
          <w:bCs w:val="1"/>
          <w:color w:val="auto"/>
        </w:rPr>
      </w:pPr>
    </w:p>
    <w:p>
      <w:pPr>
        <w:ind w:left="360" w:right="419" w:firstLine="3"/>
        <w:spacing w:after="0" w:line="244" w:lineRule="auto"/>
        <w:tabs>
          <w:tab w:leader="none" w:pos="55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66" w:lineRule="exact"/>
        <w:rPr>
          <w:rFonts w:ascii="Times New Roman" w:cs="Times New Roman" w:eastAsia="Times New Roman" w:hAnsi="Times New Roman"/>
          <w:sz w:val="14"/>
          <w:szCs w:val="14"/>
          <w:color w:val="auto"/>
        </w:rPr>
      </w:pPr>
    </w:p>
    <w:p>
      <w:pPr>
        <w:ind w:left="360" w:right="379" w:firstLine="749"/>
        <w:spacing w:after="0" w:line="290" w:lineRule="auto"/>
        <w:tabs>
          <w:tab w:leader="none" w:pos="1289" w:val="left"/>
        </w:tabs>
        <w:numPr>
          <w:ilvl w:val="1"/>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8" w:right="1440" w:bottom="1440" w:gutter="0" w:footer="0" w:header="0"/>
        </w:sectPr>
      </w:pPr>
    </w:p>
    <w:bookmarkStart w:id="72" w:name="page73"/>
    <w:bookmarkEnd w:id="72"/>
    <w:p>
      <w:pPr>
        <w:ind w:left="7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 such rescission and annulment shall extend to or shall affect any subsequent default or impair any right consequent thereon.</w:t>
      </w:r>
    </w:p>
    <w:p>
      <w:pPr>
        <w:spacing w:after="0" w:line="83" w:lineRule="exact"/>
        <w:rPr>
          <w:sz w:val="20"/>
          <w:szCs w:val="20"/>
          <w:color w:val="auto"/>
        </w:rPr>
      </w:pPr>
    </w:p>
    <w:p>
      <w:pPr>
        <w:ind w:left="360" w:right="419" w:firstLine="749"/>
        <w:spacing w:after="0" w:line="247" w:lineRule="auto"/>
        <w:tabs>
          <w:tab w:leader="none" w:pos="1304"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6.02 Collection of Indebtedness and Suits for Enforcement by Trustee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749"/>
        <w:spacing w:after="0" w:line="291" w:lineRule="auto"/>
        <w:tabs>
          <w:tab w:leader="none" w:pos="1297" w:val="left"/>
        </w:tabs>
        <w:numPr>
          <w:ilvl w:val="0"/>
          <w:numId w:val="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w:t>
      </w:r>
    </w:p>
    <w:p>
      <w:pPr>
        <w:spacing w:after="0" w:line="135" w:lineRule="exact"/>
        <w:rPr>
          <w:rFonts w:ascii="Times New Roman" w:cs="Times New Roman" w:eastAsia="Times New Roman" w:hAnsi="Times New Roman"/>
          <w:sz w:val="12"/>
          <w:szCs w:val="12"/>
          <w:b w:val="1"/>
          <w:bCs w:val="1"/>
          <w:color w:val="auto"/>
        </w:rPr>
      </w:pPr>
    </w:p>
    <w:p>
      <w:pPr>
        <w:ind w:left="3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4"/>
          <w:szCs w:val="14"/>
          <w:color w:val="auto"/>
        </w:rPr>
        <w:t>Section 7.06.</w:t>
      </w:r>
    </w:p>
    <w:p>
      <w:pPr>
        <w:spacing w:after="0" w:line="70" w:lineRule="exact"/>
        <w:rPr>
          <w:rFonts w:ascii="Times New Roman" w:cs="Times New Roman" w:eastAsia="Times New Roman" w:hAnsi="Times New Roman"/>
          <w:sz w:val="12"/>
          <w:szCs w:val="12"/>
          <w:b w:val="1"/>
          <w:bCs w:val="1"/>
          <w:color w:val="auto"/>
        </w:rPr>
      </w:pPr>
    </w:p>
    <w:p>
      <w:pPr>
        <w:ind w:left="360" w:right="379" w:firstLine="749"/>
        <w:spacing w:after="0" w:line="247" w:lineRule="auto"/>
        <w:tabs>
          <w:tab w:leader="none" w:pos="1304"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64" w:lineRule="exact"/>
        <w:rPr>
          <w:rFonts w:ascii="Times New Roman" w:cs="Times New Roman" w:eastAsia="Times New Roman" w:hAnsi="Times New Roman"/>
          <w:sz w:val="14"/>
          <w:szCs w:val="14"/>
          <w:b w:val="1"/>
          <w:bCs w:val="1"/>
          <w:color w:val="auto"/>
        </w:rPr>
      </w:pPr>
    </w:p>
    <w:p>
      <w:pPr>
        <w:ind w:left="360" w:right="639" w:firstLine="749"/>
        <w:spacing w:after="0" w:line="248" w:lineRule="auto"/>
        <w:tabs>
          <w:tab w:leader="none" w:pos="1289"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8" w:right="1440" w:bottom="1440" w:gutter="0" w:footer="0" w:header="0"/>
        </w:sectPr>
      </w:pPr>
    </w:p>
    <w:bookmarkStart w:id="73" w:name="page74"/>
    <w:bookmarkEnd w:id="73"/>
    <w:p>
      <w:pPr>
        <w:ind w:left="360" w:right="439"/>
        <w:spacing w:after="0" w:line="24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65" w:lineRule="exact"/>
        <w:rPr>
          <w:sz w:val="20"/>
          <w:szCs w:val="20"/>
          <w:color w:val="auto"/>
        </w:rPr>
      </w:pPr>
    </w:p>
    <w:p>
      <w:pPr>
        <w:ind w:left="360" w:right="379" w:firstLine="749"/>
        <w:spacing w:after="0" w:line="247" w:lineRule="auto"/>
        <w:tabs>
          <w:tab w:leader="none" w:pos="1304"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46" w:lineRule="exact"/>
        <w:rPr>
          <w:sz w:val="20"/>
          <w:szCs w:val="20"/>
          <w:color w:val="auto"/>
        </w:rPr>
      </w:pPr>
    </w:p>
    <w:p>
      <w:pPr>
        <w:ind w:left="360" w:right="499" w:firstLine="331"/>
        <w:spacing w:after="0" w:line="303" w:lineRule="auto"/>
        <w:rPr>
          <w:sz w:val="20"/>
          <w:szCs w:val="20"/>
          <w:color w:val="auto"/>
        </w:rPr>
      </w:pPr>
      <w:r>
        <w:rPr>
          <w:rFonts w:ascii="Times New Roman" w:cs="Times New Roman" w:eastAsia="Times New Roman" w:hAnsi="Times New Roman"/>
          <w:sz w:val="12"/>
          <w:szCs w:val="12"/>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15" w:lineRule="exact"/>
        <w:rPr>
          <w:sz w:val="20"/>
          <w:szCs w:val="20"/>
          <w:color w:val="auto"/>
        </w:rPr>
      </w:pPr>
    </w:p>
    <w:p>
      <w:pPr>
        <w:ind w:left="360" w:right="379" w:firstLine="331"/>
        <w:spacing w:after="0" w:line="252" w:lineRule="auto"/>
        <w:rPr>
          <w:sz w:val="20"/>
          <w:szCs w:val="20"/>
          <w:color w:val="auto"/>
        </w:rPr>
      </w:pPr>
      <w:r>
        <w:rPr>
          <w:rFonts w:ascii="Times New Roman" w:cs="Times New Roman" w:eastAsia="Times New Roman" w:hAnsi="Times New Roman"/>
          <w:sz w:val="14"/>
          <w:szCs w:val="14"/>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6.03 Application of Moneys Collected</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314" w:lineRule="auto"/>
        <w:rPr>
          <w:sz w:val="20"/>
          <w:szCs w:val="20"/>
          <w:color w:val="auto"/>
        </w:rPr>
      </w:pPr>
      <w:r>
        <w:rPr>
          <w:rFonts w:ascii="Times New Roman" w:cs="Times New Roman" w:eastAsia="Times New Roman" w:hAnsi="Times New Roman"/>
          <w:sz w:val="12"/>
          <w:szCs w:val="12"/>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FIRST: To the payment of costs and expenses of collection and of all amounts payable to the Trustee under Section 7.06;</w:t>
      </w:r>
    </w:p>
    <w:p>
      <w:pPr>
        <w:spacing w:after="0" w:line="164" w:lineRule="exact"/>
        <w:rPr>
          <w:sz w:val="20"/>
          <w:szCs w:val="20"/>
          <w:color w:val="auto"/>
        </w:rPr>
      </w:pPr>
    </w:p>
    <w:p>
      <w:pPr>
        <w:ind w:left="360" w:right="399" w:firstLine="331"/>
        <w:spacing w:after="0" w:line="252" w:lineRule="auto"/>
        <w:rPr>
          <w:sz w:val="20"/>
          <w:szCs w:val="20"/>
          <w:color w:val="auto"/>
        </w:rPr>
      </w:pPr>
      <w:r>
        <w:rPr>
          <w:rFonts w:ascii="Times New Roman" w:cs="Times New Roman" w:eastAsia="Times New Roman" w:hAnsi="Times New Roman"/>
          <w:sz w:val="14"/>
          <w:szCs w:val="14"/>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8" w:right="1440" w:bottom="1440" w:gutter="0" w:footer="0" w:header="0"/>
        </w:sectPr>
      </w:pPr>
    </w:p>
    <w:bookmarkStart w:id="74" w:name="page75"/>
    <w:bookmarkEnd w:id="74"/>
    <w:p>
      <w:pPr>
        <w:ind w:left="7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THIRD: To the payment of the remainder, if any, to the Company or any other Person lawfully entitled thereto.</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6.04 Limitation on Suits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331"/>
        <w:spacing w:after="0" w:line="291" w:lineRule="auto"/>
        <w:rPr>
          <w:sz w:val="20"/>
          <w:szCs w:val="20"/>
          <w:color w:val="auto"/>
        </w:rPr>
      </w:pPr>
      <w:r>
        <w:rPr>
          <w:rFonts w:ascii="Times New Roman" w:cs="Times New Roman" w:eastAsia="Times New Roman" w:hAnsi="Times New Roman"/>
          <w:sz w:val="12"/>
          <w:szCs w:val="12"/>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285" w:lineRule="exact"/>
        <w:rPr>
          <w:sz w:val="20"/>
          <w:szCs w:val="20"/>
          <w:color w:val="auto"/>
        </w:rPr>
      </w:pPr>
    </w:p>
    <w:p>
      <w:pPr>
        <w:ind w:left="360" w:right="399" w:firstLine="331"/>
        <w:spacing w:after="0" w:line="244" w:lineRule="auto"/>
        <w:rPr>
          <w:sz w:val="20"/>
          <w:szCs w:val="20"/>
          <w:color w:val="auto"/>
        </w:rPr>
      </w:pPr>
      <w:r>
        <w:rPr>
          <w:rFonts w:ascii="Times New Roman" w:cs="Times New Roman" w:eastAsia="Times New Roman" w:hAnsi="Times New Roman"/>
          <w:sz w:val="14"/>
          <w:szCs w:val="14"/>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6.05 Rights and Remedies Cumulative; Delay or Omission Not Waiver</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749"/>
        <w:spacing w:after="0" w:line="248" w:lineRule="auto"/>
        <w:tabs>
          <w:tab w:leader="none" w:pos="1297"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8" w:right="1440" w:bottom="1440" w:gutter="0" w:footer="0" w:header="0"/>
        </w:sectPr>
      </w:pPr>
    </w:p>
    <w:bookmarkStart w:id="75" w:name="page76"/>
    <w:bookmarkEnd w:id="75"/>
    <w:p>
      <w:pPr>
        <w:ind w:left="360" w:right="399" w:firstLine="749"/>
        <w:spacing w:after="0" w:line="303" w:lineRule="auto"/>
        <w:tabs>
          <w:tab w:leader="none" w:pos="1304" w:val="left"/>
        </w:tabs>
        <w:numPr>
          <w:ilvl w:val="0"/>
          <w:numId w:val="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6.06 Control by Securityholders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287" w:lineRule="auto"/>
        <w:rPr>
          <w:sz w:val="20"/>
          <w:szCs w:val="20"/>
          <w:color w:val="auto"/>
        </w:rPr>
      </w:pPr>
      <w:r>
        <w:rPr>
          <w:rFonts w:ascii="Times New Roman" w:cs="Times New Roman" w:eastAsia="Times New Roman" w:hAnsi="Times New Roman"/>
          <w:sz w:val="12"/>
          <w:szCs w:val="12"/>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00" w:lineRule="exact"/>
        <w:rPr>
          <w:sz w:val="20"/>
          <w:szCs w:val="20"/>
          <w:color w:val="auto"/>
        </w:rPr>
      </w:pPr>
    </w:p>
    <w:p>
      <w:pPr>
        <w:spacing w:after="0" w:line="2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6.07 Undertaking to Pay Costs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331"/>
        <w:spacing w:after="0" w:line="247"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38" w:right="1440" w:bottom="1440" w:gutter="0" w:footer="0" w:header="0"/>
        </w:sectPr>
      </w:pPr>
    </w:p>
    <w:bookmarkStart w:id="76" w:name="page77"/>
    <w:bookmarkEnd w:id="76"/>
    <w:p>
      <w:pPr>
        <w:ind w:left="360" w:right="43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1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7.01 Certain Duties and Responsibilities of Trustee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749"/>
        <w:spacing w:after="0" w:line="246" w:lineRule="auto"/>
        <w:tabs>
          <w:tab w:leader="none" w:pos="1297"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65" w:lineRule="exact"/>
        <w:rPr>
          <w:rFonts w:ascii="Times New Roman" w:cs="Times New Roman" w:eastAsia="Times New Roman" w:hAnsi="Times New Roman"/>
          <w:sz w:val="14"/>
          <w:szCs w:val="14"/>
          <w:b w:val="1"/>
          <w:bCs w:val="1"/>
          <w:color w:val="auto"/>
        </w:rPr>
      </w:pPr>
    </w:p>
    <w:p>
      <w:pPr>
        <w:ind w:left="360" w:right="619" w:firstLine="749"/>
        <w:spacing w:after="0" w:line="262" w:lineRule="auto"/>
        <w:tabs>
          <w:tab w:leader="none" w:pos="1304"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provision of this Indenture shall be construed to relieve the Trustee from liability for its own negligent action, its own negligent failure to act, or its own willful misconduct, except that:</w:t>
      </w:r>
    </w:p>
    <w:p>
      <w:pPr>
        <w:spacing w:after="0" w:line="54" w:lineRule="exact"/>
        <w:rPr>
          <w:sz w:val="20"/>
          <w:szCs w:val="20"/>
          <w:color w:val="auto"/>
        </w:rPr>
      </w:pPr>
    </w:p>
    <w:p>
      <w:pPr>
        <w:ind w:left="360" w:right="399" w:firstLine="749"/>
        <w:spacing w:after="0" w:line="262" w:lineRule="auto"/>
        <w:tabs>
          <w:tab w:leader="none" w:pos="1267" w:val="left"/>
        </w:tabs>
        <w:numPr>
          <w:ilvl w:val="0"/>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prior to the occurrence of an Event of Default with respect to the Securities of a series and after the curing or waiving of all such Events of Default with respect to that series that may have occurred:</w:t>
      </w:r>
    </w:p>
    <w:p>
      <w:pPr>
        <w:spacing w:after="0" w:line="54" w:lineRule="exact"/>
        <w:rPr>
          <w:rFonts w:ascii="Times New Roman" w:cs="Times New Roman" w:eastAsia="Times New Roman" w:hAnsi="Times New Roman"/>
          <w:sz w:val="14"/>
          <w:szCs w:val="14"/>
          <w:b w:val="1"/>
          <w:bCs w:val="1"/>
          <w:color w:val="auto"/>
        </w:rPr>
      </w:pPr>
    </w:p>
    <w:p>
      <w:pPr>
        <w:ind w:left="360" w:right="399" w:firstLine="1080"/>
        <w:spacing w:after="0" w:line="248" w:lineRule="auto"/>
        <w:tabs>
          <w:tab w:leader="none" w:pos="1658" w:val="left"/>
        </w:tabs>
        <w:numPr>
          <w:ilvl w:val="1"/>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65" w:lineRule="exact"/>
        <w:rPr>
          <w:rFonts w:ascii="Times New Roman" w:cs="Times New Roman" w:eastAsia="Times New Roman" w:hAnsi="Times New Roman"/>
          <w:sz w:val="14"/>
          <w:szCs w:val="14"/>
          <w:b w:val="1"/>
          <w:bCs w:val="1"/>
          <w:color w:val="auto"/>
        </w:rPr>
      </w:pPr>
    </w:p>
    <w:p>
      <w:pPr>
        <w:ind w:left="360" w:right="419" w:firstLine="1080"/>
        <w:spacing w:after="0" w:line="247" w:lineRule="auto"/>
        <w:tabs>
          <w:tab w:leader="none" w:pos="1651" w:val="left"/>
        </w:tabs>
        <w:numPr>
          <w:ilvl w:val="1"/>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8" w:right="1440" w:bottom="1440" w:gutter="0" w:footer="0" w:header="0"/>
        </w:sectPr>
      </w:pPr>
    </w:p>
    <w:bookmarkStart w:id="77" w:name="page78"/>
    <w:bookmarkEnd w:id="77"/>
    <w:p>
      <w:pPr>
        <w:ind w:left="360" w:right="579" w:firstLine="749"/>
        <w:spacing w:after="0" w:line="345" w:lineRule="auto"/>
        <w:tabs>
          <w:tab w:leader="none" w:pos="1304" w:val="left"/>
        </w:tabs>
        <w:numPr>
          <w:ilvl w:val="0"/>
          <w:numId w:val="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9" w:lineRule="exact"/>
        <w:rPr>
          <w:rFonts w:ascii="Times New Roman" w:cs="Times New Roman" w:eastAsia="Times New Roman" w:hAnsi="Times New Roman"/>
          <w:sz w:val="12"/>
          <w:szCs w:val="12"/>
          <w:b w:val="1"/>
          <w:bCs w:val="1"/>
          <w:color w:val="auto"/>
        </w:rPr>
      </w:pPr>
    </w:p>
    <w:p>
      <w:pPr>
        <w:ind w:left="360" w:right="399" w:firstLine="749"/>
        <w:spacing w:after="0" w:line="248" w:lineRule="auto"/>
        <w:tabs>
          <w:tab w:leader="none" w:pos="1342"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65" w:lineRule="exact"/>
        <w:rPr>
          <w:rFonts w:ascii="Times New Roman" w:cs="Times New Roman" w:eastAsia="Times New Roman" w:hAnsi="Times New Roman"/>
          <w:sz w:val="14"/>
          <w:szCs w:val="14"/>
          <w:b w:val="1"/>
          <w:bCs w:val="1"/>
          <w:color w:val="auto"/>
        </w:rPr>
      </w:pPr>
    </w:p>
    <w:p>
      <w:pPr>
        <w:ind w:left="360" w:right="439" w:firstLine="749"/>
        <w:spacing w:after="0" w:line="248" w:lineRule="auto"/>
        <w:tabs>
          <w:tab w:leader="none" w:pos="1334"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65" w:lineRule="exact"/>
        <w:rPr>
          <w:rFonts w:ascii="Times New Roman" w:cs="Times New Roman" w:eastAsia="Times New Roman" w:hAnsi="Times New Roman"/>
          <w:sz w:val="14"/>
          <w:szCs w:val="14"/>
          <w:b w:val="1"/>
          <w:bCs w:val="1"/>
          <w:color w:val="auto"/>
        </w:rPr>
      </w:pPr>
    </w:p>
    <w:p>
      <w:pPr>
        <w:ind w:left="1300" w:hanging="191"/>
        <w:spacing w:after="0"/>
        <w:tabs>
          <w:tab w:leader="none" w:pos="1300"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required to give any bond or surety in respect of the performance of its powers or duties hereunder;</w:t>
      </w:r>
    </w:p>
    <w:p>
      <w:pPr>
        <w:spacing w:after="0" w:line="82" w:lineRule="exact"/>
        <w:rPr>
          <w:rFonts w:ascii="Times New Roman" w:cs="Times New Roman" w:eastAsia="Times New Roman" w:hAnsi="Times New Roman"/>
          <w:sz w:val="14"/>
          <w:szCs w:val="14"/>
          <w:b w:val="1"/>
          <w:bCs w:val="1"/>
          <w:color w:val="auto"/>
        </w:rPr>
      </w:pPr>
    </w:p>
    <w:p>
      <w:pPr>
        <w:ind w:left="1340" w:hanging="231"/>
        <w:spacing w:after="0"/>
        <w:tabs>
          <w:tab w:leader="none" w:pos="1340"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permissive right of the Trustee to do things enumerated in this Indenture shall not be construed as a duty of the Trustee; and</w:t>
      </w:r>
    </w:p>
    <w:p>
      <w:pPr>
        <w:spacing w:after="0" w:line="82" w:lineRule="exact"/>
        <w:rPr>
          <w:rFonts w:ascii="Times New Roman" w:cs="Times New Roman" w:eastAsia="Times New Roman" w:hAnsi="Times New Roman"/>
          <w:sz w:val="14"/>
          <w:szCs w:val="14"/>
          <w:b w:val="1"/>
          <w:bCs w:val="1"/>
          <w:color w:val="auto"/>
        </w:rPr>
      </w:pPr>
    </w:p>
    <w:p>
      <w:pPr>
        <w:ind w:left="360" w:right="659" w:firstLine="749"/>
        <w:spacing w:after="0" w:line="262" w:lineRule="auto"/>
        <w:tabs>
          <w:tab w:leader="none" w:pos="1372"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Trustee shall have any duty or responsibility for any act or omission of any other Trustee appointed with respect to a series of Securities hereunder.</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7.02 Certain Rights of Trustee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Except as otherwise provided in Section 7.01:</w:t>
      </w:r>
    </w:p>
    <w:p>
      <w:pPr>
        <w:spacing w:after="0" w:line="83" w:lineRule="exact"/>
        <w:rPr>
          <w:sz w:val="20"/>
          <w:szCs w:val="20"/>
          <w:color w:val="auto"/>
        </w:rPr>
      </w:pPr>
    </w:p>
    <w:p>
      <w:pPr>
        <w:jc w:val="both"/>
        <w:ind w:left="360" w:right="419" w:firstLine="749"/>
        <w:spacing w:after="0" w:line="252" w:lineRule="auto"/>
        <w:tabs>
          <w:tab w:leader="none" w:pos="1297"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61" w:lineRule="exact"/>
        <w:rPr>
          <w:rFonts w:ascii="Times New Roman" w:cs="Times New Roman" w:eastAsia="Times New Roman" w:hAnsi="Times New Roman"/>
          <w:sz w:val="14"/>
          <w:szCs w:val="14"/>
          <w:b w:val="1"/>
          <w:bCs w:val="1"/>
          <w:color w:val="auto"/>
        </w:rPr>
      </w:pPr>
    </w:p>
    <w:p>
      <w:pPr>
        <w:ind w:left="360" w:right="419" w:firstLine="749"/>
        <w:spacing w:after="0" w:line="252" w:lineRule="auto"/>
        <w:tabs>
          <w:tab w:leader="none" w:pos="1304"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61" w:lineRule="exact"/>
        <w:rPr>
          <w:rFonts w:ascii="Times New Roman" w:cs="Times New Roman" w:eastAsia="Times New Roman" w:hAnsi="Times New Roman"/>
          <w:sz w:val="14"/>
          <w:szCs w:val="14"/>
          <w:b w:val="1"/>
          <w:bCs w:val="1"/>
          <w:color w:val="auto"/>
        </w:rPr>
      </w:pPr>
    </w:p>
    <w:p>
      <w:pPr>
        <w:ind w:left="360" w:right="479" w:firstLine="749"/>
        <w:spacing w:after="0" w:line="345" w:lineRule="auto"/>
        <w:tabs>
          <w:tab w:leader="none" w:pos="1289" w:val="left"/>
        </w:tabs>
        <w:numPr>
          <w:ilvl w:val="0"/>
          <w:numId w:val="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38" w:right="1440" w:bottom="1440" w:gutter="0" w:footer="0" w:header="0"/>
        </w:sectPr>
      </w:pPr>
    </w:p>
    <w:bookmarkStart w:id="78" w:name="page79"/>
    <w:bookmarkEnd w:id="78"/>
    <w:p>
      <w:pPr>
        <w:ind w:left="360" w:right="399" w:firstLine="749"/>
        <w:spacing w:after="0" w:line="295" w:lineRule="auto"/>
        <w:tabs>
          <w:tab w:leader="none" w:pos="1304" w:val="left"/>
        </w:tabs>
        <w:numPr>
          <w:ilvl w:val="0"/>
          <w:numId w:val="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37" w:lineRule="exact"/>
        <w:rPr>
          <w:rFonts w:ascii="Times New Roman" w:cs="Times New Roman" w:eastAsia="Times New Roman" w:hAnsi="Times New Roman"/>
          <w:sz w:val="12"/>
          <w:szCs w:val="12"/>
          <w:b w:val="1"/>
          <w:bCs w:val="1"/>
          <w:color w:val="auto"/>
        </w:rPr>
      </w:pPr>
    </w:p>
    <w:p>
      <w:pPr>
        <w:ind w:left="360" w:right="699" w:firstLine="749"/>
        <w:spacing w:after="0" w:line="262" w:lineRule="auto"/>
        <w:tabs>
          <w:tab w:leader="none" w:pos="1289"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liable for any action taken or omitted to be taken by it in good faith and believed by it to be authorized or within the discretion or rights or powers conferred upon it by this Indenture;</w:t>
      </w:r>
    </w:p>
    <w:p>
      <w:pPr>
        <w:spacing w:after="0" w:line="54" w:lineRule="exact"/>
        <w:rPr>
          <w:rFonts w:ascii="Times New Roman" w:cs="Times New Roman" w:eastAsia="Times New Roman" w:hAnsi="Times New Roman"/>
          <w:sz w:val="14"/>
          <w:szCs w:val="14"/>
          <w:b w:val="1"/>
          <w:bCs w:val="1"/>
          <w:color w:val="auto"/>
        </w:rPr>
      </w:pPr>
    </w:p>
    <w:p>
      <w:pPr>
        <w:ind w:left="360" w:right="379" w:firstLine="749"/>
        <w:spacing w:after="0" w:line="292" w:lineRule="auto"/>
        <w:tabs>
          <w:tab w:leader="none" w:pos="1274" w:val="left"/>
        </w:tabs>
        <w:numPr>
          <w:ilvl w:val="0"/>
          <w:numId w:val="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205" w:lineRule="exact"/>
        <w:rPr>
          <w:rFonts w:ascii="Times New Roman" w:cs="Times New Roman" w:eastAsia="Times New Roman" w:hAnsi="Times New Roman"/>
          <w:sz w:val="12"/>
          <w:szCs w:val="12"/>
          <w:b w:val="1"/>
          <w:bCs w:val="1"/>
          <w:color w:val="auto"/>
        </w:rPr>
      </w:pPr>
    </w:p>
    <w:p>
      <w:pPr>
        <w:jc w:val="both"/>
        <w:ind w:left="360" w:right="459" w:firstLine="749"/>
        <w:spacing w:after="0" w:line="252" w:lineRule="auto"/>
        <w:tabs>
          <w:tab w:leader="none" w:pos="1297"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61" w:lineRule="exact"/>
        <w:rPr>
          <w:rFonts w:ascii="Times New Roman" w:cs="Times New Roman" w:eastAsia="Times New Roman" w:hAnsi="Times New Roman"/>
          <w:sz w:val="14"/>
          <w:szCs w:val="14"/>
          <w:b w:val="1"/>
          <w:bCs w:val="1"/>
          <w:color w:val="auto"/>
        </w:rPr>
      </w:pPr>
    </w:p>
    <w:p>
      <w:pPr>
        <w:ind w:left="360" w:right="419" w:firstLine="749"/>
        <w:spacing w:after="0" w:line="247" w:lineRule="auto"/>
        <w:tabs>
          <w:tab w:leader="none" w:pos="1304"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64" w:lineRule="exact"/>
        <w:rPr>
          <w:rFonts w:ascii="Times New Roman" w:cs="Times New Roman" w:eastAsia="Times New Roman" w:hAnsi="Times New Roman"/>
          <w:sz w:val="14"/>
          <w:szCs w:val="14"/>
          <w:b w:val="1"/>
          <w:bCs w:val="1"/>
          <w:color w:val="auto"/>
        </w:rPr>
      </w:pPr>
    </w:p>
    <w:p>
      <w:pPr>
        <w:ind w:left="360" w:right="579" w:firstLine="749"/>
        <w:spacing w:after="0" w:line="252" w:lineRule="auto"/>
        <w:tabs>
          <w:tab w:leader="none" w:pos="1267"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38" w:right="1440" w:bottom="1440" w:gutter="0" w:footer="0" w:header="0"/>
        </w:sectPr>
      </w:pPr>
    </w:p>
    <w:bookmarkStart w:id="79" w:name="page80"/>
    <w:bookmarkEnd w:id="79"/>
    <w:p>
      <w:pPr>
        <w:ind w:left="360" w:right="379" w:firstLine="749"/>
        <w:spacing w:after="0" w:line="290" w:lineRule="auto"/>
        <w:tabs>
          <w:tab w:leader="none" w:pos="1274" w:val="left"/>
        </w:tabs>
        <w:numPr>
          <w:ilvl w:val="0"/>
          <w:numId w:val="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204" w:lineRule="exact"/>
        <w:rPr>
          <w:rFonts w:ascii="Times New Roman" w:cs="Times New Roman" w:eastAsia="Times New Roman" w:hAnsi="Times New Roman"/>
          <w:sz w:val="12"/>
          <w:szCs w:val="12"/>
          <w:b w:val="1"/>
          <w:bCs w:val="1"/>
          <w:color w:val="auto"/>
        </w:rPr>
      </w:pPr>
    </w:p>
    <w:p>
      <w:pPr>
        <w:ind w:left="360" w:right="799" w:firstLine="749"/>
        <w:spacing w:after="0" w:line="252" w:lineRule="auto"/>
        <w:tabs>
          <w:tab w:leader="none" w:pos="1304"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spacing w:after="0" w:line="61" w:lineRule="exact"/>
        <w:rPr>
          <w:rFonts w:ascii="Times New Roman" w:cs="Times New Roman" w:eastAsia="Times New Roman" w:hAnsi="Times New Roman"/>
          <w:sz w:val="14"/>
          <w:szCs w:val="14"/>
          <w:b w:val="1"/>
          <w:bCs w:val="1"/>
          <w:color w:val="auto"/>
        </w:rPr>
      </w:pPr>
    </w:p>
    <w:p>
      <w:pPr>
        <w:ind w:left="360" w:right="419" w:firstLine="749"/>
        <w:spacing w:after="0" w:line="314" w:lineRule="auto"/>
        <w:tabs>
          <w:tab w:leader="none" w:pos="1267" w:val="left"/>
        </w:tabs>
        <w:numPr>
          <w:ilvl w:val="0"/>
          <w:numId w:val="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7.03 Trustee Not Responsible for Recitals or Issuance or Securities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79" w:firstLine="749"/>
        <w:spacing w:after="0" w:line="248" w:lineRule="auto"/>
        <w:tabs>
          <w:tab w:leader="none" w:pos="1297"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65" w:lineRule="exact"/>
        <w:rPr>
          <w:rFonts w:ascii="Times New Roman" w:cs="Times New Roman" w:eastAsia="Times New Roman" w:hAnsi="Times New Roman"/>
          <w:sz w:val="14"/>
          <w:szCs w:val="14"/>
          <w:b w:val="1"/>
          <w:bCs w:val="1"/>
          <w:color w:val="auto"/>
        </w:rPr>
      </w:pPr>
    </w:p>
    <w:p>
      <w:pPr>
        <w:ind w:left="1300" w:hanging="191"/>
        <w:spacing w:after="0"/>
        <w:tabs>
          <w:tab w:leader="none" w:pos="1300"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82" w:lineRule="exact"/>
        <w:rPr>
          <w:rFonts w:ascii="Times New Roman" w:cs="Times New Roman" w:eastAsia="Times New Roman" w:hAnsi="Times New Roman"/>
          <w:sz w:val="14"/>
          <w:szCs w:val="14"/>
          <w:b w:val="1"/>
          <w:bCs w:val="1"/>
          <w:color w:val="auto"/>
        </w:rPr>
      </w:pPr>
    </w:p>
    <w:p>
      <w:pPr>
        <w:ind w:left="360" w:right="699" w:firstLine="749"/>
        <w:spacing w:after="0" w:line="252" w:lineRule="auto"/>
        <w:tabs>
          <w:tab w:leader="none" w:pos="1289"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38" w:right="1440" w:bottom="1440" w:gutter="0" w:footer="0" w:header="0"/>
        </w:sectPr>
      </w:pPr>
    </w:p>
    <w:bookmarkStart w:id="80" w:name="page81"/>
    <w:bookmarkEnd w:id="80"/>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7.04 May Hold Securities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19" w:firstLine="331"/>
        <w:spacing w:after="0" w:line="262"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7.05 Moneys Held in Trust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39" w:firstLine="331"/>
        <w:spacing w:after="0" w:line="252" w:lineRule="auto"/>
        <w:rPr>
          <w:sz w:val="20"/>
          <w:szCs w:val="20"/>
          <w:color w:val="auto"/>
        </w:rPr>
      </w:pPr>
      <w:r>
        <w:rPr>
          <w:rFonts w:ascii="Times New Roman" w:cs="Times New Roman" w:eastAsia="Times New Roman" w:hAnsi="Times New Roman"/>
          <w:sz w:val="14"/>
          <w:szCs w:val="14"/>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7.06 Compensation and Reimbursement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749"/>
        <w:spacing w:after="0" w:line="248" w:lineRule="auto"/>
        <w:tabs>
          <w:tab w:leader="none" w:pos="1297"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65" w:lineRule="exact"/>
        <w:rPr>
          <w:rFonts w:ascii="Times New Roman" w:cs="Times New Roman" w:eastAsia="Times New Roman" w:hAnsi="Times New Roman"/>
          <w:sz w:val="14"/>
          <w:szCs w:val="14"/>
          <w:b w:val="1"/>
          <w:bCs w:val="1"/>
          <w:color w:val="auto"/>
        </w:rPr>
      </w:pPr>
    </w:p>
    <w:p>
      <w:pPr>
        <w:ind w:left="360" w:right="499" w:firstLine="749"/>
        <w:spacing w:after="0" w:line="245" w:lineRule="auto"/>
        <w:tabs>
          <w:tab w:leader="none" w:pos="1304"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67" w:lineRule="exact"/>
        <w:rPr>
          <w:rFonts w:ascii="Times New Roman" w:cs="Times New Roman" w:eastAsia="Times New Roman" w:hAnsi="Times New Roman"/>
          <w:sz w:val="14"/>
          <w:szCs w:val="14"/>
          <w:b w:val="1"/>
          <w:bCs w:val="1"/>
          <w:color w:val="auto"/>
        </w:rPr>
      </w:pPr>
    </w:p>
    <w:p>
      <w:pPr>
        <w:ind w:left="360" w:right="699" w:firstLine="749"/>
        <w:spacing w:after="0" w:line="262" w:lineRule="auto"/>
        <w:tabs>
          <w:tab w:leader="none" w:pos="1289"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or agent of the Trustee through negligence or bad faith.</w:t>
      </w:r>
    </w:p>
    <w:p>
      <w:pPr>
        <w:spacing w:after="0" w:line="54" w:lineRule="exact"/>
        <w:rPr>
          <w:rFonts w:ascii="Times New Roman" w:cs="Times New Roman" w:eastAsia="Times New Roman" w:hAnsi="Times New Roman"/>
          <w:sz w:val="14"/>
          <w:szCs w:val="14"/>
          <w:b w:val="1"/>
          <w:bCs w:val="1"/>
          <w:color w:val="auto"/>
        </w:rPr>
      </w:pPr>
    </w:p>
    <w:p>
      <w:pPr>
        <w:ind w:left="360" w:right="479" w:firstLine="749"/>
        <w:spacing w:after="0" w:line="298" w:lineRule="auto"/>
        <w:tabs>
          <w:tab w:leader="none" w:pos="1304" w:val="left"/>
        </w:tabs>
        <w:numPr>
          <w:ilvl w:val="0"/>
          <w:numId w:val="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4" w:right="1440" w:bottom="1440" w:gutter="0" w:footer="0" w:header="0"/>
        </w:sectPr>
      </w:pPr>
    </w:p>
    <w:bookmarkStart w:id="81" w:name="page82"/>
    <w:bookmarkEnd w:id="81"/>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7.07 Reliance on Officer’s Certificate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19" w:firstLine="331"/>
        <w:spacing w:after="0" w:line="246" w:lineRule="auto"/>
        <w:rPr>
          <w:sz w:val="20"/>
          <w:szCs w:val="20"/>
          <w:color w:val="auto"/>
        </w:rPr>
      </w:pPr>
      <w:r>
        <w:rPr>
          <w:rFonts w:ascii="Times New Roman" w:cs="Times New Roman" w:eastAsia="Times New Roman" w:hAnsi="Times New Roman"/>
          <w:sz w:val="14"/>
          <w:szCs w:val="14"/>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7.08 Disqualification; Conflicting Interests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539" w:firstLine="331"/>
        <w:spacing w:after="0" w:line="262"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7.09 Corporate Trustee Required; Eligibility</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jc w:val="both"/>
        <w:ind w:left="360" w:right="439" w:firstLine="331"/>
        <w:spacing w:after="0" w:line="303" w:lineRule="auto"/>
        <w:rPr>
          <w:sz w:val="20"/>
          <w:szCs w:val="20"/>
          <w:color w:val="auto"/>
        </w:rPr>
      </w:pPr>
      <w:r>
        <w:rPr>
          <w:rFonts w:ascii="Times New Roman" w:cs="Times New Roman" w:eastAsia="Times New Roman" w:hAnsi="Times New Roman"/>
          <w:sz w:val="12"/>
          <w:szCs w:val="12"/>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15" w:lineRule="exact"/>
        <w:rPr>
          <w:sz w:val="20"/>
          <w:szCs w:val="20"/>
          <w:color w:val="auto"/>
        </w:rPr>
      </w:pPr>
    </w:p>
    <w:p>
      <w:pPr>
        <w:ind w:left="360" w:right="499" w:firstLine="331"/>
        <w:spacing w:after="0" w:line="246" w:lineRule="auto"/>
        <w:rPr>
          <w:sz w:val="20"/>
          <w:szCs w:val="20"/>
          <w:color w:val="auto"/>
        </w:rPr>
      </w:pPr>
      <w:r>
        <w:rPr>
          <w:rFonts w:ascii="Times New Roman" w:cs="Times New Roman" w:eastAsia="Times New Roman" w:hAnsi="Times New Roman"/>
          <w:sz w:val="14"/>
          <w:szCs w:val="14"/>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7.10 Resignation and Removal; Appointment of Successor</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39" w:firstLine="749"/>
        <w:spacing w:after="0" w:line="247" w:lineRule="auto"/>
        <w:tabs>
          <w:tab w:leader="none" w:pos="1297"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34" w:right="1440" w:bottom="1440" w:gutter="0" w:footer="0" w:header="0"/>
        </w:sectPr>
      </w:pPr>
    </w:p>
    <w:bookmarkStart w:id="82" w:name="page83"/>
    <w:bookmarkEnd w:id="82"/>
    <w:p>
      <w:pPr>
        <w:ind w:left="360" w:right="419"/>
        <w:spacing w:after="0" w:line="24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65" w:lineRule="exact"/>
        <w:rPr>
          <w:sz w:val="20"/>
          <w:szCs w:val="20"/>
          <w:color w:val="auto"/>
        </w:rPr>
      </w:pPr>
    </w:p>
    <w:p>
      <w:pPr>
        <w:ind w:left="1300" w:hanging="191"/>
        <w:spacing w:after="0"/>
        <w:tabs>
          <w:tab w:leader="none" w:pos="1300"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at any time any one of the following shall occur:</w:t>
      </w:r>
    </w:p>
    <w:p>
      <w:pPr>
        <w:spacing w:after="0" w:line="82" w:lineRule="exact"/>
        <w:rPr>
          <w:rFonts w:ascii="Times New Roman" w:cs="Times New Roman" w:eastAsia="Times New Roman" w:hAnsi="Times New Roman"/>
          <w:sz w:val="14"/>
          <w:szCs w:val="14"/>
          <w:b w:val="1"/>
          <w:bCs w:val="1"/>
          <w:color w:val="auto"/>
        </w:rPr>
      </w:pPr>
    </w:p>
    <w:p>
      <w:pPr>
        <w:ind w:left="360" w:right="759" w:firstLine="1080"/>
        <w:spacing w:after="0" w:line="262" w:lineRule="auto"/>
        <w:tabs>
          <w:tab w:leader="none" w:pos="1598" w:val="left"/>
        </w:tabs>
        <w:numPr>
          <w:ilvl w:val="1"/>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54" w:lineRule="exact"/>
        <w:rPr>
          <w:rFonts w:ascii="Times New Roman" w:cs="Times New Roman" w:eastAsia="Times New Roman" w:hAnsi="Times New Roman"/>
          <w:sz w:val="14"/>
          <w:szCs w:val="14"/>
          <w:b w:val="1"/>
          <w:bCs w:val="1"/>
          <w:color w:val="auto"/>
        </w:rPr>
      </w:pPr>
    </w:p>
    <w:p>
      <w:pPr>
        <w:ind w:left="360" w:right="779" w:firstLine="1080"/>
        <w:spacing w:after="0" w:line="262" w:lineRule="auto"/>
        <w:tabs>
          <w:tab w:leader="none" w:pos="1636" w:val="left"/>
        </w:tabs>
        <w:numPr>
          <w:ilvl w:val="1"/>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cease to be eligible in accordance with the provisions of Section 7.09 and shall fail to resign after written request therefor by the Company or by any such Securityholder; or</w:t>
      </w:r>
    </w:p>
    <w:p>
      <w:pPr>
        <w:spacing w:after="0" w:line="54" w:lineRule="exact"/>
        <w:rPr>
          <w:rFonts w:ascii="Times New Roman" w:cs="Times New Roman" w:eastAsia="Times New Roman" w:hAnsi="Times New Roman"/>
          <w:sz w:val="14"/>
          <w:szCs w:val="14"/>
          <w:b w:val="1"/>
          <w:bCs w:val="1"/>
          <w:color w:val="auto"/>
        </w:rPr>
      </w:pPr>
    </w:p>
    <w:p>
      <w:pPr>
        <w:ind w:left="360" w:right="399" w:firstLine="1080"/>
        <w:spacing w:after="0" w:line="252" w:lineRule="auto"/>
        <w:tabs>
          <w:tab w:leader="none" w:pos="1673" w:val="left"/>
        </w:tabs>
        <w:numPr>
          <w:ilvl w:val="1"/>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42" w:lineRule="exact"/>
        <w:rPr>
          <w:sz w:val="20"/>
          <w:szCs w:val="20"/>
          <w:color w:val="auto"/>
        </w:rPr>
      </w:pPr>
    </w:p>
    <w:p>
      <w:pPr>
        <w:ind w:left="360" w:right="399" w:firstLine="331"/>
        <w:spacing w:after="0" w:line="298" w:lineRule="auto"/>
        <w:rPr>
          <w:sz w:val="20"/>
          <w:szCs w:val="20"/>
          <w:color w:val="auto"/>
        </w:rPr>
      </w:pPr>
      <w:r>
        <w:rPr>
          <w:rFonts w:ascii="Times New Roman" w:cs="Times New Roman" w:eastAsia="Times New Roman" w:hAnsi="Times New Roman"/>
          <w:sz w:val="12"/>
          <w:szCs w:val="12"/>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36" w:lineRule="exact"/>
        <w:rPr>
          <w:sz w:val="20"/>
          <w:szCs w:val="20"/>
          <w:color w:val="auto"/>
        </w:rPr>
      </w:pPr>
    </w:p>
    <w:p>
      <w:pPr>
        <w:ind w:left="360" w:right="379" w:firstLine="749"/>
        <w:spacing w:after="0" w:line="252" w:lineRule="auto"/>
        <w:tabs>
          <w:tab w:leader="none" w:pos="1287"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61" w:lineRule="exact"/>
        <w:rPr>
          <w:rFonts w:ascii="Times New Roman" w:cs="Times New Roman" w:eastAsia="Times New Roman" w:hAnsi="Times New Roman"/>
          <w:sz w:val="14"/>
          <w:szCs w:val="14"/>
          <w:b w:val="1"/>
          <w:bCs w:val="1"/>
          <w:color w:val="auto"/>
        </w:rPr>
      </w:pPr>
    </w:p>
    <w:p>
      <w:pPr>
        <w:ind w:left="360" w:right="499" w:firstLine="749"/>
        <w:spacing w:after="0" w:line="345" w:lineRule="auto"/>
        <w:tabs>
          <w:tab w:leader="none" w:pos="1304" w:val="left"/>
        </w:tabs>
        <w:numPr>
          <w:ilvl w:val="0"/>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9" w:lineRule="exact"/>
        <w:rPr>
          <w:rFonts w:ascii="Times New Roman" w:cs="Times New Roman" w:eastAsia="Times New Roman" w:hAnsi="Times New Roman"/>
          <w:sz w:val="12"/>
          <w:szCs w:val="12"/>
          <w:b w:val="1"/>
          <w:bCs w:val="1"/>
          <w:color w:val="auto"/>
        </w:rPr>
      </w:pPr>
    </w:p>
    <w:p>
      <w:pPr>
        <w:ind w:left="360" w:right="439" w:firstLine="749"/>
        <w:spacing w:after="0" w:line="262" w:lineRule="auto"/>
        <w:tabs>
          <w:tab w:leader="none" w:pos="1289"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8" w:right="1440" w:bottom="1440" w:gutter="0" w:footer="0" w:header="0"/>
        </w:sectPr>
      </w:pPr>
    </w:p>
    <w:bookmarkStart w:id="83" w:name="page84"/>
    <w:bookmarkEnd w:id="83"/>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7.11 Acceptance of Appointment By Successor</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99" w:firstLine="749"/>
        <w:spacing w:after="0" w:line="245" w:lineRule="auto"/>
        <w:tabs>
          <w:tab w:leader="none" w:pos="1297"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67" w:lineRule="exact"/>
        <w:rPr>
          <w:rFonts w:ascii="Times New Roman" w:cs="Times New Roman" w:eastAsia="Times New Roman" w:hAnsi="Times New Roman"/>
          <w:sz w:val="14"/>
          <w:szCs w:val="14"/>
          <w:b w:val="1"/>
          <w:bCs w:val="1"/>
          <w:color w:val="auto"/>
        </w:rPr>
      </w:pPr>
    </w:p>
    <w:p>
      <w:pPr>
        <w:ind w:left="360" w:right="459" w:firstLine="749"/>
        <w:spacing w:after="0" w:line="243" w:lineRule="auto"/>
        <w:tabs>
          <w:tab w:leader="none" w:pos="1304"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69" w:lineRule="exact"/>
        <w:rPr>
          <w:rFonts w:ascii="Times New Roman" w:cs="Times New Roman" w:eastAsia="Times New Roman" w:hAnsi="Times New Roman"/>
          <w:sz w:val="14"/>
          <w:szCs w:val="14"/>
          <w:b w:val="1"/>
          <w:bCs w:val="1"/>
          <w:color w:val="auto"/>
        </w:rPr>
      </w:pPr>
    </w:p>
    <w:p>
      <w:pPr>
        <w:ind w:left="360" w:right="479" w:firstLine="749"/>
        <w:spacing w:after="0" w:line="345" w:lineRule="auto"/>
        <w:tabs>
          <w:tab w:leader="none" w:pos="1289" w:val="left"/>
        </w:tabs>
        <w:numPr>
          <w:ilvl w:val="0"/>
          <w:numId w:val="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34" w:right="1440" w:bottom="1440" w:gutter="0" w:footer="0" w:header="0"/>
        </w:sectPr>
      </w:pPr>
    </w:p>
    <w:bookmarkStart w:id="84" w:name="page85"/>
    <w:bookmarkEnd w:id="84"/>
    <w:p>
      <w:pPr>
        <w:ind w:left="360" w:right="599" w:firstLine="749"/>
        <w:spacing w:after="0" w:line="262" w:lineRule="auto"/>
        <w:tabs>
          <w:tab w:leader="none" w:pos="1304"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 successor trustee shall accept its appointment unless at the time of such acceptance such successor trustee shall be qualified and eligible under this Article.</w:t>
      </w:r>
    </w:p>
    <w:p>
      <w:pPr>
        <w:spacing w:after="0" w:line="54" w:lineRule="exact"/>
        <w:rPr>
          <w:rFonts w:ascii="Times New Roman" w:cs="Times New Roman" w:eastAsia="Times New Roman" w:hAnsi="Times New Roman"/>
          <w:sz w:val="14"/>
          <w:szCs w:val="14"/>
          <w:b w:val="1"/>
          <w:bCs w:val="1"/>
          <w:color w:val="auto"/>
        </w:rPr>
      </w:pPr>
    </w:p>
    <w:p>
      <w:pPr>
        <w:jc w:val="both"/>
        <w:ind w:left="360" w:right="419" w:firstLine="749"/>
        <w:spacing w:after="0" w:line="252" w:lineRule="auto"/>
        <w:tabs>
          <w:tab w:leader="none" w:pos="1289"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7.12 Merger, Conversion, Consolidation or Succession to Business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19" w:firstLine="331"/>
        <w:spacing w:after="0" w:line="244" w:lineRule="auto"/>
        <w:rPr>
          <w:sz w:val="20"/>
          <w:szCs w:val="20"/>
          <w:color w:val="auto"/>
        </w:rPr>
      </w:pPr>
      <w:r>
        <w:rPr>
          <w:rFonts w:ascii="Times New Roman" w:cs="Times New Roman" w:eastAsia="Times New Roman" w:hAnsi="Times New Roman"/>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7.13 Preferential Collection of Claims Against the Company</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jc w:val="both"/>
        <w:ind w:left="360" w:right="599" w:firstLine="331"/>
        <w:spacing w:after="0" w:line="252" w:lineRule="auto"/>
        <w:rPr>
          <w:sz w:val="20"/>
          <w:szCs w:val="20"/>
          <w:color w:val="auto"/>
        </w:rPr>
      </w:pPr>
      <w:r>
        <w:rPr>
          <w:rFonts w:ascii="Times New Roman" w:cs="Times New Roman" w:eastAsia="Times New Roman" w:hAnsi="Times New Roman"/>
          <w:sz w:val="14"/>
          <w:szCs w:val="14"/>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7.14 Notice of Default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246" w:lineRule="auto"/>
        <w:rPr>
          <w:sz w:val="20"/>
          <w:szCs w:val="20"/>
          <w:color w:val="auto"/>
        </w:rPr>
      </w:pPr>
      <w:r>
        <w:rPr>
          <w:rFonts w:ascii="Times New Roman" w:cs="Times New Roman" w:eastAsia="Times New Roman" w:hAnsi="Times New Roman"/>
          <w:sz w:val="14"/>
          <w:szCs w:val="14"/>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38"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ARTICLE 8</w:t>
      </w:r>
    </w:p>
    <w:p>
      <w:pPr>
        <w:spacing w:after="0" w:line="16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8.01 Evidence of Action by Securityholders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331"/>
        <w:spacing w:after="0" w:line="247" w:lineRule="auto"/>
        <w:rPr>
          <w:sz w:val="20"/>
          <w:szCs w:val="20"/>
          <w:color w:val="auto"/>
        </w:rPr>
      </w:pPr>
      <w:r>
        <w:rPr>
          <w:rFonts w:ascii="Times New Roman" w:cs="Times New Roman" w:eastAsia="Times New Roman" w:hAnsi="Times New Roman"/>
          <w:sz w:val="14"/>
          <w:szCs w:val="14"/>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6" w:lineRule="exact"/>
        <w:rPr>
          <w:sz w:val="20"/>
          <w:szCs w:val="20"/>
          <w:color w:val="auto"/>
        </w:rPr>
      </w:pPr>
    </w:p>
    <w:p>
      <w:pPr>
        <w:ind w:left="360" w:right="439" w:firstLine="331"/>
        <w:spacing w:after="0" w:line="244" w:lineRule="auto"/>
        <w:rPr>
          <w:sz w:val="20"/>
          <w:szCs w:val="20"/>
          <w:color w:val="auto"/>
        </w:rPr>
      </w:pPr>
      <w:r>
        <w:rPr>
          <w:rFonts w:ascii="Times New Roman" w:cs="Times New Roman" w:eastAsia="Times New Roman" w:hAnsi="Times New Roman"/>
          <w:sz w:val="14"/>
          <w:szCs w:val="14"/>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8.02 Proof of Execution by Securityholders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345" w:lineRule="auto"/>
        <w:rPr>
          <w:sz w:val="20"/>
          <w:szCs w:val="20"/>
          <w:color w:val="auto"/>
        </w:rPr>
      </w:pPr>
      <w:r>
        <w:rPr>
          <w:rFonts w:ascii="Times New Roman" w:cs="Times New Roman" w:eastAsia="Times New Roman" w:hAnsi="Times New Roman"/>
          <w:sz w:val="12"/>
          <w:szCs w:val="12"/>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9" w:lineRule="exact"/>
        <w:rPr>
          <w:sz w:val="20"/>
          <w:szCs w:val="20"/>
          <w:color w:val="auto"/>
        </w:rPr>
      </w:pPr>
    </w:p>
    <w:p>
      <w:pPr>
        <w:ind w:left="1300" w:hanging="191"/>
        <w:spacing w:after="0"/>
        <w:tabs>
          <w:tab w:leader="none" w:pos="1300" w:val="left"/>
        </w:tabs>
        <w:numPr>
          <w:ilvl w:val="0"/>
          <w:numId w:val="8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fact and date of the execution by any such Person of any instrument may be proved in any reasonable manner acceptable to the</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Trustee.</w:t>
      </w:r>
    </w:p>
    <w:p>
      <w:pPr>
        <w:spacing w:after="0" w:line="70" w:lineRule="exact"/>
        <w:rPr>
          <w:sz w:val="20"/>
          <w:szCs w:val="20"/>
          <w:color w:val="auto"/>
        </w:rPr>
      </w:pPr>
    </w:p>
    <w:p>
      <w:pPr>
        <w:ind w:left="1300" w:hanging="191"/>
        <w:spacing w:after="0"/>
        <w:tabs>
          <w:tab w:leader="none" w:pos="130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ownership of Securities shall be proved by the Security Register of such Securities or by a certificate of the Security Registrar</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thereof.</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Trustee may require such additional proof of any matter referred to in this Section as it shall deem necessary.</w:t>
      </w:r>
    </w:p>
    <w:p>
      <w:pPr>
        <w:spacing w:after="0" w:line="11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34" w:right="1440" w:bottom="1440" w:gutter="0" w:footer="0" w:header="0"/>
        </w:sectPr>
      </w:pPr>
    </w:p>
    <w:bookmarkStart w:id="86" w:name="page87"/>
    <w:bookmarkEnd w:id="86"/>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8.03 Who May be Deemed Owners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79" w:firstLine="331"/>
        <w:spacing w:after="0" w:line="246" w:lineRule="auto"/>
        <w:rPr>
          <w:sz w:val="20"/>
          <w:szCs w:val="20"/>
          <w:color w:val="auto"/>
        </w:rPr>
      </w:pPr>
      <w:r>
        <w:rPr>
          <w:rFonts w:ascii="Times New Roman" w:cs="Times New Roman" w:eastAsia="Times New Roman" w:hAnsi="Times New Roman"/>
          <w:sz w:val="14"/>
          <w:szCs w:val="14"/>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8.04 Certain Securities Owned by Company Disregarded</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291" w:lineRule="auto"/>
        <w:rPr>
          <w:sz w:val="20"/>
          <w:szCs w:val="20"/>
          <w:color w:val="auto"/>
        </w:rPr>
      </w:pPr>
      <w:r>
        <w:rPr>
          <w:rFonts w:ascii="Times New Roman" w:cs="Times New Roman" w:eastAsia="Times New Roman" w:hAnsi="Times New Roman"/>
          <w:sz w:val="12"/>
          <w:szCs w:val="12"/>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2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8.05 Actions Binding on Future Securityholders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39" w:firstLine="331"/>
        <w:spacing w:after="0" w:line="244" w:lineRule="auto"/>
        <w:rPr>
          <w:sz w:val="20"/>
          <w:szCs w:val="20"/>
          <w:color w:val="auto"/>
        </w:rPr>
      </w:pPr>
      <w:r>
        <w:rPr>
          <w:rFonts w:ascii="Times New Roman" w:cs="Times New Roman" w:eastAsia="Times New Roman" w:hAnsi="Times New Roman"/>
          <w:sz w:val="14"/>
          <w:szCs w:val="14"/>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34" w:right="1440"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ARTICLE 9</w:t>
      </w:r>
    </w:p>
    <w:p>
      <w:pPr>
        <w:spacing w:after="0" w:line="16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9.01 Supplemental Indentures Without the Consent of Securityholders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59" w:firstLine="331"/>
        <w:spacing w:after="0" w:line="252"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61" w:lineRule="exact"/>
        <w:rPr>
          <w:sz w:val="20"/>
          <w:szCs w:val="20"/>
          <w:color w:val="auto"/>
        </w:rPr>
      </w:pPr>
    </w:p>
    <w:p>
      <w:pPr>
        <w:ind w:left="1300" w:hanging="191"/>
        <w:spacing w:after="0"/>
        <w:tabs>
          <w:tab w:leader="none" w:pos="130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cure any ambiguity, defect, or inconsistency herein or in the Securities of any series;</w:t>
      </w:r>
    </w:p>
    <w:p>
      <w:pPr>
        <w:spacing w:after="0" w:line="82" w:lineRule="exact"/>
        <w:rPr>
          <w:rFonts w:ascii="Times New Roman" w:cs="Times New Roman" w:eastAsia="Times New Roman" w:hAnsi="Times New Roman"/>
          <w:sz w:val="14"/>
          <w:szCs w:val="14"/>
          <w:b w:val="1"/>
          <w:bCs w:val="1"/>
          <w:color w:val="auto"/>
        </w:rPr>
      </w:pPr>
    </w:p>
    <w:p>
      <w:pPr>
        <w:ind w:left="1300" w:hanging="191"/>
        <w:spacing w:after="0"/>
        <w:tabs>
          <w:tab w:leader="none" w:pos="130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comply with Article Ten;</w:t>
      </w:r>
    </w:p>
    <w:p>
      <w:pPr>
        <w:spacing w:after="0" w:line="82" w:lineRule="exact"/>
        <w:rPr>
          <w:rFonts w:ascii="Times New Roman" w:cs="Times New Roman" w:eastAsia="Times New Roman" w:hAnsi="Times New Roman"/>
          <w:sz w:val="14"/>
          <w:szCs w:val="14"/>
          <w:b w:val="1"/>
          <w:bCs w:val="1"/>
          <w:color w:val="auto"/>
        </w:rPr>
      </w:pPr>
    </w:p>
    <w:p>
      <w:pPr>
        <w:ind w:left="1300" w:hanging="191"/>
        <w:spacing w:after="0"/>
        <w:tabs>
          <w:tab w:leader="none" w:pos="130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82" w:lineRule="exact"/>
        <w:rPr>
          <w:rFonts w:ascii="Times New Roman" w:cs="Times New Roman" w:eastAsia="Times New Roman" w:hAnsi="Times New Roman"/>
          <w:sz w:val="14"/>
          <w:szCs w:val="14"/>
          <w:b w:val="1"/>
          <w:bCs w:val="1"/>
          <w:color w:val="auto"/>
        </w:rPr>
      </w:pPr>
    </w:p>
    <w:p>
      <w:pPr>
        <w:ind w:left="360" w:right="459" w:firstLine="749"/>
        <w:spacing w:after="0" w:line="247" w:lineRule="auto"/>
        <w:tabs>
          <w:tab w:leader="none" w:pos="1304"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64" w:lineRule="exact"/>
        <w:rPr>
          <w:rFonts w:ascii="Times New Roman" w:cs="Times New Roman" w:eastAsia="Times New Roman" w:hAnsi="Times New Roman"/>
          <w:sz w:val="14"/>
          <w:szCs w:val="14"/>
          <w:b w:val="1"/>
          <w:bCs w:val="1"/>
          <w:color w:val="auto"/>
        </w:rPr>
      </w:pPr>
    </w:p>
    <w:p>
      <w:pPr>
        <w:ind w:left="360" w:right="719" w:firstLine="749"/>
        <w:spacing w:after="0" w:line="262" w:lineRule="auto"/>
        <w:tabs>
          <w:tab w:leader="none" w:pos="1289"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Securities, as herein set forth;</w:t>
      </w:r>
    </w:p>
    <w:p>
      <w:pPr>
        <w:spacing w:after="0" w:line="54" w:lineRule="exact"/>
        <w:rPr>
          <w:rFonts w:ascii="Times New Roman" w:cs="Times New Roman" w:eastAsia="Times New Roman" w:hAnsi="Times New Roman"/>
          <w:sz w:val="14"/>
          <w:szCs w:val="14"/>
          <w:b w:val="1"/>
          <w:bCs w:val="1"/>
          <w:color w:val="auto"/>
        </w:rPr>
      </w:pPr>
    </w:p>
    <w:p>
      <w:pPr>
        <w:ind w:left="1280" w:hanging="171"/>
        <w:spacing w:after="0"/>
        <w:tabs>
          <w:tab w:leader="none" w:pos="128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82" w:lineRule="exact"/>
        <w:rPr>
          <w:rFonts w:ascii="Times New Roman" w:cs="Times New Roman" w:eastAsia="Times New Roman" w:hAnsi="Times New Roman"/>
          <w:sz w:val="14"/>
          <w:szCs w:val="14"/>
          <w:b w:val="1"/>
          <w:bCs w:val="1"/>
          <w:color w:val="auto"/>
        </w:rPr>
      </w:pPr>
    </w:p>
    <w:p>
      <w:pPr>
        <w:ind w:left="1300" w:hanging="191"/>
        <w:spacing w:after="0"/>
        <w:tabs>
          <w:tab w:leader="none" w:pos="130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provide for the issuance of and establish the form and terms and conditions of the Securities of any series as provided in</w:t>
      </w:r>
    </w:p>
    <w:p>
      <w:pPr>
        <w:spacing w:after="0" w:line="14" w:lineRule="exact"/>
        <w:rPr>
          <w:sz w:val="20"/>
          <w:szCs w:val="20"/>
          <w:color w:val="auto"/>
        </w:rPr>
      </w:pPr>
    </w:p>
    <w:p>
      <w:pPr>
        <w:ind w:left="360" w:right="499"/>
        <w:spacing w:after="0" w:line="244" w:lineRule="auto"/>
        <w:rPr>
          <w:sz w:val="20"/>
          <w:szCs w:val="20"/>
          <w:color w:val="auto"/>
        </w:rPr>
      </w:pPr>
      <w:r>
        <w:rPr>
          <w:rFonts w:ascii="Times New Roman" w:cs="Times New Roman" w:eastAsia="Times New Roman" w:hAnsi="Times New Roman"/>
          <w:sz w:val="14"/>
          <w:szCs w:val="14"/>
          <w:color w:val="auto"/>
        </w:rPr>
        <w:t>Section 2.01, to establish the form of any certifications required to be furnished pursuant to the terms of this Indenture or any series of Securities, or to add to the rights of the holders of any series of Securities;</w:t>
      </w:r>
    </w:p>
    <w:p>
      <w:pPr>
        <w:spacing w:after="0" w:line="66" w:lineRule="exact"/>
        <w:rPr>
          <w:sz w:val="20"/>
          <w:szCs w:val="20"/>
          <w:color w:val="auto"/>
        </w:rPr>
      </w:pPr>
    </w:p>
    <w:p>
      <w:pPr>
        <w:ind w:left="1300" w:hanging="191"/>
        <w:spacing w:after="0"/>
        <w:tabs>
          <w:tab w:leader="none" w:pos="1300"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evidence and provide for the acceptance of appointment hereunder by a successor trustee; or</w:t>
      </w:r>
    </w:p>
    <w:p>
      <w:pPr>
        <w:spacing w:after="0" w:line="82" w:lineRule="exact"/>
        <w:rPr>
          <w:rFonts w:ascii="Times New Roman" w:cs="Times New Roman" w:eastAsia="Times New Roman" w:hAnsi="Times New Roman"/>
          <w:sz w:val="14"/>
          <w:szCs w:val="14"/>
          <w:b w:val="1"/>
          <w:bCs w:val="1"/>
          <w:color w:val="auto"/>
        </w:rPr>
      </w:pPr>
    </w:p>
    <w:p>
      <w:pPr>
        <w:ind w:left="360" w:right="539" w:firstLine="749"/>
        <w:spacing w:after="0" w:line="262" w:lineRule="auto"/>
        <w:tabs>
          <w:tab w:leader="none" w:pos="1267"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comply with any requirements of the Commission or any successor in connection with the qualification of this Indenture under the Trust Indenture Act.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34" w:right="1440" w:bottom="1440" w:gutter="0" w:footer="0" w:header="0"/>
        </w:sectPr>
      </w:pPr>
    </w:p>
    <w:bookmarkStart w:id="88" w:name="page89"/>
    <w:bookmarkEnd w:id="88"/>
    <w:p>
      <w:pPr>
        <w:jc w:val="both"/>
        <w:ind w:left="360" w:right="839" w:firstLine="331"/>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42" w:lineRule="exact"/>
        <w:rPr>
          <w:sz w:val="20"/>
          <w:szCs w:val="20"/>
          <w:color w:val="auto"/>
        </w:rPr>
      </w:pPr>
    </w:p>
    <w:p>
      <w:pPr>
        <w:ind w:left="360" w:right="439" w:firstLine="331"/>
        <w:spacing w:after="0" w:line="262"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9.02 Supplemental Indentures With Consent of Securityholders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331"/>
        <w:spacing w:after="0" w:line="244" w:lineRule="auto"/>
        <w:rPr>
          <w:sz w:val="20"/>
          <w:szCs w:val="20"/>
          <w:color w:val="auto"/>
        </w:rPr>
      </w:pPr>
      <w:r>
        <w:rPr>
          <w:rFonts w:ascii="Times New Roman" w:cs="Times New Roman" w:eastAsia="Times New Roman" w:hAnsi="Times New Roman"/>
          <w:sz w:val="14"/>
          <w:szCs w:val="14"/>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51" w:lineRule="exact"/>
        <w:rPr>
          <w:sz w:val="20"/>
          <w:szCs w:val="20"/>
          <w:color w:val="auto"/>
        </w:rPr>
      </w:pPr>
    </w:p>
    <w:p>
      <w:pPr>
        <w:ind w:left="360" w:right="519" w:firstLine="331"/>
        <w:spacing w:after="0" w:line="262" w:lineRule="auto"/>
        <w:rPr>
          <w:sz w:val="20"/>
          <w:szCs w:val="20"/>
          <w:color w:val="auto"/>
        </w:rPr>
      </w:pPr>
      <w:r>
        <w:rPr>
          <w:rFonts w:ascii="Times New Roman" w:cs="Times New Roman" w:eastAsia="Times New Roman" w:hAnsi="Times New Roman"/>
          <w:sz w:val="14"/>
          <w:szCs w:val="14"/>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9.03 Effect of Supplemental Indentures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39" w:firstLine="331"/>
        <w:spacing w:after="0" w:line="298" w:lineRule="auto"/>
        <w:rPr>
          <w:sz w:val="20"/>
          <w:szCs w:val="20"/>
          <w:color w:val="auto"/>
        </w:rPr>
      </w:pPr>
      <w:r>
        <w:rPr>
          <w:rFonts w:ascii="Times New Roman" w:cs="Times New Roman" w:eastAsia="Times New Roman" w:hAnsi="Times New Roman"/>
          <w:sz w:val="12"/>
          <w:szCs w:val="12"/>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9.04 Securities Affected by Supplemental Indentures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99" w:firstLine="331"/>
        <w:spacing w:after="0" w:line="246" w:lineRule="auto"/>
        <w:rPr>
          <w:sz w:val="20"/>
          <w:szCs w:val="20"/>
          <w:color w:val="auto"/>
        </w:rPr>
      </w:pPr>
      <w:r>
        <w:rPr>
          <w:rFonts w:ascii="Times New Roman" w:cs="Times New Roman" w:eastAsia="Times New Roman" w:hAnsi="Times New Roman"/>
          <w:sz w:val="14"/>
          <w:szCs w:val="14"/>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38" w:right="1440" w:bottom="1440" w:gutter="0" w:footer="0" w:header="0"/>
        </w:sectPr>
      </w:pPr>
    </w:p>
    <w:bookmarkStart w:id="89" w:name="page90"/>
    <w:bookmarkEnd w:id="89"/>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9.05 Execution of Supplemental Indentures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291" w:lineRule="auto"/>
        <w:rPr>
          <w:sz w:val="20"/>
          <w:szCs w:val="20"/>
          <w:color w:val="auto"/>
        </w:rPr>
      </w:pPr>
      <w:r>
        <w:rPr>
          <w:rFonts w:ascii="Times New Roman" w:cs="Times New Roman" w:eastAsia="Times New Roman" w:hAnsi="Times New Roman"/>
          <w:sz w:val="12"/>
          <w:szCs w:val="12"/>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23" w:lineRule="exact"/>
        <w:rPr>
          <w:sz w:val="20"/>
          <w:szCs w:val="20"/>
          <w:color w:val="auto"/>
        </w:rPr>
      </w:pPr>
    </w:p>
    <w:p>
      <w:pPr>
        <w:ind w:left="360" w:right="459" w:firstLine="331"/>
        <w:spacing w:after="0" w:line="303" w:lineRule="auto"/>
        <w:rPr>
          <w:sz w:val="20"/>
          <w:szCs w:val="20"/>
          <w:color w:val="auto"/>
        </w:rPr>
      </w:pPr>
      <w:r>
        <w:rPr>
          <w:rFonts w:ascii="Times New Roman" w:cs="Times New Roman" w:eastAsia="Times New Roman" w:hAnsi="Times New Roman"/>
          <w:sz w:val="12"/>
          <w:szCs w:val="12"/>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10</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10.01 Company May Consolidate, Etc.</w:t>
      </w:r>
    </w:p>
    <w:p>
      <w:pPr>
        <w:spacing w:after="0" w:line="87" w:lineRule="exact"/>
        <w:rPr>
          <w:sz w:val="20"/>
          <w:szCs w:val="20"/>
          <w:color w:val="auto"/>
        </w:rPr>
      </w:pPr>
    </w:p>
    <w:p>
      <w:pPr>
        <w:ind w:left="360" w:right="379" w:firstLine="331"/>
        <w:spacing w:after="0" w:line="244" w:lineRule="auto"/>
        <w:rPr>
          <w:sz w:val="20"/>
          <w:szCs w:val="20"/>
          <w:color w:val="auto"/>
        </w:rPr>
      </w:pPr>
      <w:r>
        <w:rPr>
          <w:rFonts w:ascii="Times New Roman" w:cs="Times New Roman" w:eastAsia="Times New Roman" w:hAnsi="Times New Roman"/>
          <w:sz w:val="14"/>
          <w:szCs w:val="14"/>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34" w:right="1440" w:bottom="1440" w:gutter="0" w:footer="0" w:header="0"/>
        </w:sectPr>
      </w:pPr>
    </w:p>
    <w:bookmarkStart w:id="90" w:name="page91"/>
    <w:bookmarkEnd w:id="90"/>
    <w:p>
      <w:pPr>
        <w:ind w:left="360" w:right="479"/>
        <w:spacing w:after="0" w:line="30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10.02 Successor Entity Substituted</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749"/>
        <w:spacing w:after="0" w:line="247" w:lineRule="auto"/>
        <w:tabs>
          <w:tab w:leader="none" w:pos="1297"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64" w:lineRule="exact"/>
        <w:rPr>
          <w:rFonts w:ascii="Times New Roman" w:cs="Times New Roman" w:eastAsia="Times New Roman" w:hAnsi="Times New Roman"/>
          <w:sz w:val="14"/>
          <w:szCs w:val="14"/>
          <w:b w:val="1"/>
          <w:bCs w:val="1"/>
          <w:color w:val="auto"/>
        </w:rPr>
      </w:pPr>
    </w:p>
    <w:p>
      <w:pPr>
        <w:ind w:left="360" w:right="519" w:firstLine="749"/>
        <w:spacing w:after="0" w:line="262" w:lineRule="auto"/>
        <w:tabs>
          <w:tab w:leader="none" w:pos="1304"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54" w:lineRule="exact"/>
        <w:rPr>
          <w:rFonts w:ascii="Times New Roman" w:cs="Times New Roman" w:eastAsia="Times New Roman" w:hAnsi="Times New Roman"/>
          <w:sz w:val="14"/>
          <w:szCs w:val="14"/>
          <w:b w:val="1"/>
          <w:bCs w:val="1"/>
          <w:color w:val="auto"/>
        </w:rPr>
      </w:pPr>
    </w:p>
    <w:p>
      <w:pPr>
        <w:ind w:left="360" w:right="479" w:firstLine="749"/>
        <w:spacing w:after="0" w:line="252" w:lineRule="auto"/>
        <w:tabs>
          <w:tab w:leader="none" w:pos="1289"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11</w:t>
      </w:r>
    </w:p>
    <w:p>
      <w:pPr>
        <w:spacing w:after="0" w:line="16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11.01 Satisfaction and Discharge of Indenture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19" w:firstLine="331"/>
        <w:spacing w:after="0" w:line="287" w:lineRule="auto"/>
        <w:rPr>
          <w:sz w:val="20"/>
          <w:szCs w:val="20"/>
          <w:color w:val="auto"/>
        </w:rPr>
      </w:pPr>
      <w:r>
        <w:rPr>
          <w:rFonts w:ascii="Times New Roman" w:cs="Times New Roman" w:eastAsia="Times New Roman" w:hAnsi="Times New Roman"/>
          <w:sz w:val="12"/>
          <w:szCs w:val="12"/>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w:t>
      </w:r>
    </w:p>
    <w:p>
      <w:pPr>
        <w:spacing w:after="0" w:line="2" w:lineRule="exact"/>
        <w:rPr>
          <w:sz w:val="20"/>
          <w:szCs w:val="20"/>
          <w:color w:val="auto"/>
        </w:rPr>
      </w:pPr>
    </w:p>
    <w:p>
      <w:pPr>
        <w:ind w:left="360" w:right="499" w:firstLine="3"/>
        <w:spacing w:after="0" w:line="293" w:lineRule="auto"/>
        <w:tabs>
          <w:tab w:leader="none" w:pos="552"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38" w:right="1440" w:bottom="1440" w:gutter="0" w:footer="0" w:header="0"/>
        </w:sectPr>
      </w:pPr>
    </w:p>
    <w:bookmarkStart w:id="91" w:name="page92"/>
    <w:bookmarkEnd w:id="91"/>
    <w:p>
      <w:pPr>
        <w:ind w:left="360" w:right="459"/>
        <w:spacing w:after="0" w:line="29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11.02 Discharge of Obligations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39" w:firstLine="331"/>
        <w:spacing w:after="0" w:line="244" w:lineRule="auto"/>
        <w:rPr>
          <w:sz w:val="20"/>
          <w:szCs w:val="20"/>
          <w:color w:val="auto"/>
        </w:rPr>
      </w:pPr>
      <w:r>
        <w:rPr>
          <w:rFonts w:ascii="Times New Roman" w:cs="Times New Roman" w:eastAsia="Times New Roman" w:hAnsi="Times New Roman"/>
          <w:sz w:val="14"/>
          <w:szCs w:val="14"/>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Thereafter, Sections 7.06 and 11.05 shall survive.</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11.03 Deposited Moneys to be Held in Trust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59" w:firstLine="331"/>
        <w:spacing w:after="0" w:line="314" w:lineRule="auto"/>
        <w:rPr>
          <w:sz w:val="20"/>
          <w:szCs w:val="20"/>
          <w:color w:val="auto"/>
        </w:rPr>
      </w:pPr>
      <w:r>
        <w:rPr>
          <w:rFonts w:ascii="Times New Roman" w:cs="Times New Roman" w:eastAsia="Times New Roman" w:hAnsi="Times New Roman"/>
          <w:sz w:val="12"/>
          <w:szCs w:val="12"/>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11.04 Payment of Moneys Held by Paying Agents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jc w:val="both"/>
        <w:ind w:left="360" w:right="519" w:firstLine="331"/>
        <w:spacing w:after="0" w:line="252"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38" w:right="1440" w:bottom="1440" w:gutter="0" w:footer="0" w:header="0"/>
        </w:sectPr>
      </w:pPr>
    </w:p>
    <w:bookmarkStart w:id="92" w:name="page93"/>
    <w:bookmarkEnd w:id="92"/>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11.05 Repayment to Company</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79" w:firstLine="331"/>
        <w:spacing w:after="0" w:line="293" w:lineRule="auto"/>
        <w:rPr>
          <w:sz w:val="20"/>
          <w:szCs w:val="20"/>
          <w:color w:val="auto"/>
        </w:rPr>
      </w:pPr>
      <w:r>
        <w:rPr>
          <w:rFonts w:ascii="Times New Roman" w:cs="Times New Roman" w:eastAsia="Times New Roman" w:hAnsi="Times New Roman"/>
          <w:sz w:val="12"/>
          <w:szCs w:val="12"/>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IMMUNITY OF INCORPORATORS, STOCKHOLDERS, OFFICERS AND</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12.01 No Recourse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243"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34"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204710" cy="31750"/>
                    </a:xfrm>
                    <a:prstGeom prst="rect">
                      <a:avLst/>
                    </a:prstGeom>
                    <a:noFill/>
                  </pic:spPr>
                </pic:pic>
              </a:graphicData>
            </a:graphic>
          </wp:anchor>
        </w:drawing>
        <w:t>ARTICLE 13</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13.01 Effect on Successors and Assigns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679" w:firstLine="331"/>
        <w:spacing w:after="0" w:line="262" w:lineRule="auto"/>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made by or on behalf of the Company shall bind its successors and assigns, whether so expressed or not.</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13.02 Actions by Successor</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jc w:val="both"/>
        <w:ind w:left="360" w:right="419" w:firstLine="331"/>
        <w:spacing w:after="0" w:line="252"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13.03 Surrender of Company Powers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jc w:val="both"/>
        <w:ind w:left="360" w:right="419" w:firstLine="331"/>
        <w:spacing w:after="0" w:line="345" w:lineRule="auto"/>
        <w:rPr>
          <w:sz w:val="20"/>
          <w:szCs w:val="20"/>
          <w:color w:val="auto"/>
        </w:rPr>
      </w:pPr>
      <w:r>
        <w:rPr>
          <w:rFonts w:ascii="Times New Roman" w:cs="Times New Roman" w:eastAsia="Times New Roman" w:hAnsi="Times New Roman"/>
          <w:sz w:val="12"/>
          <w:szCs w:val="12"/>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13.04 Notices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246" w:lineRule="auto"/>
        <w:rPr>
          <w:sz w:val="20"/>
          <w:szCs w:val="20"/>
          <w:color w:val="auto"/>
        </w:rPr>
      </w:pPr>
      <w:r>
        <w:rPr>
          <w:rFonts w:ascii="Times New Roman" w:cs="Times New Roman" w:eastAsia="Times New Roman" w:hAnsi="Times New Roman"/>
          <w:sz w:val="14"/>
          <w:szCs w:val="14"/>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-226695</wp:posOffset>
            </wp:positionV>
            <wp:extent cx="79438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94385" cy="6350"/>
                    </a:xfrm>
                    <a:prstGeom prst="rect">
                      <a:avLst/>
                    </a:prstGeom>
                    <a:noFill/>
                  </pic:spPr>
                </pic:pic>
              </a:graphicData>
            </a:graphic>
          </wp:anchor>
        </w:drawing>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13.05 Governing Law; Jury Trial Waiver</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99" w:firstLine="331"/>
        <w:spacing w:after="0" w:line="262" w:lineRule="auto"/>
        <w:rPr>
          <w:sz w:val="20"/>
          <w:szCs w:val="20"/>
          <w:color w:val="auto"/>
        </w:rPr>
      </w:pPr>
      <w:r>
        <w:rPr>
          <w:rFonts w:ascii="Times New Roman" w:cs="Times New Roman" w:eastAsia="Times New Roman" w:hAnsi="Times New Roman"/>
          <w:sz w:val="14"/>
          <w:szCs w:val="14"/>
          <w:color w:val="auto"/>
        </w:rPr>
        <w:t>This Indenture and each Security shall be governed by, and construed in accordance with, the internal laws of the State of New York, except to the extent that the Trust Indenture Act is applicable.</w:t>
      </w:r>
    </w:p>
    <w:p>
      <w:pPr>
        <w:spacing w:after="0" w:line="136" w:lineRule="exact"/>
        <w:rPr>
          <w:sz w:val="20"/>
          <w:szCs w:val="20"/>
          <w:color w:val="auto"/>
        </w:rPr>
      </w:pPr>
    </w:p>
    <w:p>
      <w:pPr>
        <w:ind w:left="360" w:right="499" w:firstLine="331"/>
        <w:spacing w:after="0" w:line="252" w:lineRule="auto"/>
        <w:rPr>
          <w:sz w:val="20"/>
          <w:szCs w:val="20"/>
          <w:color w:val="auto"/>
        </w:rPr>
      </w:pPr>
      <w:r>
        <w:rPr>
          <w:rFonts w:ascii="Times New Roman" w:cs="Times New Roman" w:eastAsia="Times New Roman" w:hAnsi="Times New Roman"/>
          <w:sz w:val="14"/>
          <w:szCs w:val="14"/>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34" w:right="1440" w:bottom="1440" w:gutter="0" w:footer="0" w:header="0"/>
        </w:sectPr>
      </w:pPr>
    </w:p>
    <w:bookmarkStart w:id="94" w:name="page95"/>
    <w:bookmarkEnd w:id="94"/>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13.06 Treatment of Securities as Debt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19" w:firstLine="331"/>
        <w:spacing w:after="0" w:line="262" w:lineRule="auto"/>
        <w:rPr>
          <w:sz w:val="20"/>
          <w:szCs w:val="20"/>
          <w:color w:val="auto"/>
        </w:rPr>
      </w:pPr>
      <w:r>
        <w:rPr>
          <w:rFonts w:ascii="Times New Roman" w:cs="Times New Roman" w:eastAsia="Times New Roman" w:hAnsi="Times New Roman"/>
          <w:sz w:val="14"/>
          <w:szCs w:val="14"/>
          <w:color w:val="auto"/>
        </w:rPr>
        <w:t>It is intended that the Securities will be treated as indebtedness and not as equity for federal income tax purposes. The provisions of this Indenture shall be interpreted to further this intention.</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13.07 Certificates and Opinions as to Conditions Precedent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749"/>
        <w:spacing w:after="0" w:line="246" w:lineRule="auto"/>
        <w:tabs>
          <w:tab w:leader="none" w:pos="1297" w:val="left"/>
        </w:tabs>
        <w:numPr>
          <w:ilvl w:val="1"/>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65" w:lineRule="exact"/>
        <w:rPr>
          <w:rFonts w:ascii="Times New Roman" w:cs="Times New Roman" w:eastAsia="Times New Roman" w:hAnsi="Times New Roman"/>
          <w:sz w:val="14"/>
          <w:szCs w:val="14"/>
          <w:b w:val="1"/>
          <w:bCs w:val="1"/>
          <w:color w:val="auto"/>
        </w:rPr>
      </w:pPr>
    </w:p>
    <w:p>
      <w:pPr>
        <w:ind w:left="360" w:right="459" w:firstLine="749"/>
        <w:spacing w:after="0" w:line="287" w:lineRule="auto"/>
        <w:tabs>
          <w:tab w:leader="none" w:pos="1304" w:val="left"/>
        </w:tabs>
        <w:numPr>
          <w:ilvl w:val="1"/>
          <w:numId w:val="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w:t>
      </w:r>
    </w:p>
    <w:p>
      <w:pPr>
        <w:spacing w:after="0" w:line="1" w:lineRule="exact"/>
        <w:rPr>
          <w:rFonts w:ascii="Times New Roman" w:cs="Times New Roman" w:eastAsia="Times New Roman" w:hAnsi="Times New Roman"/>
          <w:sz w:val="12"/>
          <w:szCs w:val="12"/>
          <w:b w:val="1"/>
          <w:bCs w:val="1"/>
          <w:color w:val="auto"/>
        </w:rPr>
      </w:pPr>
    </w:p>
    <w:p>
      <w:pPr>
        <w:ind w:left="360" w:right="419" w:firstLine="3"/>
        <w:spacing w:after="0" w:line="243" w:lineRule="auto"/>
        <w:tabs>
          <w:tab w:leader="none" w:pos="59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13.08 Payments on Business Days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19" w:firstLine="331"/>
        <w:spacing w:after="0" w:line="247" w:lineRule="auto"/>
        <w:rPr>
          <w:sz w:val="20"/>
          <w:szCs w:val="20"/>
          <w:color w:val="auto"/>
        </w:rPr>
      </w:pP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34" w:right="1440" w:bottom="1440" w:gutter="0" w:footer="0" w:header="0"/>
        </w:sectPr>
      </w:pPr>
    </w:p>
    <w:bookmarkStart w:id="95" w:name="page96"/>
    <w:bookmarkEnd w:id="95"/>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13.09 Conflict with Trust Indenture Act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859" w:firstLine="331"/>
        <w:spacing w:after="0" w:line="262" w:lineRule="auto"/>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 318(c) of the Trust Indenture Act, such imposed duties shall control.</w:t>
      </w:r>
    </w:p>
    <w:p>
      <w:pPr>
        <w:spacing w:after="0" w:line="1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13.10 Counterparts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19" w:firstLine="331"/>
        <w:spacing w:after="0" w:line="248"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13.11 Separability</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jc w:val="both"/>
        <w:ind w:left="360" w:right="559" w:firstLine="331"/>
        <w:spacing w:after="0" w:line="248"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13.12 Compliance Certificates</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245"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13.13 U.S.A Patriot Act</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379" w:firstLine="331"/>
        <w:spacing w:after="0" w:line="248"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9019"/>
          </w:cols>
          <w:pgMar w:left="1440" w:top="234" w:right="1440" w:bottom="1440" w:gutter="0" w:footer="0" w:header="0"/>
        </w:sectPr>
      </w:pPr>
    </w:p>
    <w:bookmarkStart w:id="96" w:name="page97"/>
    <w:bookmarkEnd w:id="96"/>
    <w:p>
      <w:pPr>
        <w:ind w:left="7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Section 13.14 Force Majeure</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ind w:left="360" w:right="459" w:firstLine="331"/>
        <w:spacing w:after="0" w:line="246" w:lineRule="auto"/>
        <w:rPr>
          <w:sz w:val="20"/>
          <w:szCs w:val="20"/>
          <w:color w:val="auto"/>
        </w:rPr>
      </w:pPr>
      <w:r>
        <w:rPr>
          <w:rFonts w:ascii="Times New Roman" w:cs="Times New Roman" w:eastAsia="Times New Roman" w:hAnsi="Times New Roman"/>
          <w:sz w:val="14"/>
          <w:szCs w:val="14"/>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Section 13.15 Table of Contents; Headings.</w:t>
      </w:r>
    </w:p>
    <w:p>
      <w:pPr>
        <w:spacing w:after="0" w:line="87" w:lineRule="exact"/>
        <w:rPr>
          <w:sz w:val="20"/>
          <w:szCs w:val="20"/>
          <w:color w:val="auto"/>
        </w:rPr>
      </w:pPr>
    </w:p>
    <w:p>
      <w:pPr>
        <w:ind w:left="360" w:right="719" w:firstLine="331"/>
        <w:spacing w:after="0" w:line="262" w:lineRule="auto"/>
        <w:rPr>
          <w:sz w:val="20"/>
          <w:szCs w:val="20"/>
          <w:color w:val="auto"/>
        </w:rPr>
      </w:pPr>
      <w:r>
        <w:rPr>
          <w:rFonts w:ascii="Times New Roman" w:cs="Times New Roman" w:eastAsia="Times New Roman" w:hAnsi="Times New Roman"/>
          <w:sz w:val="14"/>
          <w:szCs w:val="14"/>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9019"/>
          </w:cols>
          <w:pgMar w:left="1440" w:top="234" w:right="1440" w:bottom="1440" w:gutter="0" w:footer="0" w:header="0"/>
        </w:sectPr>
      </w:pPr>
    </w:p>
    <w:bookmarkStart w:id="97" w:name="page98"/>
    <w:bookmarkEnd w:id="97"/>
    <w:p>
      <w:pPr>
        <w:ind w:left="70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2"/>
          <w:szCs w:val="12"/>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2"/>
          <w:szCs w:val="12"/>
          <w:color w:val="auto"/>
        </w:rPr>
        <w:t>, the parties hereto have caused this Indenture to be duly executed all as of the day and year first above written.</w:t>
      </w:r>
    </w:p>
    <w:p>
      <w:pPr>
        <w:spacing w:after="0" w:line="20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IN8</w:t>
      </w:r>
      <w:r>
        <w:rPr>
          <w:rFonts w:ascii="Times New Roman" w:cs="Times New Roman" w:eastAsia="Times New Roman" w:hAnsi="Times New Roman"/>
          <w:sz w:val="11"/>
          <w:szCs w:val="11"/>
          <w:b w:val="1"/>
          <w:bCs w:val="1"/>
          <w:color w:val="auto"/>
        </w:rPr>
        <w:t>BIO</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8890</wp:posOffset>
            </wp:positionV>
            <wp:extent cx="182372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1823720" cy="6350"/>
                    </a:xfrm>
                    <a:prstGeom prst="rect">
                      <a:avLst/>
                    </a:prstGeom>
                    <a:noFill/>
                  </pic:spPr>
                </pic:pic>
              </a:graphicData>
            </a:graphic>
          </wp:anchor>
        </w:drawing>
      </w:r>
    </w:p>
    <w:p>
      <w:pPr>
        <w:spacing w:after="0" w:line="1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8890</wp:posOffset>
            </wp:positionV>
            <wp:extent cx="182372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1823720" cy="6350"/>
                    </a:xfrm>
                    <a:prstGeom prst="rect">
                      <a:avLst/>
                    </a:prstGeom>
                    <a:noFill/>
                  </pic:spPr>
                </pic:pic>
              </a:graphicData>
            </a:graphic>
          </wp:anchor>
        </w:drawing>
      </w:r>
    </w:p>
    <w:p>
      <w:pPr>
        <w:spacing w:after="0" w:line="1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8890</wp:posOffset>
            </wp:positionV>
            <wp:extent cx="182372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1823720" cy="6350"/>
                    </a:xfrm>
                    <a:prstGeom prst="rect">
                      <a:avLst/>
                    </a:prstGeom>
                    <a:noFill/>
                  </pic:spPr>
                </pic:pic>
              </a:graphicData>
            </a:graphic>
          </wp:anchor>
        </w:drawing>
      </w:r>
    </w:p>
    <w:p>
      <w:pPr>
        <w:spacing w:after="0" w:line="16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1"/>
          <w:szCs w:val="11"/>
          <w:b w:val="1"/>
          <w:bCs w:val="1"/>
          <w:color w:val="auto"/>
        </w:rPr>
        <w:t>RUSTEE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Trustee</w:t>
      </w:r>
    </w:p>
    <w:p>
      <w:pPr>
        <w:spacing w:after="0" w:line="16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8890</wp:posOffset>
            </wp:positionV>
            <wp:extent cx="182372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1823720" cy="6350"/>
                    </a:xfrm>
                    <a:prstGeom prst="rect">
                      <a:avLst/>
                    </a:prstGeom>
                    <a:noFill/>
                  </pic:spPr>
                </pic:pic>
              </a:graphicData>
            </a:graphic>
          </wp:anchor>
        </w:drawing>
      </w:r>
    </w:p>
    <w:p>
      <w:pPr>
        <w:spacing w:after="0" w:line="1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8890</wp:posOffset>
            </wp:positionV>
            <wp:extent cx="182372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1823720" cy="6350"/>
                    </a:xfrm>
                    <a:prstGeom prst="rect">
                      <a:avLst/>
                    </a:prstGeom>
                    <a:noFill/>
                  </pic:spPr>
                </pic:pic>
              </a:graphicData>
            </a:graphic>
          </wp:anchor>
        </w:drawing>
      </w:r>
    </w:p>
    <w:p>
      <w:pPr>
        <w:spacing w:after="0" w:line="16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8890</wp:posOffset>
            </wp:positionV>
            <wp:extent cx="182372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1823720" cy="6350"/>
                    </a:xfrm>
                    <a:prstGeom prst="rect">
                      <a:avLst/>
                    </a:prstGeom>
                    <a:noFill/>
                  </pic:spPr>
                </pic:pic>
              </a:graphicData>
            </a:graphic>
          </wp:anchor>
        </w:drawing>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9019"/>
          </w:cols>
          <w:pgMar w:left="1440" w:top="234" w:right="1440" w:bottom="1440" w:gutter="0" w:footer="0" w:header="0"/>
        </w:sectPr>
      </w:pPr>
    </w:p>
    <w:bookmarkStart w:id="98" w:name="page99"/>
    <w:bookmarkEnd w:id="98"/>
    <w:p>
      <w:pPr>
        <w:ind w:left="3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204710" cy="31750"/>
                    </a:xfrm>
                    <a:prstGeom prst="rect">
                      <a:avLst/>
                    </a:prstGeom>
                    <a:noFill/>
                  </pic:spPr>
                </pic:pic>
              </a:graphicData>
            </a:graphic>
          </wp:anchor>
        </w:drawing>
        <w:t>CROSS-REFERENCE TABLE (1)</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51"/>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Section of Trust Indenture Act of 1939, as Amended</w:t>
            </w:r>
          </w:p>
        </w:tc>
        <w:tc>
          <w:tcPr>
            <w:tcW w:w="4800" w:type="dxa"/>
            <w:vAlign w:val="bottom"/>
          </w:tcPr>
          <w:p>
            <w:pPr>
              <w:spacing w:after="0"/>
              <w:rPr>
                <w:sz w:val="13"/>
                <w:szCs w:val="13"/>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Section of Indenture</w:t>
            </w:r>
          </w:p>
        </w:tc>
      </w:tr>
      <w:tr>
        <w:trPr>
          <w:trHeight w:val="130"/>
        </w:trPr>
        <w:tc>
          <w:tcPr>
            <w:tcW w:w="2400" w:type="dxa"/>
            <w:vAlign w:val="bottom"/>
          </w:tcPr>
          <w:p>
            <w:pPr>
              <w:spacing w:after="0" w:line="130" w:lineRule="exact"/>
              <w:rPr>
                <w:sz w:val="20"/>
                <w:szCs w:val="20"/>
                <w:color w:val="auto"/>
              </w:rPr>
            </w:pPr>
            <w:r>
              <w:rPr>
                <w:rFonts w:ascii="Times New Roman" w:cs="Times New Roman" w:eastAsia="Times New Roman" w:hAnsi="Times New Roman"/>
                <w:sz w:val="14"/>
                <w:szCs w:val="14"/>
                <w:color w:val="auto"/>
              </w:rPr>
              <w:t>310(a)</w:t>
            </w:r>
          </w:p>
        </w:tc>
        <w:tc>
          <w:tcPr>
            <w:tcW w:w="4800" w:type="dxa"/>
            <w:vAlign w:val="bottom"/>
          </w:tcPr>
          <w:p>
            <w:pPr>
              <w:spacing w:after="0"/>
              <w:rPr>
                <w:sz w:val="11"/>
                <w:szCs w:val="11"/>
                <w:color w:val="auto"/>
              </w:rPr>
            </w:pPr>
          </w:p>
        </w:tc>
        <w:tc>
          <w:tcPr>
            <w:tcW w:w="1080" w:type="dxa"/>
            <w:vAlign w:val="bottom"/>
          </w:tcPr>
          <w:p>
            <w:pPr>
              <w:spacing w:after="0" w:line="130" w:lineRule="exact"/>
              <w:rPr>
                <w:sz w:val="20"/>
                <w:szCs w:val="20"/>
                <w:color w:val="auto"/>
              </w:rPr>
            </w:pPr>
            <w:r>
              <w:rPr>
                <w:rFonts w:ascii="Times New Roman" w:cs="Times New Roman" w:eastAsia="Times New Roman" w:hAnsi="Times New Roman"/>
                <w:sz w:val="14"/>
                <w:szCs w:val="14"/>
                <w:color w:val="auto"/>
              </w:rPr>
              <w:t>7.09</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310(b)</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7.08</w:t>
            </w:r>
          </w:p>
        </w:tc>
      </w:tr>
      <w:tr>
        <w:trPr>
          <w:trHeight w:val="162"/>
        </w:trPr>
        <w:tc>
          <w:tcPr>
            <w:tcW w:w="2400" w:type="dxa"/>
            <w:vAlign w:val="bottom"/>
          </w:tcPr>
          <w:p>
            <w:pPr>
              <w:spacing w:after="0"/>
              <w:rPr>
                <w:sz w:val="14"/>
                <w:szCs w:val="14"/>
                <w:color w:val="auto"/>
              </w:rPr>
            </w:pP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7.10</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310(c)</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311(a)</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7.13</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311(b)</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7.13</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311(c)</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312(a)</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5.01</w:t>
            </w:r>
          </w:p>
        </w:tc>
      </w:tr>
      <w:tr>
        <w:trPr>
          <w:trHeight w:val="162"/>
        </w:trPr>
        <w:tc>
          <w:tcPr>
            <w:tcW w:w="2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5.02(a)</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312(b)</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5.02(c)</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312(c)</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5.02(c)</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313(a)</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5.04(a)</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313(b)</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5.04(b)</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313(c)</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5.04(a)</w:t>
            </w:r>
          </w:p>
        </w:tc>
      </w:tr>
      <w:tr>
        <w:trPr>
          <w:trHeight w:val="162"/>
        </w:trPr>
        <w:tc>
          <w:tcPr>
            <w:tcW w:w="2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5.04(b)</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313(d)</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5.04(c)</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314(a)</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5.03</w:t>
            </w:r>
          </w:p>
        </w:tc>
      </w:tr>
      <w:tr>
        <w:trPr>
          <w:trHeight w:val="162"/>
        </w:trPr>
        <w:tc>
          <w:tcPr>
            <w:tcW w:w="2400" w:type="dxa"/>
            <w:vAlign w:val="bottom"/>
          </w:tcPr>
          <w:p>
            <w:pPr>
              <w:spacing w:after="0"/>
              <w:rPr>
                <w:sz w:val="14"/>
                <w:szCs w:val="14"/>
                <w:color w:val="auto"/>
              </w:rPr>
            </w:pP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13.12</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314(b)</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314(c)</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13.07(a)</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314(d)</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314(e)</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13.07(b)</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314(f)</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315(a)</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7.01(a)</w:t>
            </w:r>
          </w:p>
        </w:tc>
      </w:tr>
      <w:tr>
        <w:trPr>
          <w:trHeight w:val="162"/>
        </w:trPr>
        <w:tc>
          <w:tcPr>
            <w:tcW w:w="2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7.01(b)</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315(b)</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7.14</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315(c)</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7.01</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315(d)</w:t>
            </w:r>
          </w:p>
        </w:tc>
        <w:tc>
          <w:tcPr>
            <w:tcW w:w="48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7.01(b)</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315(e)</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6.07</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316(a)</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6.06</w:t>
            </w:r>
          </w:p>
        </w:tc>
      </w:tr>
      <w:tr>
        <w:trPr>
          <w:trHeight w:val="162"/>
        </w:trPr>
        <w:tc>
          <w:tcPr>
            <w:tcW w:w="2400" w:type="dxa"/>
            <w:vAlign w:val="bottom"/>
          </w:tcPr>
          <w:p>
            <w:pPr>
              <w:spacing w:after="0"/>
              <w:rPr>
                <w:sz w:val="14"/>
                <w:szCs w:val="14"/>
                <w:color w:val="auto"/>
              </w:rPr>
            </w:pP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8.04</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316(b)</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6.04</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316(c)</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8.01</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317(a)</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6.02</w:t>
            </w:r>
          </w:p>
        </w:tc>
      </w:t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317(b)</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4.03</w:t>
            </w:r>
          </w:p>
        </w:tc>
      </w:tr>
      <w:tr>
        <w:trPr>
          <w:trHeight w:val="175"/>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318(a)</w:t>
            </w:r>
          </w:p>
        </w:tc>
        <w:tc>
          <w:tcPr>
            <w:tcW w:w="5880" w:type="dxa"/>
            <w:vAlign w:val="bottom"/>
            <w:gridSpan w:val="2"/>
          </w:tcPr>
          <w:p>
            <w:pPr>
              <w:ind w:left="4800"/>
              <w:spacing w:after="0"/>
              <w:rPr>
                <w:sz w:val="20"/>
                <w:szCs w:val="20"/>
                <w:color w:val="auto"/>
              </w:rPr>
            </w:pPr>
            <w:r>
              <w:rPr>
                <w:rFonts w:ascii="Times New Roman" w:cs="Times New Roman" w:eastAsia="Times New Roman" w:hAnsi="Times New Roman"/>
                <w:sz w:val="14"/>
                <w:szCs w:val="14"/>
                <w:color w:val="auto"/>
              </w:rPr>
              <w:t>13.09</w:t>
            </w:r>
          </w:p>
        </w:tc>
      </w:tr>
    </w:tbl>
    <w:p>
      <w:pPr>
        <w:spacing w:after="0" w:line="171" w:lineRule="exact"/>
        <w:rPr>
          <w:sz w:val="20"/>
          <w:szCs w:val="20"/>
          <w:color w:val="auto"/>
        </w:rPr>
      </w:pPr>
    </w:p>
    <w:p>
      <w:pPr>
        <w:ind w:left="680" w:right="659" w:hanging="317"/>
        <w:spacing w:after="0" w:line="262" w:lineRule="auto"/>
        <w:tabs>
          <w:tab w:leader="none" w:pos="6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9019"/>
          </w:cols>
          <w:pgMar w:left="1440" w:top="234" w:right="1440" w:bottom="1440" w:gutter="0" w:footer="0" w:header="0"/>
        </w:sectPr>
      </w:pPr>
    </w:p>
    <w:bookmarkStart w:id="99" w:name="page100"/>
    <w:bookmarkEnd w:id="99"/>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127635</wp:posOffset>
            </wp:positionV>
            <wp:extent cx="1031240" cy="341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1031240"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Jaime L. Chase</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+1 202 728 7096</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jchase@cooley.com</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November 7, 2025</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IN8bio, Inc.</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350 5th Avenue</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Suite 5330</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New York, New York 10118</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79" w:lineRule="exact"/>
        <w:rPr>
          <w:sz w:val="20"/>
          <w:szCs w:val="20"/>
          <w:color w:val="auto"/>
        </w:rPr>
      </w:pPr>
    </w:p>
    <w:p>
      <w:pPr>
        <w:ind w:left="360" w:right="459"/>
        <w:spacing w:after="0" w:line="247" w:lineRule="auto"/>
        <w:rPr>
          <w:sz w:val="20"/>
          <w:szCs w:val="20"/>
          <w:color w:val="auto"/>
        </w:rPr>
      </w:pPr>
      <w:r>
        <w:rPr>
          <w:rFonts w:ascii="Times New Roman" w:cs="Times New Roman" w:eastAsia="Times New Roman" w:hAnsi="Times New Roman"/>
          <w:sz w:val="14"/>
          <w:szCs w:val="14"/>
          <w:color w:val="auto"/>
        </w:rPr>
        <w:t>We have acted as counsel to IN8bio,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by the Company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The Registration Statement includes a 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that provides it will be supplemented in the future by one or more prospectus supplements (each, a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The Registration Statement, including the Base Prospectus (as supplemented from time to time by one or more Prospectus Supplements) will provide for the registration by the Company of the sale of the following securities:</w:t>
      </w:r>
    </w:p>
    <w:p>
      <w:pPr>
        <w:spacing w:after="0" w:line="72" w:lineRule="exact"/>
        <w:rPr>
          <w:sz w:val="20"/>
          <w:szCs w:val="20"/>
          <w:color w:val="auto"/>
        </w:rPr>
      </w:pPr>
    </w:p>
    <w:p>
      <w:pPr>
        <w:ind w:left="1100" w:hanging="331"/>
        <w:spacing w:after="0"/>
        <w:tabs>
          <w:tab w:leader="none" w:pos="1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par value $0.0001 per share, of the Company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w:t>
      </w:r>
    </w:p>
    <w:p>
      <w:pPr>
        <w:spacing w:after="0" w:line="92" w:lineRule="exact"/>
        <w:rPr>
          <w:rFonts w:ascii="Times New Roman" w:cs="Times New Roman" w:eastAsia="Times New Roman" w:hAnsi="Times New Roman"/>
          <w:sz w:val="14"/>
          <w:szCs w:val="14"/>
          <w:color w:val="auto"/>
        </w:rPr>
      </w:pPr>
    </w:p>
    <w:p>
      <w:pPr>
        <w:ind w:left="1100" w:hanging="331"/>
        <w:spacing w:after="0"/>
        <w:tabs>
          <w:tab w:leader="none" w:pos="1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preferred stock, par value $0.0001 per share, of the Company (the “</w:t>
      </w:r>
      <w:r>
        <w:rPr>
          <w:rFonts w:ascii="Times New Roman" w:cs="Times New Roman" w:eastAsia="Times New Roman" w:hAnsi="Times New Roman"/>
          <w:sz w:val="14"/>
          <w:szCs w:val="14"/>
          <w:b w:val="1"/>
          <w:bCs w:val="1"/>
          <w:i w:val="1"/>
          <w:iCs w:val="1"/>
          <w:color w:val="auto"/>
        </w:rPr>
        <w:t>Preferred Stock</w:t>
      </w:r>
      <w:r>
        <w:rPr>
          <w:rFonts w:ascii="Times New Roman" w:cs="Times New Roman" w:eastAsia="Times New Roman" w:hAnsi="Times New Roman"/>
          <w:sz w:val="14"/>
          <w:szCs w:val="14"/>
          <w:color w:val="auto"/>
        </w:rPr>
        <w:t>”);</w:t>
      </w:r>
    </w:p>
    <w:p>
      <w:pPr>
        <w:spacing w:after="0" w:line="92" w:lineRule="exact"/>
        <w:rPr>
          <w:rFonts w:ascii="Times New Roman" w:cs="Times New Roman" w:eastAsia="Times New Roman" w:hAnsi="Times New Roman"/>
          <w:sz w:val="14"/>
          <w:szCs w:val="14"/>
          <w:color w:val="auto"/>
        </w:rPr>
      </w:pPr>
    </w:p>
    <w:p>
      <w:pPr>
        <w:ind w:left="1100" w:right="379" w:hanging="331"/>
        <w:spacing w:after="0" w:line="250" w:lineRule="auto"/>
        <w:tabs>
          <w:tab w:leader="none" w:pos="1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in one or more series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and the Company, in the form filed as Exhibit 4.4 to the Registration Statement and one or more indentures supplemental thereto with respect to any particular series of Debt Securities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and</w:t>
      </w:r>
    </w:p>
    <w:p>
      <w:pPr>
        <w:spacing w:after="0" w:line="70" w:lineRule="exact"/>
        <w:rPr>
          <w:rFonts w:ascii="Times New Roman" w:cs="Times New Roman" w:eastAsia="Times New Roman" w:hAnsi="Times New Roman"/>
          <w:sz w:val="14"/>
          <w:szCs w:val="14"/>
          <w:color w:val="auto"/>
        </w:rPr>
      </w:pPr>
    </w:p>
    <w:p>
      <w:pPr>
        <w:jc w:val="both"/>
        <w:ind w:left="1100" w:right="379" w:hanging="331"/>
        <w:spacing w:after="0" w:line="255" w:lineRule="auto"/>
        <w:tabs>
          <w:tab w:leader="none" w:pos="1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to purchase Common Stock, Preferred Stock, Debt Securities Rights or Units, which may be issued under one or more warrant agreements, to be dated on or about the date of the issuance of the Warrants thereunder, by and between a warrant agent to be selected by the Company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and the Company (each, a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w:t>
      </w:r>
    </w:p>
    <w:p>
      <w:pPr>
        <w:spacing w:after="0" w:line="65" w:lineRule="exact"/>
        <w:rPr>
          <w:rFonts w:ascii="Times New Roman" w:cs="Times New Roman" w:eastAsia="Times New Roman" w:hAnsi="Times New Roman"/>
          <w:sz w:val="14"/>
          <w:szCs w:val="14"/>
          <w:color w:val="auto"/>
        </w:rPr>
      </w:pPr>
    </w:p>
    <w:p>
      <w:pPr>
        <w:ind w:left="1100" w:right="399" w:hanging="331"/>
        <w:spacing w:after="0" w:line="255" w:lineRule="auto"/>
        <w:tabs>
          <w:tab w:leader="none" w:pos="1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(the “</w:t>
      </w:r>
      <w:r>
        <w:rPr>
          <w:rFonts w:ascii="Times New Roman" w:cs="Times New Roman" w:eastAsia="Times New Roman" w:hAnsi="Times New Roman"/>
          <w:sz w:val="14"/>
          <w:szCs w:val="14"/>
          <w:b w:val="1"/>
          <w:bCs w:val="1"/>
          <w:i w:val="1"/>
          <w:iCs w:val="1"/>
          <w:color w:val="auto"/>
        </w:rPr>
        <w:t>Rights</w:t>
      </w:r>
      <w:r>
        <w:rPr>
          <w:rFonts w:ascii="Times New Roman" w:cs="Times New Roman" w:eastAsia="Times New Roman" w:hAnsi="Times New Roman"/>
          <w:sz w:val="14"/>
          <w:szCs w:val="14"/>
          <w:color w:val="auto"/>
        </w:rPr>
        <w:t>”) to purchase Common Stock, Preferred Stock, Debt Securities, Warrants or Units (as defined below), which may be issued pursuant to one or more rights agreements, to be dated on or about the date of the issuance of the Rights thereunder, by and between a rights agent to be selected by the Company (the “</w:t>
      </w:r>
      <w:r>
        <w:rPr>
          <w:rFonts w:ascii="Times New Roman" w:cs="Times New Roman" w:eastAsia="Times New Roman" w:hAnsi="Times New Roman"/>
          <w:sz w:val="14"/>
          <w:szCs w:val="14"/>
          <w:b w:val="1"/>
          <w:bCs w:val="1"/>
          <w:i w:val="1"/>
          <w:iCs w:val="1"/>
          <w:color w:val="auto"/>
        </w:rPr>
        <w:t>Rights Agent</w:t>
      </w:r>
      <w:r>
        <w:rPr>
          <w:rFonts w:ascii="Times New Roman" w:cs="Times New Roman" w:eastAsia="Times New Roman" w:hAnsi="Times New Roman"/>
          <w:sz w:val="14"/>
          <w:szCs w:val="14"/>
          <w:color w:val="auto"/>
        </w:rPr>
        <w:t>”) and the Company (each, a “</w:t>
      </w:r>
      <w:r>
        <w:rPr>
          <w:rFonts w:ascii="Times New Roman" w:cs="Times New Roman" w:eastAsia="Times New Roman" w:hAnsi="Times New Roman"/>
          <w:sz w:val="14"/>
          <w:szCs w:val="14"/>
          <w:b w:val="1"/>
          <w:bCs w:val="1"/>
          <w:i w:val="1"/>
          <w:iCs w:val="1"/>
          <w:color w:val="auto"/>
        </w:rPr>
        <w:t>Rights Agreement</w:t>
      </w:r>
      <w:r>
        <w:rPr>
          <w:rFonts w:ascii="Times New Roman" w:cs="Times New Roman" w:eastAsia="Times New Roman" w:hAnsi="Times New Roman"/>
          <w:sz w:val="14"/>
          <w:szCs w:val="14"/>
          <w:color w:val="auto"/>
        </w:rPr>
        <w:t>”); and</w:t>
      </w:r>
    </w:p>
    <w:p>
      <w:pPr>
        <w:spacing w:after="0" w:line="65" w:lineRule="exact"/>
        <w:rPr>
          <w:rFonts w:ascii="Times New Roman" w:cs="Times New Roman" w:eastAsia="Times New Roman" w:hAnsi="Times New Roman"/>
          <w:sz w:val="14"/>
          <w:szCs w:val="14"/>
          <w:color w:val="auto"/>
        </w:rPr>
      </w:pPr>
    </w:p>
    <w:p>
      <w:pPr>
        <w:ind w:left="1100" w:right="399" w:hanging="331"/>
        <w:spacing w:after="0" w:line="255" w:lineRule="auto"/>
        <w:tabs>
          <w:tab w:leader="none" w:pos="11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(the “</w:t>
      </w:r>
      <w:r>
        <w:rPr>
          <w:rFonts w:ascii="Times New Roman" w:cs="Times New Roman" w:eastAsia="Times New Roman" w:hAnsi="Times New Roman"/>
          <w:sz w:val="14"/>
          <w:szCs w:val="14"/>
          <w:b w:val="1"/>
          <w:bCs w:val="1"/>
          <w:i w:val="1"/>
          <w:iCs w:val="1"/>
          <w:color w:val="auto"/>
        </w:rPr>
        <w:t>Units</w:t>
      </w:r>
      <w:r>
        <w:rPr>
          <w:rFonts w:ascii="Times New Roman" w:cs="Times New Roman" w:eastAsia="Times New Roman" w:hAnsi="Times New Roman"/>
          <w:sz w:val="14"/>
          <w:szCs w:val="14"/>
          <w:color w:val="auto"/>
        </w:rPr>
        <w:t>”) comprised of any combination of Common Stock, Preferred Stock, Debt Securities, Warrants and Rights, which may be issued pursuant to one or more unit agreements, to be dated on or about the date of the issuance of the Units thereunder, by and between a unit agent to be selected by the Company (the “</w:t>
      </w:r>
      <w:r>
        <w:rPr>
          <w:rFonts w:ascii="Times New Roman" w:cs="Times New Roman" w:eastAsia="Times New Roman" w:hAnsi="Times New Roman"/>
          <w:sz w:val="14"/>
          <w:szCs w:val="14"/>
          <w:b w:val="1"/>
          <w:bCs w:val="1"/>
          <w:i w:val="1"/>
          <w:iCs w:val="1"/>
          <w:color w:val="auto"/>
        </w:rPr>
        <w:t>Unit Agent</w:t>
      </w:r>
      <w:r>
        <w:rPr>
          <w:rFonts w:ascii="Times New Roman" w:cs="Times New Roman" w:eastAsia="Times New Roman" w:hAnsi="Times New Roman"/>
          <w:sz w:val="14"/>
          <w:szCs w:val="14"/>
          <w:color w:val="auto"/>
        </w:rPr>
        <w:t>”) and the Company (each, a “</w:t>
      </w:r>
      <w:r>
        <w:rPr>
          <w:rFonts w:ascii="Times New Roman" w:cs="Times New Roman" w:eastAsia="Times New Roman" w:hAnsi="Times New Roman"/>
          <w:sz w:val="14"/>
          <w:szCs w:val="14"/>
          <w:b w:val="1"/>
          <w:bCs w:val="1"/>
          <w:i w:val="1"/>
          <w:iCs w:val="1"/>
          <w:color w:val="auto"/>
        </w:rPr>
        <w:t>Unit Agreement</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360" w:right="379"/>
        <w:spacing w:after="0" w:line="247" w:lineRule="auto"/>
        <w:rPr>
          <w:sz w:val="20"/>
          <w:szCs w:val="20"/>
          <w:color w:val="auto"/>
        </w:rPr>
      </w:pPr>
      <w:r>
        <w:rPr>
          <w:rFonts w:ascii="Times New Roman" w:cs="Times New Roman" w:eastAsia="Times New Roman" w:hAnsi="Times New Roman"/>
          <w:sz w:val="14"/>
          <w:szCs w:val="14"/>
          <w:color w:val="auto"/>
        </w:rPr>
        <w:t>The Common Stock, the Preferred Stock, the Debt Securities, the Warrants, the Rights and the Units, plus any additional Common Stock, Preferred Stock, Debt Securities, Warrants, Rights and Units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The Securities are being registered for offer and sale from time to time pursuant to Rule 415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1299 PENNSYLVANIA AVENUE NW, SUITE 700 WASHINGTON, DC 20004-2400</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(202) 842-7800 F: (212) 842-7899 COOLEY.COM</w:t>
      </w:r>
    </w:p>
    <w:p>
      <w:pPr>
        <w:sectPr>
          <w:pgSz w:w="11900" w:h="16838" w:orient="portrait"/>
          <w:cols w:equalWidth="0" w:num="1">
            <w:col w:w="9019"/>
          </w:cols>
          <w:pgMar w:left="1440" w:top="123" w:right="1440" w:bottom="1440" w:gutter="0" w:footer="0" w:header="0"/>
        </w:sectPr>
      </w:pPr>
    </w:p>
    <w:bookmarkStart w:id="100" w:name="page101"/>
    <w:bookmarkEnd w:id="100"/>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November 7, 2025</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Page Two</w:t>
      </w:r>
    </w:p>
    <w:p>
      <w:pPr>
        <w:spacing w:after="0" w:line="101" w:lineRule="exact"/>
        <w:rPr>
          <w:sz w:val="20"/>
          <w:szCs w:val="20"/>
          <w:color w:val="auto"/>
        </w:rPr>
      </w:pPr>
    </w:p>
    <w:p>
      <w:pPr>
        <w:ind w:left="360" w:right="419"/>
        <w:spacing w:after="0" w:line="245"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(a) the Registration Statement and the Base Prospectus, (b) the Company’s certificate of incorporation and bylaws, each as currently in effect, and (c)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 As to certain factual matters, we have relied upon a certificate of an officer of the Company and have not independently verified such matters.</w:t>
      </w:r>
    </w:p>
    <w:p>
      <w:pPr>
        <w:spacing w:after="0" w:line="149" w:lineRule="exact"/>
        <w:rPr>
          <w:sz w:val="20"/>
          <w:szCs w:val="20"/>
          <w:color w:val="auto"/>
        </w:rPr>
      </w:pPr>
    </w:p>
    <w:p>
      <w:pPr>
        <w:ind w:left="360" w:right="379"/>
        <w:spacing w:after="0" w:line="243" w:lineRule="auto"/>
        <w:rPr>
          <w:sz w:val="20"/>
          <w:szCs w:val="20"/>
          <w:color w:val="auto"/>
        </w:rPr>
      </w:pPr>
      <w:r>
        <w:rPr>
          <w:rFonts w:ascii="Times New Roman" w:cs="Times New Roman" w:eastAsia="Times New Roman" w:hAnsi="Times New Roman"/>
          <w:sz w:val="14"/>
          <w:szCs w:val="14"/>
          <w:color w:val="auto"/>
        </w:rPr>
        <w:t>With respect to our opinion as to the Common Stock, we have assumed that, at the time of issuance and sale, a sufficient number of shares of Common Stock will be authorized and available for issuance and that the consideration for the issuance and sale of the Common Stock (or Preferred Stock or Debt Securities convertible into, Warrants or Rights exercisable for, or Units that may be settled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or Rights exercisable for, or Units that may be settled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upon exercise of any Warrants or Rights or upon settlement of any Units, such convertible Debt Securities, Warrants, Rights or Units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53" w:lineRule="exact"/>
        <w:rPr>
          <w:sz w:val="20"/>
          <w:szCs w:val="20"/>
          <w:color w:val="auto"/>
        </w:rPr>
      </w:pPr>
    </w:p>
    <w:p>
      <w:pPr>
        <w:ind w:left="360" w:right="379"/>
        <w:spacing w:after="0" w:line="248" w:lineRule="auto"/>
        <w:rPr>
          <w:sz w:val="20"/>
          <w:szCs w:val="20"/>
          <w:color w:val="auto"/>
        </w:rPr>
      </w:pPr>
      <w:r>
        <w:rPr>
          <w:rFonts w:ascii="Times New Roman" w:cs="Times New Roman" w:eastAsia="Times New Roman" w:hAnsi="Times New Roman"/>
          <w:sz w:val="14"/>
          <w:szCs w:val="14"/>
          <w:color w:val="auto"/>
        </w:rPr>
        <w:t>Our opinion herein is expressed solely with respect to the General Corporation Law of the State of Delaware and, as to the Debt Securities, the Warrants, the Rights and the Units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47" w:lineRule="exact"/>
        <w:rPr>
          <w:sz w:val="20"/>
          <w:szCs w:val="20"/>
          <w:color w:val="auto"/>
        </w:rPr>
      </w:pPr>
    </w:p>
    <w:p>
      <w:pPr>
        <w:ind w:left="360" w:right="399"/>
        <w:spacing w:after="0" w:line="262" w:lineRule="auto"/>
        <w:rPr>
          <w:sz w:val="20"/>
          <w:szCs w:val="20"/>
          <w:color w:val="auto"/>
        </w:rPr>
      </w:pPr>
      <w:r>
        <w:rPr>
          <w:rFonts w:ascii="Times New Roman" w:cs="Times New Roman" w:eastAsia="Times New Roman" w:hAnsi="Times New Roman"/>
          <w:sz w:val="14"/>
          <w:szCs w:val="14"/>
          <w:color w:val="auto"/>
        </w:rPr>
        <w:t>On the basis of the foregoing, in reliance thereon and subject to the assumptions, qualifications, limitations and exceptions set forth herein, we are of the opinion that:</w:t>
      </w:r>
    </w:p>
    <w:p>
      <w:pPr>
        <w:spacing w:after="0" w:line="50" w:lineRule="exact"/>
        <w:rPr>
          <w:sz w:val="20"/>
          <w:szCs w:val="20"/>
          <w:color w:val="auto"/>
        </w:rPr>
      </w:pPr>
    </w:p>
    <w:p>
      <w:pPr>
        <w:jc w:val="both"/>
        <w:ind w:left="360" w:right="619" w:firstLine="331"/>
        <w:spacing w:after="0" w:line="255" w:lineRule="auto"/>
        <w:rPr>
          <w:sz w:val="20"/>
          <w:szCs w:val="20"/>
          <w:color w:val="auto"/>
        </w:rPr>
      </w:pP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4"/>
          <w:szCs w:val="14"/>
          <w:color w:val="auto"/>
        </w:rPr>
        <w:t>. With respect to the Common Stock offered under the Registration Statement, provided that (a) the Registration Statement and any required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post-effective amendment thereto have become effective under the Securities Act and the Base Prospectus and any and all Prospectus Supplement(s) required by applicable laws have been delivered and filed as required by such laws; (b) the issuance of the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1299 PENNSYLVANIA AVENUE NW, SUITE 700 WASHINGTON, DC 20004-2400</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(202) 842-7800 F: (212) 842-7899 COOLEY.COM</w:t>
      </w:r>
    </w:p>
    <w:p>
      <w:pPr>
        <w:sectPr>
          <w:pgSz w:w="11900" w:h="16838" w:orient="portrait"/>
          <w:cols w:equalWidth="0" w:num="1">
            <w:col w:w="9019"/>
          </w:cols>
          <w:pgMar w:left="1440" w:top="238" w:right="1440" w:bottom="1440" w:gutter="0" w:footer="0" w:header="0"/>
        </w:sectPr>
      </w:pPr>
    </w:p>
    <w:bookmarkStart w:id="101" w:name="page102"/>
    <w:bookmarkEnd w:id="101"/>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November 7, 2025</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Page Three</w:t>
      </w:r>
    </w:p>
    <w:p>
      <w:pPr>
        <w:spacing w:after="0" w:line="101" w:lineRule="exact"/>
        <w:rPr>
          <w:sz w:val="20"/>
          <w:szCs w:val="20"/>
          <w:color w:val="auto"/>
        </w:rPr>
      </w:pPr>
    </w:p>
    <w:p>
      <w:pPr>
        <w:ind w:left="360" w:right="399"/>
        <w:spacing w:after="0" w:line="291" w:lineRule="auto"/>
        <w:rPr>
          <w:sz w:val="20"/>
          <w:szCs w:val="20"/>
          <w:color w:val="auto"/>
        </w:rPr>
      </w:pPr>
      <w:r>
        <w:rPr>
          <w:rFonts w:ascii="Times New Roman" w:cs="Times New Roman" w:eastAsia="Times New Roman" w:hAnsi="Times New Roman"/>
          <w:sz w:val="12"/>
          <w:szCs w:val="12"/>
          <w:color w:val="auto"/>
        </w:rPr>
        <w:t>Stock has been duly authorized by all necessary corporate action on the part of the Company; (c) the issuance and sale of the Common Stock do not violate any applicable law, are in conformity with the Company’s then operative certificate of incorporation (the “</w:t>
      </w:r>
      <w:r>
        <w:rPr>
          <w:rFonts w:ascii="Times New Roman" w:cs="Times New Roman" w:eastAsia="Times New Roman" w:hAnsi="Times New Roman"/>
          <w:sz w:val="12"/>
          <w:szCs w:val="12"/>
          <w:b w:val="1"/>
          <w:bCs w:val="1"/>
          <w:i w:val="1"/>
          <w:iCs w:val="1"/>
          <w:color w:val="auto"/>
        </w:rPr>
        <w:t>Certificate of Incorporation</w:t>
      </w:r>
      <w:r>
        <w:rPr>
          <w:rFonts w:ascii="Times New Roman" w:cs="Times New Roman" w:eastAsia="Times New Roman" w:hAnsi="Times New Roman"/>
          <w:sz w:val="12"/>
          <w:szCs w:val="12"/>
          <w:color w:val="auto"/>
        </w:rPr>
        <w:t>”) and bylaws (the “</w:t>
      </w:r>
      <w:r>
        <w:rPr>
          <w:rFonts w:ascii="Times New Roman" w:cs="Times New Roman" w:eastAsia="Times New Roman" w:hAnsi="Times New Roman"/>
          <w:sz w:val="12"/>
          <w:szCs w:val="12"/>
          <w:b w:val="1"/>
          <w:bCs w:val="1"/>
          <w:i w:val="1"/>
          <w:iCs w:val="1"/>
          <w:color w:val="auto"/>
        </w:rPr>
        <w:t>Bylaws</w:t>
      </w:r>
      <w:r>
        <w:rPr>
          <w:rFonts w:ascii="Times New Roman" w:cs="Times New Roman" w:eastAsia="Times New Roman" w:hAnsi="Times New Roman"/>
          <w:sz w:val="12"/>
          <w:szCs w:val="12"/>
          <w:color w:val="auto"/>
        </w:rPr>
        <w:t>”), do not result in a default under or breach of any agreement or instrument binding upon the Company and comply with any applicable requirement or restriction imposed by any court or governmental body having jurisdiction over the Company; and (d) the certificates, if any, for the Common Stock have been duly executed by the Company, countersigned by the transfer agent therefor and duly delivered to the purchasers thereof against payment therefor, then the Common Stock, when issued and sold in accordance with a duly authorized, executed and delivered purchase, underwriting or similar agreement, or upon conversion of any convertible Preferred Stock, or convertible Debt Securities in accordance with their terms, or upon exercise of Warrants or Rights or settlement of Units in accordance with their terms, will be validly issued, fully paid and nonassessable.</w:t>
      </w:r>
    </w:p>
    <w:p>
      <w:pPr>
        <w:spacing w:after="0" w:line="42" w:lineRule="exact"/>
        <w:rPr>
          <w:sz w:val="20"/>
          <w:szCs w:val="20"/>
          <w:color w:val="auto"/>
        </w:rPr>
      </w:pPr>
    </w:p>
    <w:p>
      <w:pPr>
        <w:ind w:left="360" w:right="399" w:firstLine="334"/>
        <w:spacing w:after="0" w:line="244" w:lineRule="auto"/>
        <w:tabs>
          <w:tab w:leader="none" w:pos="826"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the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Warrants or Rights or settlement of Units in accordance with their terms, will be validly issued, fully paid and nonassessable.</w:t>
      </w:r>
    </w:p>
    <w:p>
      <w:pPr>
        <w:spacing w:after="0" w:line="67" w:lineRule="exact"/>
        <w:rPr>
          <w:rFonts w:ascii="Times New Roman" w:cs="Times New Roman" w:eastAsia="Times New Roman" w:hAnsi="Times New Roman"/>
          <w:sz w:val="14"/>
          <w:szCs w:val="14"/>
          <w:b w:val="1"/>
          <w:bCs w:val="1"/>
          <w:color w:val="auto"/>
        </w:rPr>
      </w:pPr>
    </w:p>
    <w:p>
      <w:pPr>
        <w:ind w:left="360" w:right="419" w:firstLine="334"/>
        <w:spacing w:after="0" w:line="287" w:lineRule="auto"/>
        <w:tabs>
          <w:tab w:leader="none" w:pos="826" w:val="left"/>
        </w:tabs>
        <w:numPr>
          <w:ilvl w:val="0"/>
          <w:numId w:val="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 and has been qualified under the Trust Indenture Act of 1939, as amended; (d) the issuance and terms of the Debt Securities have been duly authorized by the Company by all necessary corporate action; (e)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Warrants or Rights or settlement of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1299 PENNSYLVANIA AVENUE NW, SUITE 700 WASHINGTON, DC 20004-2400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(202) 842-7800 F: (212) 842-7899 COOLEY.COM</w:t>
      </w:r>
    </w:p>
    <w:p>
      <w:pPr>
        <w:sectPr>
          <w:pgSz w:w="11900" w:h="16838" w:orient="portrait"/>
          <w:cols w:equalWidth="0" w:num="1">
            <w:col w:w="9019"/>
          </w:cols>
          <w:pgMar w:left="1440" w:top="238" w:right="1440" w:bottom="1440" w:gutter="0" w:footer="0" w:header="0"/>
        </w:sectPr>
      </w:pPr>
    </w:p>
    <w:bookmarkStart w:id="102" w:name="page103"/>
    <w:bookmarkEnd w:id="102"/>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November 7, 2025</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Page Four</w:t>
      </w:r>
    </w:p>
    <w:p>
      <w:pPr>
        <w:spacing w:after="0" w:line="101" w:lineRule="exact"/>
        <w:rPr>
          <w:sz w:val="20"/>
          <w:szCs w:val="20"/>
          <w:color w:val="auto"/>
        </w:rPr>
      </w:pPr>
    </w:p>
    <w:p>
      <w:pPr>
        <w:ind w:left="360" w:right="379" w:firstLine="334"/>
        <w:spacing w:after="0" w:line="287" w:lineRule="auto"/>
        <w:tabs>
          <w:tab w:leader="none" w:pos="826" w:val="left"/>
        </w:tabs>
        <w:numPr>
          <w:ilvl w:val="0"/>
          <w:numId w:val="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With respect to the Warrants issued under a Warrant Agreements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or upon the conversion of Debt Securities, the exercise of Rights or the settlement of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206" w:lineRule="exact"/>
        <w:rPr>
          <w:rFonts w:ascii="Times New Roman" w:cs="Times New Roman" w:eastAsia="Times New Roman" w:hAnsi="Times New Roman"/>
          <w:sz w:val="12"/>
          <w:szCs w:val="12"/>
          <w:b w:val="1"/>
          <w:bCs w:val="1"/>
          <w:color w:val="auto"/>
        </w:rPr>
      </w:pPr>
    </w:p>
    <w:p>
      <w:pPr>
        <w:ind w:left="360" w:right="379" w:firstLine="334"/>
        <w:spacing w:after="0" w:line="287" w:lineRule="auto"/>
        <w:tabs>
          <w:tab w:leader="none" w:pos="826" w:val="left"/>
        </w:tabs>
        <w:numPr>
          <w:ilvl w:val="0"/>
          <w:numId w:val="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With respect to the Rights issued under a Rights Agreement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Rights Agreement has been duly authorized by the Company and the Rights Agent by all necessary corporate action; (c) the applicable Rights Agreement has been duly executed and delivered by the Company and the Rights Agent; (d) the issuance and terms of the Rights have been duly authorized by the Company by all necessary corporate action; (e) the terms of the Rights and of their issuance and sale have been duly established in conformity with the applicable Rights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Rights have been duly executed and delivered by the Company and authenticated by the Rights Agent pursuant to the applicable Rights Agreement and delivered against payment therefor, then the Rights, when issued and sold in accordance with the applicable Rights Agreement and a duly authorized, executed and delivered purchase, underwriting or similar agreement, or upon the conversion of Debt Securities, the exercise of Warrants or the settlement of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1299 PENNSYLVANIA AVENUE NW, SUITE 700 WASHINGTON, DC 20004-2400</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(202) 842-7800 F: (212) 842-7899 COOLEY.COM</w:t>
      </w:r>
    </w:p>
    <w:p>
      <w:pPr>
        <w:sectPr>
          <w:pgSz w:w="11900" w:h="16838" w:orient="portrait"/>
          <w:cols w:equalWidth="0" w:num="1">
            <w:col w:w="9019"/>
          </w:cols>
          <w:pgMar w:left="1440" w:top="238" w:right="1440" w:bottom="1440" w:gutter="0" w:footer="0" w:header="0"/>
        </w:sectPr>
      </w:pPr>
    </w:p>
    <w:bookmarkStart w:id="103" w:name="page104"/>
    <w:bookmarkEnd w:id="103"/>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November 7, 2025</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Page Five</w:t>
      </w:r>
    </w:p>
    <w:p>
      <w:pPr>
        <w:spacing w:after="0" w:line="101" w:lineRule="exact"/>
        <w:rPr>
          <w:sz w:val="20"/>
          <w:szCs w:val="20"/>
          <w:color w:val="auto"/>
        </w:rPr>
      </w:pPr>
    </w:p>
    <w:p>
      <w:pPr>
        <w:ind w:left="360" w:right="459" w:firstLine="334"/>
        <w:spacing w:after="0" w:line="287" w:lineRule="auto"/>
        <w:tabs>
          <w:tab w:leader="none" w:pos="826" w:val="left"/>
        </w:tabs>
        <w:numPr>
          <w:ilvl w:val="0"/>
          <w:numId w:val="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With respect to the Units issued under a Unit Agreement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Unit Agreement has been duly authorized by the Company and the Unit Agent by all necessary corporate action; (c) the applicable Unit Agreement has been duly executed and delivered by the Company and the Unit Agent; (d) the issuance and terms of the Units have been duly authorized by the Company by all necessary corporate action; (e) the terms of the Units and of their issuance and sale have been duly established in conformity with the applicable Unit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Units have been duly executed and delivered by the Company and authenticated by the Unit Agent pursuant to the applicable Unit Agreement and delivered against payment therefor, then the Units, when issued and sold in accordance with the applicable Unit Agreement and a duly authorized, executed and delivered purchase, underwriting or similar agreement, or upon the conversion of Debt Securities, the exercise of Rights or the settlement of Units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287" w:lineRule="exact"/>
        <w:rPr>
          <w:rFonts w:ascii="Times New Roman" w:cs="Times New Roman" w:eastAsia="Times New Roman" w:hAnsi="Times New Roman"/>
          <w:sz w:val="12"/>
          <w:szCs w:val="12"/>
          <w:b w:val="1"/>
          <w:bCs w:val="1"/>
          <w:color w:val="auto"/>
        </w:rPr>
      </w:pPr>
    </w:p>
    <w:p>
      <w:pPr>
        <w:ind w:left="4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4"/>
          <w:szCs w:val="14"/>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1299 PENNSYLVANIA AVENUE NW, SUITE 700 WASHINGTON, DC 20004-2400</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(202) 842-7800 F: (212) 842-7899 COOLEY.COM</w:t>
      </w:r>
    </w:p>
    <w:p>
      <w:pPr>
        <w:sectPr>
          <w:pgSz w:w="11900" w:h="16838" w:orient="portrait"/>
          <w:cols w:equalWidth="0" w:num="1">
            <w:col w:w="9019"/>
          </w:cols>
          <w:pgMar w:left="1440" w:top="238" w:right="1440" w:bottom="1440" w:gutter="0" w:footer="0" w:header="0"/>
        </w:sectPr>
      </w:pPr>
    </w:p>
    <w:bookmarkStart w:id="104" w:name="page105"/>
    <w:bookmarkEnd w:id="104"/>
    <w:p>
      <w:pPr>
        <w:ind w:left="3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178435</wp:posOffset>
            </wp:positionH>
            <wp:positionV relativeFrom="page">
              <wp:posOffset>88900</wp:posOffset>
            </wp:positionV>
            <wp:extent cx="7204710" cy="317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204710" cy="31750"/>
                    </a:xfrm>
                    <a:prstGeom prst="rect">
                      <a:avLst/>
                    </a:prstGeom>
                    <a:noFill/>
                  </pic:spPr>
                </pic:pic>
              </a:graphicData>
            </a:graphic>
          </wp:anchor>
        </w:drawing>
        <w:t>November 7, 2025</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Page Six</w:t>
      </w:r>
    </w:p>
    <w:p>
      <w:pPr>
        <w:spacing w:after="0" w:line="101" w:lineRule="exact"/>
        <w:rPr>
          <w:sz w:val="20"/>
          <w:szCs w:val="20"/>
          <w:color w:val="auto"/>
        </w:rPr>
      </w:pPr>
    </w:p>
    <w:p>
      <w:pPr>
        <w:ind w:left="360" w:right="419"/>
        <w:spacing w:after="0" w:line="248" w:lineRule="auto"/>
        <w:rPr>
          <w:sz w:val="20"/>
          <w:szCs w:val="20"/>
          <w:color w:val="auto"/>
        </w:rPr>
      </w:pPr>
      <w:r>
        <w:rPr>
          <w:rFonts w:ascii="Times New Roman" w:cs="Times New Roman" w:eastAsia="Times New Roman" w:hAnsi="Times New Roman"/>
          <w:sz w:val="14"/>
          <w:szCs w:val="14"/>
          <w:color w:val="auto"/>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47" w:lineRule="exact"/>
        <w:rPr>
          <w:sz w:val="20"/>
          <w:szCs w:val="20"/>
          <w:color w:val="auto"/>
        </w:rPr>
      </w:pPr>
    </w:p>
    <w:p>
      <w:pPr>
        <w:ind w:left="360" w:right="499"/>
        <w:spacing w:after="0" w:line="303" w:lineRule="auto"/>
        <w:rPr>
          <w:sz w:val="20"/>
          <w:szCs w:val="20"/>
          <w:color w:val="auto"/>
        </w:rPr>
      </w:pPr>
      <w:r>
        <w:rPr>
          <w:rFonts w:ascii="Times New Roman" w:cs="Times New Roman" w:eastAsia="Times New Roman" w:hAnsi="Times New Roman"/>
          <w:sz w:val="12"/>
          <w:szCs w:val="12"/>
          <w:color w:val="auto"/>
        </w:rPr>
        <w:t>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Cooley LLP</w:t>
      </w:r>
    </w:p>
    <w:p>
      <w:pPr>
        <w:spacing w:after="0" w:line="164"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Jaime L.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8890</wp:posOffset>
            </wp:positionV>
            <wp:extent cx="175323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1753235" cy="6350"/>
                    </a:xfrm>
                    <a:prstGeom prst="rect">
                      <a:avLst/>
                    </a:prstGeom>
                    <a:noFill/>
                  </pic:spPr>
                </pic:pic>
              </a:graphicData>
            </a:graphic>
          </wp:anchor>
        </w:drawing>
      </w:r>
    </w:p>
    <w:p>
      <w:pPr>
        <w:spacing w:after="0" w:line="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Jaime L. 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COOLEY LLP 1299 PENNSYLVANIA AVENUE NW, SUITE 700 WASHINGTON, DC 20004-2400</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 (202) 842-7800 F: (212) 842-7899 COOLEY.COM</w:t>
      </w:r>
    </w:p>
    <w:p>
      <w:pPr>
        <w:sectPr>
          <w:pgSz w:w="11900" w:h="16838" w:orient="portrait"/>
          <w:cols w:equalWidth="0" w:num="1">
            <w:col w:w="9019"/>
          </w:cols>
          <w:pgMar w:left="1440" w:top="238" w:right="1440" w:bottom="1440" w:gutter="0" w:footer="0" w:header="0"/>
        </w:sectPr>
      </w:pPr>
    </w:p>
    <w:bookmarkStart w:id="105" w:name="page106"/>
    <w:bookmarkEnd w:id="105"/>
    <w:p>
      <w:pPr>
        <w:jc w:val="right"/>
        <w:ind w:right="379"/>
        <w:spacing w:after="0"/>
        <w:rPr>
          <w:sz w:val="20"/>
          <w:szCs w:val="20"/>
          <w:color w:val="auto"/>
        </w:rPr>
      </w:pPr>
      <w:r>
        <w:rPr>
          <w:rFonts w:ascii="Times New Roman" w:cs="Times New Roman" w:eastAsia="Times New Roman" w:hAnsi="Times New Roman"/>
          <w:sz w:val="14"/>
          <w:szCs w:val="14"/>
          <w:color w:val="auto"/>
        </w:rPr>
        <w:t>Exhibit 23.1</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64" w:lineRule="exact"/>
        <w:rPr>
          <w:sz w:val="20"/>
          <w:szCs w:val="20"/>
          <w:color w:val="auto"/>
        </w:rPr>
      </w:pPr>
    </w:p>
    <w:p>
      <w:pPr>
        <w:ind w:left="360" w:right="479"/>
        <w:spacing w:after="0" w:line="248"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and related Prospectus, of our report dated March 13, 2025, with respect to the financial statements of IN8bio, Inc. as of December 31, 2024 and 2023, and for the years then ended, which report is included in the Annual Report on Form 10-K of IN8bio, Inc. for the year ended December 31, 2024, filed with the Securities and Exchange Commission. Our audit report includes an explanatory paragraph relating to IN8bio, Inc.’s ability to continue as a going concern.</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also consent to the reference to our firm under the caption “Experts”.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 CohnReznick LLP</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November 6, 2025</w:t>
      </w:r>
    </w:p>
    <w:p>
      <w:pPr>
        <w:sectPr>
          <w:pgSz w:w="11900" w:h="16838" w:orient="portrait"/>
          <w:cols w:equalWidth="0" w:num="1">
            <w:col w:w="9019"/>
          </w:cols>
          <w:pgMar w:left="1440" w:top="127" w:right="1440" w:bottom="1440" w:gutter="0" w:footer="0" w:header="0"/>
        </w:sectPr>
      </w:pPr>
    </w:p>
    <w:bookmarkStart w:id="106" w:name="page107"/>
    <w:bookmarkEnd w:id="106"/>
    <w:p>
      <w:pPr>
        <w:spacing w:after="0" w:line="56" w:lineRule="exact"/>
        <w:rPr>
          <w:sz w:val="20"/>
          <w:szCs w:val="20"/>
          <w:color w:val="auto"/>
        </w:rPr>
      </w:pPr>
    </w:p>
    <w:p>
      <w:pPr>
        <w:ind w:left="3560"/>
        <w:spacing w:after="0"/>
        <w:rPr>
          <w:sz w:val="20"/>
          <w:szCs w:val="20"/>
          <w:color w:val="auto"/>
        </w:rPr>
      </w:pPr>
      <w:r>
        <w:rPr>
          <w:rFonts w:ascii="Arial" w:cs="Arial" w:eastAsia="Arial" w:hAnsi="Arial"/>
          <w:sz w:val="27"/>
          <w:szCs w:val="27"/>
          <w:b w:val="1"/>
          <w:bCs w:val="1"/>
          <w:color w:val="auto"/>
        </w:rPr>
        <w:t>Calculation of Filing Fee Tables</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27"/>
          <w:szCs w:val="27"/>
          <w:b w:val="1"/>
          <w:bCs w:val="1"/>
          <w:color w:val="auto"/>
        </w:rPr>
        <w:t>IN8BIO, INC.</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4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2"/>
          </w:tcPr>
          <w:p>
            <w:pPr>
              <w:ind w:left="3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7"/>
        </w:trPr>
        <w:tc>
          <w:tcPr>
            <w:tcW w:w="1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91"/>
        </w:trPr>
        <w:tc>
          <w:tcPr>
            <w:tcW w:w="1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640" w:type="dxa"/>
            <w:vAlign w:val="bottom"/>
            <w:vMerge w:val="restart"/>
          </w:tcPr>
          <w:p>
            <w:pPr>
              <w:jc w:val="center"/>
              <w:spacing w:after="0" w:line="183" w:lineRule="exact"/>
              <w:rPr>
                <w:sz w:val="20"/>
                <w:szCs w:val="20"/>
                <w:color w:val="auto"/>
              </w:rPr>
            </w:pPr>
            <w:r>
              <w:rPr>
                <w:rFonts w:ascii="Arial" w:cs="Arial" w:eastAsia="Arial" w:hAnsi="Arial"/>
                <w:sz w:val="16"/>
                <w:szCs w:val="16"/>
                <w:b w:val="1"/>
                <w:bCs w:val="1"/>
                <w:color w:val="auto"/>
              </w:rPr>
              <w:t>Carry</w:t>
            </w:r>
          </w:p>
        </w:tc>
        <w:tc>
          <w:tcPr>
            <w:tcW w:w="760" w:type="dxa"/>
            <w:vAlign w:val="bottom"/>
            <w:vMerge w:val="restart"/>
          </w:tcPr>
          <w:p>
            <w:pPr>
              <w:jc w:val="center"/>
              <w:spacing w:after="0" w:line="183" w:lineRule="exact"/>
              <w:rPr>
                <w:sz w:val="20"/>
                <w:szCs w:val="20"/>
                <w:color w:val="auto"/>
              </w:rPr>
            </w:pPr>
            <w:r>
              <w:rPr>
                <w:rFonts w:ascii="Arial" w:cs="Arial" w:eastAsia="Arial" w:hAnsi="Arial"/>
                <w:sz w:val="16"/>
                <w:szCs w:val="16"/>
                <w:b w:val="1"/>
                <w:bCs w:val="1"/>
                <w:color w:val="auto"/>
              </w:rPr>
              <w:t>Carry</w:t>
            </w:r>
          </w:p>
        </w:tc>
        <w:tc>
          <w:tcPr>
            <w:tcW w:w="780" w:type="dxa"/>
            <w:vAlign w:val="bottom"/>
            <w:vMerge w:val="continue"/>
          </w:tcPr>
          <w:p>
            <w:pPr>
              <w:spacing w:after="0"/>
              <w:rPr>
                <w:sz w:val="7"/>
                <w:szCs w:val="7"/>
                <w:color w:val="auto"/>
              </w:rPr>
            </w:pPr>
          </w:p>
        </w:tc>
        <w:tc>
          <w:tcPr>
            <w:tcW w:w="980" w:type="dxa"/>
            <w:vAlign w:val="bottom"/>
            <w:vMerge w:val="restart"/>
          </w:tcPr>
          <w:p>
            <w:pPr>
              <w:jc w:val="center"/>
              <w:spacing w:after="0" w:line="183" w:lineRule="exact"/>
              <w:rPr>
                <w:sz w:val="20"/>
                <w:szCs w:val="20"/>
                <w:color w:val="auto"/>
              </w:rPr>
            </w:pPr>
            <w:r>
              <w:rPr>
                <w:rFonts w:ascii="Arial" w:cs="Arial" w:eastAsia="Arial" w:hAnsi="Arial"/>
                <w:sz w:val="16"/>
                <w:szCs w:val="16"/>
                <w:b w:val="1"/>
                <w:bCs w:val="1"/>
                <w:color w:val="auto"/>
                <w:w w:val="99"/>
              </w:rPr>
              <w:t>Connection</w:t>
            </w:r>
          </w:p>
        </w:tc>
        <w:tc>
          <w:tcPr>
            <w:tcW w:w="0" w:type="dxa"/>
            <w:vAlign w:val="bottom"/>
          </w:tcPr>
          <w:p>
            <w:pPr>
              <w:spacing w:after="0"/>
              <w:rPr>
                <w:sz w:val="1"/>
                <w:szCs w:val="1"/>
                <w:color w:val="auto"/>
              </w:rPr>
            </w:pPr>
          </w:p>
        </w:tc>
      </w:tr>
      <w:tr>
        <w:trPr>
          <w:trHeight w:val="91"/>
        </w:trPr>
        <w:tc>
          <w:tcPr>
            <w:tcW w:w="1820" w:type="dxa"/>
            <w:vAlign w:val="bottom"/>
          </w:tcPr>
          <w:p>
            <w:pPr>
              <w:spacing w:after="0"/>
              <w:rPr>
                <w:sz w:val="7"/>
                <w:szCs w:val="7"/>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Security Calculation</w:t>
            </w:r>
          </w:p>
        </w:tc>
        <w:tc>
          <w:tcPr>
            <w:tcW w:w="88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Maximum</w:t>
            </w:r>
          </w:p>
        </w:tc>
        <w:tc>
          <w:tcPr>
            <w:tcW w:w="1800" w:type="dxa"/>
            <w:vAlign w:val="bottom"/>
            <w:vMerge w:val="restart"/>
          </w:tcPr>
          <w:p>
            <w:pPr>
              <w:jc w:val="center"/>
              <w:ind w:left="699"/>
              <w:spacing w:after="0"/>
              <w:rPr>
                <w:sz w:val="20"/>
                <w:szCs w:val="20"/>
                <w:color w:val="auto"/>
              </w:rPr>
            </w:pPr>
            <w:r>
              <w:rPr>
                <w:rFonts w:ascii="Arial" w:cs="Arial" w:eastAsia="Arial" w:hAnsi="Arial"/>
                <w:sz w:val="16"/>
                <w:szCs w:val="16"/>
                <w:b w:val="1"/>
                <w:bCs w:val="1"/>
                <w:color w:val="auto"/>
              </w:rPr>
              <w:t>Amount of</w:t>
            </w: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Forward</w:t>
            </w: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820" w:type="dxa"/>
            <w:vAlign w:val="bottom"/>
          </w:tcPr>
          <w:p>
            <w:pPr>
              <w:jc w:val="center"/>
              <w:ind w:left="899"/>
              <w:spacing w:after="0" w:line="163" w:lineRule="exact"/>
              <w:rPr>
                <w:sz w:val="20"/>
                <w:szCs w:val="20"/>
                <w:color w:val="auto"/>
              </w:rPr>
            </w:pPr>
            <w:r>
              <w:rPr>
                <w:rFonts w:ascii="Arial" w:cs="Arial" w:eastAsia="Arial" w:hAnsi="Arial"/>
                <w:sz w:val="16"/>
                <w:szCs w:val="16"/>
                <w:b w:val="1"/>
                <w:bCs w:val="1"/>
                <w:color w:val="auto"/>
              </w:rPr>
              <w:t>Security</w:t>
            </w:r>
          </w:p>
        </w:tc>
        <w:tc>
          <w:tcPr>
            <w:tcW w:w="1720" w:type="dxa"/>
            <w:vAlign w:val="bottom"/>
            <w:gridSpan w:val="2"/>
            <w:vMerge w:val="continue"/>
          </w:tcPr>
          <w:p>
            <w:pPr>
              <w:spacing w:after="0"/>
              <w:rPr>
                <w:sz w:val="14"/>
                <w:szCs w:val="14"/>
                <w:color w:val="auto"/>
              </w:rPr>
            </w:pPr>
          </w:p>
        </w:tc>
        <w:tc>
          <w:tcPr>
            <w:tcW w:w="8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Amount</w:t>
            </w:r>
          </w:p>
        </w:tc>
        <w:tc>
          <w:tcPr>
            <w:tcW w:w="8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400" w:type="dxa"/>
            <w:vAlign w:val="bottom"/>
            <w:gridSpan w:val="2"/>
          </w:tcPr>
          <w:p>
            <w:pPr>
              <w:ind w:left="20"/>
              <w:spacing w:after="0" w:line="163" w:lineRule="exact"/>
              <w:rPr>
                <w:sz w:val="20"/>
                <w:szCs w:val="20"/>
                <w:color w:val="auto"/>
              </w:rPr>
            </w:pPr>
            <w:r>
              <w:rPr>
                <w:rFonts w:ascii="Arial" w:cs="Arial" w:eastAsia="Arial" w:hAnsi="Arial"/>
                <w:sz w:val="16"/>
                <w:szCs w:val="16"/>
                <w:b w:val="1"/>
                <w:bCs w:val="1"/>
                <w:color w:val="auto"/>
              </w:rPr>
              <w:t>Forward Forward</w:t>
            </w:r>
          </w:p>
        </w:tc>
        <w:tc>
          <w:tcPr>
            <w:tcW w:w="780" w:type="dxa"/>
            <w:vAlign w:val="bottom"/>
            <w:vMerge w:val="continue"/>
          </w:tcPr>
          <w:p>
            <w:pPr>
              <w:spacing w:after="0"/>
              <w:rPr>
                <w:sz w:val="14"/>
                <w:szCs w:val="14"/>
                <w:color w:val="auto"/>
              </w:rPr>
            </w:pPr>
          </w:p>
        </w:tc>
        <w:tc>
          <w:tcPr>
            <w:tcW w:w="98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3"/>
        </w:trPr>
        <w:tc>
          <w:tcPr>
            <w:tcW w:w="1820" w:type="dxa"/>
            <w:vAlign w:val="bottom"/>
          </w:tcPr>
          <w:p>
            <w:pPr>
              <w:jc w:val="center"/>
              <w:ind w:left="899"/>
              <w:spacing w:after="0" w:line="183" w:lineRule="exact"/>
              <w:rPr>
                <w:sz w:val="20"/>
                <w:szCs w:val="20"/>
                <w:color w:val="auto"/>
              </w:rPr>
            </w:pPr>
            <w:r>
              <w:rPr>
                <w:rFonts w:ascii="Arial" w:cs="Arial" w:eastAsia="Arial" w:hAnsi="Arial"/>
                <w:sz w:val="16"/>
                <w:szCs w:val="16"/>
                <w:b w:val="1"/>
                <w:bCs w:val="1"/>
                <w:color w:val="auto"/>
                <w:w w:val="96"/>
              </w:rPr>
              <w:t>Type</w:t>
            </w:r>
          </w:p>
        </w:tc>
        <w:tc>
          <w:tcPr>
            <w:tcW w:w="7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8"/>
              </w:rPr>
              <w:t>Class</w:t>
            </w:r>
          </w:p>
        </w:tc>
        <w:tc>
          <w:tcPr>
            <w:tcW w:w="9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or Carry</w:t>
            </w: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Registered</w:t>
            </w:r>
          </w:p>
        </w:tc>
        <w:tc>
          <w:tcPr>
            <w:tcW w:w="8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Offering</w:t>
            </w: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Aggregate</w:t>
            </w:r>
          </w:p>
        </w:tc>
        <w:tc>
          <w:tcPr>
            <w:tcW w:w="18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Fee Rate Registration</w:t>
            </w:r>
          </w:p>
        </w:tc>
        <w:tc>
          <w:tcPr>
            <w:tcW w:w="6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Form</w:t>
            </w:r>
          </w:p>
        </w:tc>
        <w:tc>
          <w:tcPr>
            <w:tcW w:w="7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File</w:t>
            </w:r>
          </w:p>
        </w:tc>
        <w:tc>
          <w:tcPr>
            <w:tcW w:w="7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Initial</w:t>
            </w:r>
          </w:p>
        </w:tc>
        <w:tc>
          <w:tcPr>
            <w:tcW w:w="9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7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Title</w:t>
            </w:r>
          </w:p>
        </w:tc>
        <w:tc>
          <w:tcPr>
            <w:tcW w:w="9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Forward</w:t>
            </w:r>
          </w:p>
        </w:tc>
        <w:tc>
          <w:tcPr>
            <w:tcW w:w="880" w:type="dxa"/>
            <w:vAlign w:val="bottom"/>
          </w:tcPr>
          <w:p>
            <w:pPr>
              <w:spacing w:after="0"/>
              <w:rPr>
                <w:sz w:val="15"/>
                <w:szCs w:val="15"/>
                <w:color w:val="auto"/>
              </w:rPr>
            </w:pPr>
          </w:p>
        </w:tc>
        <w:tc>
          <w:tcPr>
            <w:tcW w:w="80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Price Per</w:t>
            </w:r>
          </w:p>
        </w:tc>
        <w:tc>
          <w:tcPr>
            <w:tcW w:w="11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Offering Price</w:t>
            </w:r>
          </w:p>
        </w:tc>
        <w:tc>
          <w:tcPr>
            <w:tcW w:w="1800" w:type="dxa"/>
            <w:vAlign w:val="bottom"/>
          </w:tcPr>
          <w:p>
            <w:pPr>
              <w:jc w:val="center"/>
              <w:ind w:left="719"/>
              <w:spacing w:after="0" w:line="183" w:lineRule="exact"/>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6"/>
              </w:rPr>
              <w:t>Type</w:t>
            </w:r>
          </w:p>
        </w:tc>
        <w:tc>
          <w:tcPr>
            <w:tcW w:w="76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Number</w:t>
            </w:r>
          </w:p>
        </w:tc>
        <w:tc>
          <w:tcPr>
            <w:tcW w:w="7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rPr>
              <w:t>Effective</w:t>
            </w:r>
          </w:p>
        </w:tc>
        <w:tc>
          <w:tcPr>
            <w:tcW w:w="9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36"/>
        </w:trPr>
        <w:tc>
          <w:tcPr>
            <w:tcW w:w="1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Rule</w:t>
            </w:r>
          </w:p>
        </w:tc>
        <w:tc>
          <w:tcPr>
            <w:tcW w:w="880" w:type="dxa"/>
            <w:vAlign w:val="bottom"/>
          </w:tcPr>
          <w:p>
            <w:pPr>
              <w:spacing w:after="0"/>
              <w:rPr>
                <w:sz w:val="3"/>
                <w:szCs w:val="3"/>
                <w:color w:val="auto"/>
              </w:rPr>
            </w:pPr>
          </w:p>
        </w:tc>
        <w:tc>
          <w:tcPr>
            <w:tcW w:w="80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Unit</w:t>
            </w:r>
          </w:p>
        </w:tc>
        <w:tc>
          <w:tcPr>
            <w:tcW w:w="11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jc w:val="center"/>
              <w:spacing w:after="0" w:line="36" w:lineRule="exact"/>
              <w:rPr>
                <w:sz w:val="20"/>
                <w:szCs w:val="20"/>
                <w:color w:val="auto"/>
              </w:rPr>
            </w:pPr>
            <w:r>
              <w:rPr>
                <w:rFonts w:ascii="Arial" w:cs="Arial" w:eastAsia="Arial" w:hAnsi="Arial"/>
                <w:sz w:val="4"/>
                <w:szCs w:val="4"/>
                <w:b w:val="1"/>
                <w:bCs w:val="1"/>
                <w:color w:val="auto"/>
              </w:rPr>
              <w:t>Date</w:t>
            </w: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-836930</wp:posOffset>
            </wp:positionV>
            <wp:extent cx="7216140" cy="71596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216140" cy="7159625"/>
                    </a:xfrm>
                    <a:prstGeom prst="rect">
                      <a:avLst/>
                    </a:prstGeom>
                    <a:noFill/>
                  </pic:spPr>
                </pic:pic>
              </a:graphicData>
            </a:graphic>
          </wp:anchor>
        </w:drawing>
      </w:r>
    </w:p>
    <w:p>
      <w:pPr>
        <w:jc w:val="center"/>
        <w:ind w:left="10460"/>
        <w:spacing w:after="0" w:line="238" w:lineRule="auto"/>
        <w:rPr>
          <w:sz w:val="20"/>
          <w:szCs w:val="20"/>
          <w:color w:val="auto"/>
        </w:rPr>
      </w:pPr>
      <w:r>
        <w:rPr>
          <w:rFonts w:ascii="Arial" w:cs="Arial" w:eastAsia="Arial" w:hAnsi="Arial"/>
          <w:sz w:val="16"/>
          <w:szCs w:val="16"/>
          <w:b w:val="1"/>
          <w:bCs w:val="1"/>
          <w:color w:val="auto"/>
        </w:rPr>
        <w:t>to be</w:t>
      </w:r>
    </w:p>
    <w:p>
      <w:pPr>
        <w:jc w:val="center"/>
        <w:ind w:left="10460"/>
        <w:spacing w:after="0" w:line="238" w:lineRule="auto"/>
        <w:rPr>
          <w:sz w:val="20"/>
          <w:szCs w:val="20"/>
          <w:color w:val="auto"/>
        </w:rPr>
      </w:pPr>
      <w:r>
        <w:rPr>
          <w:rFonts w:ascii="Arial" w:cs="Arial" w:eastAsia="Arial" w:hAnsi="Arial"/>
          <w:sz w:val="16"/>
          <w:szCs w:val="16"/>
          <w:b w:val="1"/>
          <w:bCs w:val="1"/>
          <w:color w:val="auto"/>
        </w:rPr>
        <w:t>Carried</w:t>
      </w: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39"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Common</w:t>
      </w:r>
    </w:p>
    <w:p>
      <w:pPr>
        <w:spacing w:after="0" w:line="13"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Stock,</w:t>
      </w:r>
    </w:p>
    <w:p>
      <w:pPr>
        <w:ind w:left="1160"/>
        <w:spacing w:after="0"/>
        <w:tabs>
          <w:tab w:leader="none" w:pos="1840" w:val="left"/>
          <w:tab w:leader="none" w:pos="2820" w:val="left"/>
        </w:tabs>
        <w:rPr>
          <w:sz w:val="20"/>
          <w:szCs w:val="20"/>
          <w:color w:val="auto"/>
        </w:rPr>
      </w:pPr>
      <w:r>
        <w:rPr>
          <w:rFonts w:ascii="Arial" w:cs="Arial" w:eastAsia="Arial" w:hAnsi="Arial"/>
          <w:sz w:val="16"/>
          <w:szCs w:val="16"/>
          <w:color w:val="auto"/>
        </w:rPr>
        <w:t>Equity</w:t>
        <w:tab/>
        <w:t>par value</w:t>
      </w:r>
      <w:r>
        <w:rPr>
          <w:sz w:val="20"/>
          <w:szCs w:val="20"/>
          <w:color w:val="auto"/>
        </w:rPr>
        <w:tab/>
      </w:r>
      <w:r>
        <w:rPr>
          <w:rFonts w:ascii="Arial" w:cs="Arial" w:eastAsia="Arial" w:hAnsi="Arial"/>
          <w:sz w:val="15"/>
          <w:szCs w:val="15"/>
          <w:color w:val="auto"/>
        </w:rPr>
        <w:t>457(o)</w:t>
      </w:r>
    </w:p>
    <w:p>
      <w:pPr>
        <w:ind w:left="1860"/>
        <w:spacing w:after="0" w:line="238" w:lineRule="auto"/>
        <w:rPr>
          <w:sz w:val="20"/>
          <w:szCs w:val="20"/>
          <w:color w:val="auto"/>
        </w:rPr>
      </w:pPr>
      <w:r>
        <w:rPr>
          <w:rFonts w:ascii="Arial" w:cs="Arial" w:eastAsia="Arial" w:hAnsi="Arial"/>
          <w:sz w:val="16"/>
          <w:szCs w:val="16"/>
          <w:color w:val="auto"/>
        </w:rPr>
        <w:t>$0.0001</w:t>
      </w:r>
    </w:p>
    <w:p>
      <w:pPr>
        <w:ind w:left="1860"/>
        <w:spacing w:after="0"/>
        <w:rPr>
          <w:sz w:val="20"/>
          <w:szCs w:val="20"/>
          <w:color w:val="auto"/>
        </w:rPr>
      </w:pPr>
      <w:r>
        <w:rPr>
          <w:rFonts w:ascii="Arial" w:cs="Arial" w:eastAsia="Arial" w:hAnsi="Arial"/>
          <w:sz w:val="16"/>
          <w:szCs w:val="16"/>
          <w:color w:val="auto"/>
        </w:rPr>
        <w:t>per share</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Preferred</w:t>
      </w:r>
    </w:p>
    <w:p>
      <w:pPr>
        <w:spacing w:after="0" w:line="13"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Stock,</w:t>
      </w:r>
    </w:p>
    <w:p>
      <w:pPr>
        <w:ind w:left="1160"/>
        <w:spacing w:after="0"/>
        <w:tabs>
          <w:tab w:leader="none" w:pos="1840" w:val="left"/>
          <w:tab w:leader="none" w:pos="2820" w:val="left"/>
        </w:tabs>
        <w:rPr>
          <w:sz w:val="20"/>
          <w:szCs w:val="20"/>
          <w:color w:val="auto"/>
        </w:rPr>
      </w:pPr>
      <w:r>
        <w:rPr>
          <w:rFonts w:ascii="Arial" w:cs="Arial" w:eastAsia="Arial" w:hAnsi="Arial"/>
          <w:sz w:val="16"/>
          <w:szCs w:val="16"/>
          <w:color w:val="auto"/>
        </w:rPr>
        <w:t>Equity</w:t>
        <w:tab/>
        <w:t>par value</w:t>
      </w:r>
      <w:r>
        <w:rPr>
          <w:sz w:val="20"/>
          <w:szCs w:val="20"/>
          <w:color w:val="auto"/>
        </w:rPr>
        <w:tab/>
      </w:r>
      <w:r>
        <w:rPr>
          <w:rFonts w:ascii="Arial" w:cs="Arial" w:eastAsia="Arial" w:hAnsi="Arial"/>
          <w:sz w:val="15"/>
          <w:szCs w:val="15"/>
          <w:color w:val="auto"/>
        </w:rPr>
        <w:t>457(o)</w:t>
      </w:r>
    </w:p>
    <w:p>
      <w:pPr>
        <w:ind w:left="1860"/>
        <w:spacing w:after="0" w:line="238" w:lineRule="auto"/>
        <w:rPr>
          <w:sz w:val="20"/>
          <w:szCs w:val="20"/>
          <w:color w:val="auto"/>
        </w:rPr>
      </w:pPr>
      <w:r>
        <w:rPr>
          <w:rFonts w:ascii="Arial" w:cs="Arial" w:eastAsia="Arial" w:hAnsi="Arial"/>
          <w:sz w:val="16"/>
          <w:szCs w:val="16"/>
          <w:color w:val="auto"/>
        </w:rPr>
        <w:t>$0.0001</w:t>
      </w:r>
    </w:p>
    <w:p>
      <w:pPr>
        <w:ind w:left="1860"/>
        <w:spacing w:after="0"/>
        <w:rPr>
          <w:sz w:val="20"/>
          <w:szCs w:val="20"/>
          <w:color w:val="auto"/>
        </w:rPr>
      </w:pPr>
      <w:r>
        <w:rPr>
          <w:rFonts w:ascii="Arial" w:cs="Arial" w:eastAsia="Arial" w:hAnsi="Arial"/>
          <w:sz w:val="16"/>
          <w:szCs w:val="16"/>
          <w:color w:val="auto"/>
        </w:rPr>
        <w:t>per share</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0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vMerge w:val="continue"/>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7"/>
                <w:szCs w:val="7"/>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$ 6,761.65</w:t>
            </w: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shd w:val="clear" w:color="auto" w:fill="E7E7E2"/>
          </w:tcPr>
          <w:p>
            <w:pPr>
              <w:spacing w:after="0" w:line="163"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3" w:lineRule="exact"/>
              <w:rPr>
                <w:sz w:val="20"/>
                <w:szCs w:val="20"/>
                <w:color w:val="auto"/>
              </w:rPr>
            </w:pPr>
            <w:r>
              <w:rPr>
                <w:rFonts w:ascii="Arial" w:cs="Arial" w:eastAsia="Arial" w:hAnsi="Arial"/>
                <w:sz w:val="16"/>
                <w:szCs w:val="16"/>
                <w:color w:val="auto"/>
              </w:rPr>
              <w:t>48,962,000.00</w:t>
            </w:r>
          </w:p>
        </w:tc>
        <w:tc>
          <w:tcPr>
            <w:tcW w:w="20" w:type="dxa"/>
            <w:vAlign w:val="bottom"/>
          </w:tcPr>
          <w:p>
            <w:pPr>
              <w:spacing w:after="0"/>
              <w:rPr>
                <w:sz w:val="14"/>
                <w:szCs w:val="14"/>
                <w:color w:val="auto"/>
              </w:rPr>
            </w:pPr>
          </w:p>
        </w:tc>
        <w:tc>
          <w:tcPr>
            <w:tcW w:w="7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right"/>
              <w:ind w:right="439"/>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8"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11/21/2022</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268288</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$0.0001</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Preferred</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83"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par value</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11/21/2022</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268288</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76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Securities</w:t>
            </w: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line="111" w:lineRule="exact"/>
              <w:rPr>
                <w:sz w:val="20"/>
                <w:szCs w:val="20"/>
                <w:color w:val="auto"/>
              </w:rPr>
            </w:pPr>
            <w:r>
              <w:rPr>
                <w:rFonts w:ascii="Arial" w:cs="Arial" w:eastAsia="Arial" w:hAnsi="Arial"/>
                <w:sz w:val="12"/>
                <w:szCs w:val="12"/>
                <w:color w:val="auto"/>
              </w:rPr>
              <w:t>$0.0001</w:t>
            </w:r>
          </w:p>
        </w:tc>
        <w:tc>
          <w:tcPr>
            <w:tcW w:w="20" w:type="dxa"/>
            <w:vAlign w:val="bottom"/>
          </w:tcPr>
          <w:p>
            <w:pPr>
              <w:spacing w:after="0"/>
              <w:rPr>
                <w:sz w:val="9"/>
                <w:szCs w:val="9"/>
                <w:color w:val="auto"/>
              </w:rPr>
            </w:pPr>
          </w:p>
        </w:tc>
        <w:tc>
          <w:tcPr>
            <w:tcW w:w="9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11/21/2022</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line="163"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268288</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7"/>
                <w:szCs w:val="7"/>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11/21/2022</w:t>
            </w: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E7E7E2"/>
          </w:tcPr>
          <w:p>
            <w:pPr>
              <w:jc w:val="center"/>
              <w:spacing w:after="0" w:line="107" w:lineRule="exact"/>
              <w:rPr>
                <w:sz w:val="20"/>
                <w:szCs w:val="20"/>
                <w:color w:val="auto"/>
              </w:rPr>
            </w:pPr>
            <w:r>
              <w:rPr>
                <w:rFonts w:ascii="Arial" w:cs="Arial" w:eastAsia="Arial" w:hAnsi="Arial"/>
                <w:sz w:val="12"/>
                <w:szCs w:val="12"/>
                <w:color w:val="auto"/>
              </w:rPr>
              <w:t>268288</w:t>
            </w:r>
          </w:p>
        </w:tc>
        <w:tc>
          <w:tcPr>
            <w:tcW w:w="20" w:type="dxa"/>
            <w:vAlign w:val="bottom"/>
          </w:tcPr>
          <w:p>
            <w:pPr>
              <w:spacing w:after="0"/>
              <w:rPr>
                <w:sz w:val="9"/>
                <w:szCs w:val="9"/>
                <w:color w:val="auto"/>
              </w:rPr>
            </w:pPr>
          </w:p>
        </w:tc>
        <w:tc>
          <w:tcPr>
            <w:tcW w:w="8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6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line="172"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4"/>
                <w:szCs w:val="14"/>
                <w:color w:val="auto"/>
              </w:rPr>
            </w:pPr>
          </w:p>
        </w:tc>
        <w:tc>
          <w:tcPr>
            <w:tcW w:w="8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6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11/21/2022</w:t>
            </w:r>
          </w:p>
        </w:tc>
        <w:tc>
          <w:tcPr>
            <w:tcW w:w="20" w:type="dxa"/>
            <w:vAlign w:val="bottom"/>
          </w:tcPr>
          <w:p>
            <w:pPr>
              <w:spacing w:after="0"/>
              <w:rPr>
                <w:sz w:val="7"/>
                <w:szCs w:val="7"/>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$ 16,644.39</w:t>
            </w:r>
          </w:p>
        </w:tc>
        <w:tc>
          <w:tcPr>
            <w:tcW w:w="0" w:type="dxa"/>
            <w:vAlign w:val="bottom"/>
          </w:tcPr>
          <w:p>
            <w:pPr>
              <w:spacing w:after="0"/>
              <w:rPr>
                <w:sz w:val="1"/>
                <w:szCs w:val="1"/>
                <w:color w:val="auto"/>
              </w:rPr>
            </w:pPr>
          </w:p>
        </w:tc>
      </w:tr>
      <w:tr>
        <w:trPr>
          <w:trHeight w:val="163"/>
        </w:trPr>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3" w:lineRule="exact"/>
              <w:rPr>
                <w:sz w:val="20"/>
                <w:szCs w:val="20"/>
                <w:color w:val="auto"/>
              </w:rPr>
            </w:pPr>
            <w:r>
              <w:rPr>
                <w:rFonts w:ascii="Arial" w:cs="Arial" w:eastAsia="Arial" w:hAnsi="Arial"/>
                <w:sz w:val="16"/>
                <w:szCs w:val="16"/>
                <w:color w:val="auto"/>
              </w:rPr>
              <w:t>151,038,000.00</w:t>
            </w: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E7E7E2"/>
          </w:tcPr>
          <w:p>
            <w:pPr>
              <w:jc w:val="center"/>
              <w:spacing w:after="0" w:line="163" w:lineRule="exact"/>
              <w:rPr>
                <w:sz w:val="20"/>
                <w:szCs w:val="20"/>
                <w:color w:val="auto"/>
              </w:rPr>
            </w:pPr>
            <w:r>
              <w:rPr>
                <w:rFonts w:ascii="Arial" w:cs="Arial" w:eastAsia="Arial" w:hAnsi="Arial"/>
                <w:sz w:val="16"/>
                <w:szCs w:val="16"/>
                <w:color w:val="auto"/>
              </w:rPr>
              <w:t>268288</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2"/>
                <w:szCs w:val="12"/>
                <w:color w:val="auto"/>
              </w:rPr>
            </w:pPr>
          </w:p>
        </w:tc>
        <w:tc>
          <w:tcPr>
            <w:tcW w:w="1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line="142"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$ 6,761.65</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200,000,000.00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$ 6,761.65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10" w:lineRule="exact"/>
        <w:rPr>
          <w:sz w:val="20"/>
          <w:szCs w:val="20"/>
          <w:color w:val="auto"/>
        </w:rPr>
      </w:pPr>
    </w:p>
    <w:p>
      <w:pPr>
        <w:ind w:left="200" w:right="120" w:hanging="168"/>
        <w:spacing w:after="0" w:line="237" w:lineRule="auto"/>
        <w:tabs>
          <w:tab w:leader="none" w:pos="200" w:val="left"/>
        </w:tabs>
        <w:numPr>
          <w:ilvl w:val="0"/>
          <w:numId w:val="97"/>
        </w:numPr>
        <w:rPr>
          <w:rFonts w:ascii="Arial" w:cs="Arial" w:eastAsia="Arial" w:hAnsi="Arial"/>
          <w:sz w:val="20"/>
          <w:szCs w:val="20"/>
          <w:color w:val="auto"/>
          <w:vertAlign w:val="superscript"/>
        </w:rPr>
      </w:pPr>
      <w:r>
        <w:rPr>
          <w:rFonts w:ascii="Arial" w:cs="Arial" w:eastAsia="Arial" w:hAnsi="Arial"/>
          <w:sz w:val="16"/>
          <w:szCs w:val="16"/>
          <w:color w:val="auto"/>
        </w:rPr>
        <w:t>The registrant is registering under this registration statement such indeterminate number of shares of common stock and preferred stock, such indeterminate principal amount of debt securities, such indeterminate number of warrants to purchase common stock, preferred stock and/or debt securities, such indeterminate number of rights, and such indeterminate number of units as may be sold by the Registrant from time to time at unspecified prices, which shall have an aggregate initial offering price not to exceed $200,000,000. If any debt securities are issued at an original issue discount, then the principal amount of such debt securities shall be in such greater amount as shall result in an aggregate initial offering price not to exceed $200,000,000, less the aggregate dollar amount of all securities previously issued hereunder. The securities registered for sale also include such indeterminate number of shares of common stock and preferred stock as may be issued upon conversion of debt securities, such indeterminate number of shares of common stock that may be issued upon conversion of preferred stock and such indeterminate number of shares of common stock, preferred stock and warrants and principal amount of debt securities that may be issued upon exercise of warrants or rights.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proposed maximum offering price per share will be determined, from time to time, by the registrant in connection with the issuance by the registrant of the securities registered hereunder and is not specified as to each class of security pursuant to Instruction 2.A.iii.b. to the Calculation of Filing Fee Tables and Related Disclosure on Item 16(b) of Form S-3 under the Securities Act. Separate consideration may or may not be received for securities that are issuable upon the conversion or exercise of, or in exchange for, other securities offered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58420</wp:posOffset>
            </wp:positionV>
            <wp:extent cx="715327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198" w:lineRule="exact"/>
        <w:rPr>
          <w:sz w:val="20"/>
          <w:szCs w:val="20"/>
          <w:color w:val="auto"/>
        </w:rPr>
      </w:pPr>
    </w:p>
    <w:p>
      <w:pPr>
        <w:ind w:left="200" w:hanging="168"/>
        <w:spacing w:after="0"/>
        <w:tabs>
          <w:tab w:leader="none" w:pos="200" w:val="left"/>
        </w:tabs>
        <w:numPr>
          <w:ilvl w:val="0"/>
          <w:numId w:val="98"/>
        </w:numPr>
        <w:rPr>
          <w:rFonts w:ascii="Arial" w:cs="Arial" w:eastAsia="Arial" w:hAnsi="Arial"/>
          <w:sz w:val="20"/>
          <w:szCs w:val="20"/>
          <w:color w:val="auto"/>
          <w:vertAlign w:val="superscript"/>
        </w:rPr>
      </w:pPr>
      <w:r>
        <w:rPr>
          <w:rFonts w:ascii="Arial" w:cs="Arial" w:eastAsia="Arial" w:hAnsi="Arial"/>
          <w:sz w:val="16"/>
          <w:szCs w:val="16"/>
          <w:color w:val="auto"/>
        </w:rPr>
        <w:t>Pursuant to Rule 415(a)(6) under the Securities Act, the securities registered pursuant to this registration statement include $151,038,000 million of</w:t>
      </w:r>
    </w:p>
    <w:p>
      <w:pPr>
        <w:sectPr>
          <w:pgSz w:w="11900" w:h="16894" w:orient="portrait"/>
          <w:cols w:equalWidth="0" w:num="1">
            <w:col w:w="11360"/>
          </w:cols>
          <w:pgMar w:left="300" w:top="141" w:right="239" w:bottom="0" w:gutter="0" w:footer="0" w:header="0"/>
        </w:sectPr>
      </w:pPr>
    </w:p>
    <w:bookmarkStart w:id="107" w:name="page108"/>
    <w:bookmarkEnd w:id="107"/>
    <w:p>
      <w:pPr>
        <w:ind w:left="200" w:right="60"/>
        <w:spacing w:after="0" w:line="241" w:lineRule="auto"/>
        <w:rPr>
          <w:sz w:val="20"/>
          <w:szCs w:val="20"/>
          <w:color w:val="auto"/>
        </w:rPr>
      </w:pPr>
      <w:r>
        <w:rPr>
          <w:rFonts w:ascii="Arial" w:cs="Arial" w:eastAsia="Arial" w:hAnsi="Arial"/>
          <w:sz w:val="16"/>
          <w:szCs w:val="16"/>
          <w:color w:val="auto"/>
        </w:rPr>
        <w:t>unsold securities (the "Unsold Securities") previously registered pursuant to the Registration Statement on Form S-3 (File No. 333-268288), which was declared effective on November 21, 2022 (the "Prior Registration Statement"). In connection with the filing of the Prior Registration Statement, the Registrant paid a filing fee of $16,644.39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The Registrant is also registering new securities on this registration statement with an aggregate offering price of $48,962,000 (the "New Securities"), which aggregate offering price is not specified as to each class of securities. A filing fee of $6,761.66 with respect to the New Securities is being paid in connection with the filing of this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the offering of securities under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715327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153275" cy="3810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346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7"/>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vMerge w:val="restart"/>
            <w:shd w:val="clear" w:color="auto" w:fill="9ADAF6"/>
          </w:tcPr>
          <w:p>
            <w:pPr>
              <w:jc w:val="right"/>
              <w:ind w:right="99"/>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Paid</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vMerge w:val="restart"/>
            <w:shd w:val="clear" w:color="auto" w:fill="9ADAF6"/>
          </w:tcPr>
          <w:p>
            <w:pPr>
              <w:ind w:left="20"/>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0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40" w:type="dxa"/>
            <w:vAlign w:val="bottom"/>
            <w:tcBorders>
              <w:left w:val="single" w:sz="8" w:color="auto"/>
            </w:tcBorders>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3"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shd w:val="clear" w:color="auto" w:fill="9ADAF6"/>
          </w:tcPr>
          <w:p>
            <w:pPr>
              <w:jc w:val="right"/>
              <w:ind w:right="19"/>
              <w:spacing w:after="0" w:line="163"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righ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jc w:val="center"/>
              <w:ind w:right="139"/>
              <w:spacing w:after="0" w:line="183"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60" w:type="dxa"/>
            <w:vAlign w:val="bottom"/>
            <w:gridSpan w:val="3"/>
            <w:shd w:val="clear" w:color="auto" w:fill="9ADAF6"/>
          </w:tcPr>
          <w:p>
            <w:pPr>
              <w:jc w:val="right"/>
              <w:spacing w:after="0" w:line="183"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0" w:type="dxa"/>
            <w:vAlign w:val="bottom"/>
            <w:tcBorders>
              <w:left w:val="single" w:sz="8" w:color="auto"/>
            </w:tcBorders>
          </w:tcPr>
          <w:p>
            <w:pPr>
              <w:spacing w:after="0"/>
              <w:rPr>
                <w:sz w:val="9"/>
                <w:szCs w:val="9"/>
                <w:color w:val="auto"/>
              </w:rPr>
            </w:pPr>
          </w:p>
        </w:tc>
        <w:tc>
          <w:tcPr>
            <w:tcW w:w="4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Type</w:t>
            </w: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3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tcBorders>
              <w:right w:val="single" w:sz="8" w:color="9ADAF6"/>
            </w:tcBorders>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0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1"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4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3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tcBorders>
              <w:right w:val="single" w:sz="8" w:color="9ADAF6"/>
            </w:tcBorders>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0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Source</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4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3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40" w:type="dxa"/>
            <w:vAlign w:val="bottom"/>
            <w:tcBorders>
              <w:right w:val="single" w:sz="8" w:color="9ADAF6"/>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3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9"/>
          </w:tcPr>
          <w:p>
            <w:pPr>
              <w:jc w:val="right"/>
              <w:ind w:right="79"/>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8"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2"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4"/>
                <w:szCs w:val="14"/>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0" w:type="dxa"/>
            <w:vAlign w:val="bottom"/>
            <w:tcBorders>
              <w:lef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3"/>
          </w:tcPr>
          <w:p>
            <w:pPr>
              <w:ind w:left="30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1000" w:type="dxa"/>
            <w:vAlign w:val="bottom"/>
            <w:gridSpan w:val="3"/>
            <w:shd w:val="clear" w:color="auto" w:fill="E7E7E2"/>
          </w:tcPr>
          <w:p>
            <w:pPr>
              <w:spacing w:after="0" w:line="178"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1000" w:type="dxa"/>
            <w:vAlign w:val="bottom"/>
            <w:gridSpan w:val="3"/>
            <w:shd w:val="clear" w:color="auto" w:fill="E7E7E2"/>
          </w:tcPr>
          <w:p>
            <w:pPr>
              <w:spacing w:after="0" w:line="172"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4"/>
                <w:szCs w:val="14"/>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16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2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880" w:type="dxa"/>
            <w:vAlign w:val="bottom"/>
            <w:tcBorders>
              <w:right w:val="single" w:sz="8" w:color="E7E7E2"/>
            </w:tcBorders>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4"/>
                <w:szCs w:val="14"/>
                <w:color w:val="auto"/>
              </w:rPr>
            </w:pPr>
          </w:p>
        </w:tc>
        <w:tc>
          <w:tcPr>
            <w:tcW w:w="52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980" w:type="dxa"/>
            <w:vAlign w:val="bottom"/>
            <w:gridSpan w:val="3"/>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100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right w:val="single" w:sz="8" w:color="E7E7E2"/>
            </w:tcBorders>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100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3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40" w:type="dxa"/>
            <w:vAlign w:val="bottom"/>
            <w:tcBorders>
              <w:right w:val="single" w:sz="8" w:color="E7E7E2"/>
            </w:tcBorders>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346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380"/>
              <w:spacing w:after="0" w:line="184" w:lineRule="exact"/>
              <w:rPr>
                <w:sz w:val="20"/>
                <w:szCs w:val="20"/>
                <w:color w:val="auto"/>
              </w:rPr>
            </w:pPr>
            <w:r>
              <w:rPr>
                <w:rFonts w:ascii="MS PGothic" w:cs="MS PGothic" w:eastAsia="MS PGothic" w:hAnsi="MS PGothic"/>
                <w:sz w:val="16"/>
                <w:szCs w:val="16"/>
                <w:color w:val="auto"/>
                <w:highlight w:val="black"/>
                <w:w w:val="99"/>
              </w:rPr>
              <w:t>☑</w:t>
            </w:r>
            <w:r>
              <w:rPr>
                <w:rFonts w:ascii="Arial" w:cs="Arial" w:eastAsia="Arial" w:hAnsi="Arial"/>
                <w:sz w:val="16"/>
                <w:szCs w:val="16"/>
                <w:b w:val="1"/>
                <w:bCs w:val="1"/>
                <w:color w:val="auto"/>
                <w:w w:val="99"/>
              </w:rPr>
              <w:t>Not Applicable</w:t>
            </w: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680" w:type="dxa"/>
            <w:vAlign w:val="bottom"/>
            <w:gridSpan w:val="3"/>
            <w:vMerge w:val="restart"/>
            <w:shd w:val="clear" w:color="auto" w:fill="9ADAF6"/>
          </w:tcPr>
          <w:p>
            <w:pPr>
              <w:jc w:val="center"/>
              <w:ind w:right="220"/>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400"/>
              <w:spacing w:after="0" w:line="183" w:lineRule="exact"/>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1660" w:type="dxa"/>
            <w:vAlign w:val="bottom"/>
            <w:gridSpan w:val="4"/>
            <w:vMerge w:val="restart"/>
            <w:shd w:val="clear" w:color="auto" w:fill="9ADAF6"/>
          </w:tcPr>
          <w:p>
            <w:pPr>
              <w:ind w:left="20"/>
              <w:spacing w:after="0" w:line="183" w:lineRule="exact"/>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restart"/>
            <w:shd w:val="clear" w:color="auto" w:fill="9ADAF6"/>
          </w:tcPr>
          <w:p>
            <w:pPr>
              <w:jc w:val="center"/>
              <w:ind w:right="62"/>
              <w:spacing w:after="0" w:line="183"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680" w:type="dxa"/>
            <w:vAlign w:val="bottom"/>
            <w:gridSpan w:val="3"/>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gridSpan w:val="3"/>
            <w:vMerge w:val="restart"/>
            <w:shd w:val="clear" w:color="auto" w:fill="9ADAF6"/>
          </w:tcPr>
          <w:p>
            <w:pPr>
              <w:ind w:left="260"/>
              <w:spacing w:after="0" w:line="183" w:lineRule="exact"/>
              <w:rPr>
                <w:sz w:val="20"/>
                <w:szCs w:val="20"/>
                <w:color w:val="auto"/>
              </w:rPr>
            </w:pPr>
            <w:r>
              <w:rPr>
                <w:rFonts w:ascii="Arial" w:cs="Arial" w:eastAsia="Arial" w:hAnsi="Arial"/>
                <w:sz w:val="16"/>
                <w:szCs w:val="16"/>
                <w:b w:val="1"/>
                <w:bCs w:val="1"/>
                <w:color w:val="auto"/>
              </w:rPr>
              <w:t>Security Type</w:t>
            </w: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gridSpan w:val="5"/>
            <w:vMerge w:val="restart"/>
            <w:shd w:val="clear" w:color="auto" w:fill="9ADAF6"/>
          </w:tcPr>
          <w:p>
            <w:pPr>
              <w:ind w:left="640"/>
              <w:spacing w:after="0" w:line="183" w:lineRule="exact"/>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166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shd w:val="clear" w:color="auto" w:fill="9ADAF6"/>
          </w:tcPr>
          <w:p>
            <w:pPr>
              <w:ind w:left="80"/>
              <w:spacing w:after="0" w:line="183" w:lineRule="exact"/>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7"/>
                <w:szCs w:val="7"/>
                <w:color w:val="auto"/>
              </w:rPr>
            </w:pPr>
          </w:p>
        </w:tc>
        <w:tc>
          <w:tcPr>
            <w:tcW w:w="900" w:type="dxa"/>
            <w:vAlign w:val="bottom"/>
            <w:gridSpan w:val="4"/>
            <w:vMerge w:val="restart"/>
            <w:shd w:val="clear" w:color="auto" w:fill="9ADAF6"/>
          </w:tcPr>
          <w:p>
            <w:pPr>
              <w:jc w:val="center"/>
              <w:ind w:right="20"/>
              <w:spacing w:after="0" w:line="183" w:lineRule="exact"/>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restart"/>
            <w:shd w:val="clear" w:color="auto" w:fill="9ADAF6"/>
          </w:tcPr>
          <w:p>
            <w:pPr>
              <w:ind w:left="380"/>
              <w:spacing w:after="0" w:line="183" w:lineRule="exact"/>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83"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restart"/>
            <w:shd w:val="clear" w:color="auto" w:fill="9ADAF6"/>
          </w:tcPr>
          <w:p>
            <w:pPr>
              <w:jc w:val="center"/>
              <w:ind w:right="62"/>
              <w:spacing w:after="0" w:line="183"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7"/>
                <w:szCs w:val="7"/>
                <w:color w:val="auto"/>
              </w:rPr>
            </w:pPr>
          </w:p>
        </w:tc>
        <w:tc>
          <w:tcPr>
            <w:tcW w:w="11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4"/>
            <w:vMerge w:val="continue"/>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540" w:type="dxa"/>
            <w:vAlign w:val="bottom"/>
            <w:gridSpan w:val="2"/>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gridSpan w:val="2"/>
            <w:vMerge w:val="restart"/>
            <w:shd w:val="clear" w:color="auto" w:fill="9ADAF6"/>
          </w:tcPr>
          <w:p>
            <w:pPr>
              <w:jc w:val="center"/>
              <w:ind w:right="260"/>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40" w:type="dxa"/>
            <w:vAlign w:val="bottom"/>
            <w:gridSpan w:val="3"/>
            <w:vMerge w:val="restart"/>
            <w:shd w:val="clear" w:color="auto" w:fill="9ADAF6"/>
          </w:tcPr>
          <w:p>
            <w:pPr>
              <w:jc w:val="center"/>
              <w:ind w:right="281"/>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40" w:type="dxa"/>
            <w:vAlign w:val="bottom"/>
            <w:tcBorders>
              <w:righ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gridSpan w:val="2"/>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0" w:type="dxa"/>
            <w:vAlign w:val="bottom"/>
            <w:tcBorders>
              <w:left w:val="single" w:sz="8" w:color="auto"/>
            </w:tcBorders>
          </w:tcPr>
          <w:p>
            <w:pPr>
              <w:spacing w:after="0"/>
              <w:rPr>
                <w:sz w:val="7"/>
                <w:szCs w:val="7"/>
                <w:color w:val="auto"/>
              </w:rPr>
            </w:pPr>
          </w:p>
        </w:tc>
        <w:tc>
          <w:tcPr>
            <w:tcW w:w="4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420" w:type="dxa"/>
            <w:vAlign w:val="bottom"/>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560" w:type="dxa"/>
            <w:vAlign w:val="bottom"/>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80" w:type="dxa"/>
            <w:vAlign w:val="bottom"/>
            <w:shd w:val="clear" w:color="auto" w:fill="E7E7E2"/>
          </w:tcPr>
          <w:p>
            <w:pPr>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20" w:type="dxa"/>
            <w:vAlign w:val="bottom"/>
            <w:shd w:val="clear" w:color="auto" w:fill="E7E7E2"/>
          </w:tcPr>
          <w:p>
            <w:pPr>
              <w:ind w:left="440"/>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140" w:type="dxa"/>
            <w:vAlign w:val="bottom"/>
            <w:tcBorders>
              <w:right w:val="single" w:sz="8" w:color="E7E7E2"/>
            </w:tcBorders>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520" w:type="dxa"/>
            <w:vAlign w:val="bottom"/>
            <w:shd w:val="clear" w:color="auto" w:fill="E7E7E2"/>
          </w:tcPr>
          <w:p>
            <w:pPr>
              <w:jc w:val="center"/>
              <w:ind w:right="82"/>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60" w:type="dxa"/>
            <w:vAlign w:val="bottom"/>
            <w:gridSpan w:val="2"/>
            <w:shd w:val="clear" w:color="auto" w:fill="E7E7E2"/>
          </w:tcPr>
          <w:p>
            <w:pPr>
              <w:jc w:val="center"/>
              <w:ind w:right="260"/>
              <w:spacing w:after="0"/>
              <w:rPr>
                <w:sz w:val="20"/>
                <w:szCs w:val="20"/>
                <w:color w:val="auto"/>
              </w:rPr>
            </w:pPr>
            <w:r>
              <w:rPr>
                <w:rFonts w:ascii="Arial" w:cs="Arial" w:eastAsia="Arial" w:hAnsi="Arial"/>
                <w:sz w:val="16"/>
                <w:szCs w:val="16"/>
                <w:color w:val="auto"/>
              </w:rPr>
              <w:t>N/A</w:t>
            </w:r>
          </w:p>
        </w:tc>
        <w:tc>
          <w:tcPr>
            <w:tcW w:w="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
      <w:numFmt w:val="bullet"/>
      <w:start w:val="1"/>
    </w:lvl>
  </w:abstractNum>
  <w:abstractNum w:abstractNumId="34">
    <w:nsid w:val="4AD084E9"/>
    <w:multiLevelType w:val="hybridMultilevel"/>
    <w:lvl w:ilvl="0">
      <w:lvlJc w:val="left"/>
      <w:lvlText w:val="%1"/>
      <w:numFmt w:val="decimal"/>
      <w:start w:val="107"/>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1)"/>
      <w:numFmt w:val="decimal"/>
      <w:start w:val="1"/>
    </w:lvl>
    <w:lvl w:ilvl="1">
      <w:lvlJc w:val="left"/>
      <w:lvlText w:val="(%2)"/>
      <w:numFmt w:val="lowerRoman"/>
      <w:start w:val="1"/>
    </w:lvl>
  </w:abstractNum>
  <w:abstractNum w:abstractNumId="38">
    <w:nsid w:val="100F8FCA"/>
    <w:multiLevelType w:val="hybridMultilevel"/>
    <w:lvl w:ilvl="0">
      <w:lvlJc w:val="left"/>
      <w:lvlText w:val="(%1)"/>
      <w:numFmt w:val="decimal"/>
      <w:start w:val="2"/>
    </w:lvl>
    <w:lvl w:ilvl="1">
      <w:lvlJc w:val="left"/>
      <w:lvlText w:val="(%2)"/>
      <w:numFmt w:val="lowerRoman"/>
      <w:start w:val="1"/>
    </w:lvl>
  </w:abstractNum>
  <w:abstractNum w:abstractNumId="39">
    <w:nsid w:val="6590700B"/>
    <w:multiLevelType w:val="hybridMultilevel"/>
    <w:lvl w:ilvl="0">
      <w:lvlJc w:val="left"/>
      <w:lvlText w:val="%1"/>
      <w:numFmt w:val="decimal"/>
      <w:start w:val="1"/>
    </w:lvl>
    <w:lvl w:ilvl="1">
      <w:lvlJc w:val="left"/>
      <w:lvlText w:val="(%2)"/>
      <w:numFmt w:val="lowerRoman"/>
      <w:start w:val="2"/>
    </w:lvl>
  </w:abstractNum>
  <w:abstractNum w:abstractNumId="40">
    <w:nsid w:val="15014ACB"/>
    <w:multiLevelType w:val="hybridMultilevel"/>
    <w:lvl w:ilvl="0">
      <w:lvlJc w:val="left"/>
      <w:lvlText w:val="(%1)"/>
      <w:numFmt w:val="decimal"/>
      <w:start w:val="5"/>
    </w:lvl>
    <w:lvl w:ilvl="1">
      <w:lvlJc w:val="left"/>
      <w:lvlText w:val="(%2)"/>
      <w:numFmt w:val="lowerRoman"/>
      <w:start w:val="1"/>
    </w:lvl>
  </w:abstractNum>
  <w:abstractNum w:abstractNumId="41">
    <w:nsid w:val="5F5E7FD0"/>
    <w:multiLevelType w:val="hybridMultilevel"/>
    <w:lvl w:ilvl="0">
      <w:lvlJc w:val="left"/>
      <w:lvlText w:val="(%1)"/>
      <w:numFmt w:val="decimal"/>
      <w:start w:val="8"/>
    </w:lvl>
  </w:abstractNum>
  <w:abstractNum w:abstractNumId="42">
    <w:nsid w:val="98A3148"/>
    <w:multiLevelType w:val="hybridMultilevel"/>
    <w:lvl w:ilvl="0">
      <w:lvlJc w:val="left"/>
      <w:lvlText w:val="(%1)"/>
      <w:numFmt w:val="lowerLetter"/>
      <w:start w:val="1"/>
    </w:lvl>
    <w:lvl w:ilvl="1">
      <w:lvlJc w:val="left"/>
      <w:lvlText w:val="(%2)"/>
      <w:numFmt w:val="decimal"/>
      <w:start w:val="1"/>
    </w:lvl>
  </w:abstractNum>
  <w:abstractNum w:abstractNumId="43">
    <w:nsid w:val="799D0247"/>
    <w:multiLevelType w:val="hybridMultilevel"/>
    <w:lvl w:ilvl="0">
      <w:lvlJc w:val="left"/>
      <w:lvlText w:val="(%1)"/>
      <w:numFmt w:val="decimal"/>
      <w:start w:val="3"/>
    </w:lvl>
  </w:abstractNum>
  <w:abstractNum w:abstractNumId="44">
    <w:nsid w:val="6B94764"/>
    <w:multiLevelType w:val="hybridMultilevel"/>
    <w:lvl w:ilvl="0">
      <w:lvlJc w:val="left"/>
      <w:lvlText w:val="(%1)"/>
      <w:numFmt w:val="decimal"/>
      <w:start w:val="15"/>
    </w:lvl>
  </w:abstractNum>
  <w:abstractNum w:abstractNumId="45">
    <w:nsid w:val="42C296BD"/>
    <w:multiLevelType w:val="hybridMultilevel"/>
    <w:lvl w:ilvl="0">
      <w:lvlJc w:val="left"/>
      <w:lvlText w:val="(%1)"/>
      <w:numFmt w:val="decimal"/>
      <w:start w:val="26"/>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1)"/>
      <w:numFmt w:val="lowerLetter"/>
      <w:start w:val="1"/>
    </w:lvl>
  </w:abstractNum>
  <w:abstractNum w:abstractNumId="48">
    <w:nsid w:val="661E3F1E"/>
    <w:multiLevelType w:val="hybridMultilevel"/>
    <w:lvl w:ilvl="0">
      <w:lvlJc w:val="left"/>
      <w:lvlText w:val="(%1)"/>
      <w:numFmt w:val="lowerLetter"/>
      <w:start w:val="3"/>
    </w:lvl>
  </w:abstractNum>
  <w:abstractNum w:abstractNumId="49">
    <w:nsid w:val="5DC79EA8"/>
    <w:multiLevelType w:val="hybridMultilevel"/>
    <w:lvl w:ilvl="0">
      <w:lvlJc w:val="left"/>
      <w:lvlText w:val="(%1)"/>
      <w:numFmt w:val="lowerLetter"/>
      <w:start w:val="4"/>
    </w:lvl>
  </w:abstractNum>
  <w:abstractNum w:abstractNumId="50">
    <w:nsid w:val="540A471C"/>
    <w:multiLevelType w:val="hybridMultilevel"/>
    <w:lvl w:ilvl="0">
      <w:lvlJc w:val="left"/>
      <w:lvlText w:val="(%1)"/>
      <w:numFmt w:val="lowerLetter"/>
      <w:start w:val="1"/>
    </w:lvl>
  </w:abstractNum>
  <w:abstractNum w:abstractNumId="51">
    <w:nsid w:val="7BD3EE7B"/>
    <w:multiLevelType w:val="hybridMultilevel"/>
    <w:lvl w:ilvl="0">
      <w:lvlJc w:val="left"/>
      <w:lvlText w:val="(%1)"/>
      <w:numFmt w:val="lowerLetter"/>
      <w:start w:val="3"/>
    </w:lvl>
  </w:abstractNum>
  <w:abstractNum w:abstractNumId="52">
    <w:nsid w:val="51D9C564"/>
    <w:multiLevelType w:val="hybridMultilevel"/>
    <w:lvl w:ilvl="0">
      <w:lvlJc w:val="left"/>
      <w:lvlText w:val="(%1)"/>
      <w:numFmt w:val="lowerLetter"/>
      <w:start w:val="1"/>
    </w:lvl>
  </w:abstractNum>
  <w:abstractNum w:abstractNumId="53">
    <w:nsid w:val="613EFDC5"/>
    <w:multiLevelType w:val="hybridMultilevel"/>
    <w:lvl w:ilvl="0">
      <w:lvlJc w:val="left"/>
      <w:lvlText w:val="(%1)"/>
      <w:numFmt w:val="lowerLetter"/>
      <w:start w:val="2"/>
    </w:lvl>
  </w:abstractNum>
  <w:abstractNum w:abstractNumId="54">
    <w:nsid w:val="BF72B14"/>
    <w:multiLevelType w:val="hybridMultilevel"/>
    <w:lvl w:ilvl="0">
      <w:lvlJc w:val="left"/>
      <w:lvlText w:val="(%1)"/>
      <w:numFmt w:val="lowerLetter"/>
      <w:start w:val="1"/>
    </w:lvl>
  </w:abstractNum>
  <w:abstractNum w:abstractNumId="55">
    <w:nsid w:val="11447B73"/>
    <w:multiLevelType w:val="hybridMultilevel"/>
    <w:lvl w:ilvl="0">
      <w:lvlJc w:val="left"/>
      <w:lvlText w:val="(%1)"/>
      <w:numFmt w:val="lowerLetter"/>
      <w:start w:val="1"/>
    </w:lvl>
    <w:lvl w:ilvl="1">
      <w:lvlJc w:val="left"/>
      <w:lvlText w:val="(%2)"/>
      <w:numFmt w:val="decimal"/>
      <w:start w:val="1"/>
    </w:lvl>
  </w:abstractNum>
  <w:abstractNum w:abstractNumId="56">
    <w:nsid w:val="42963E5A"/>
    <w:multiLevelType w:val="hybridMultilevel"/>
    <w:lvl w:ilvl="0">
      <w:lvlJc w:val="left"/>
      <w:lvlText w:val="%1"/>
      <w:numFmt w:val="lowerLetter"/>
      <w:start w:val="1"/>
    </w:lvl>
    <w:lvl w:ilvl="1">
      <w:lvlJc w:val="left"/>
      <w:lvlText w:val="(%2)"/>
      <w:numFmt w:val="decimal"/>
      <w:start w:val="4"/>
    </w:lvl>
  </w:abstractNum>
  <w:abstractNum w:abstractNumId="57">
    <w:nsid w:val="A0382C5"/>
    <w:multiLevelType w:val="hybridMultilevel"/>
    <w:lvl w:ilvl="0">
      <w:lvlJc w:val="left"/>
      <w:lvlText w:val="(%1)"/>
      <w:numFmt w:val="lowerLetter"/>
      <w:start w:val="2"/>
    </w:lvl>
    <w:lvl w:ilvl="1">
      <w:lvlJc w:val="left"/>
      <w:lvlText w:val="%2"/>
      <w:numFmt w:val="decimal"/>
      <w:start w:val="1"/>
    </w:lvl>
  </w:abstractNum>
  <w:abstractNum w:abstractNumId="58">
    <w:nsid w:val="8F2B15E"/>
    <w:multiLevelType w:val="hybridMultilevel"/>
    <w:lvl w:ilvl="0">
      <w:lvlJc w:val="left"/>
      <w:lvlText w:val="(%1)"/>
      <w:numFmt w:val="lowerLetter"/>
      <w:start w:val="1"/>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lowerLetter"/>
      <w:start w:val="1"/>
    </w:lvl>
  </w:abstractNum>
  <w:abstractNum w:abstractNumId="61">
    <w:nsid w:val="68EB2F63"/>
    <w:multiLevelType w:val="hybridMultilevel"/>
    <w:lvl w:ilvl="0">
      <w:lvlJc w:val="left"/>
      <w:lvlText w:val="(%1)"/>
      <w:numFmt w:val="lowerLetter"/>
      <w:start w:val="1"/>
    </w:lvl>
    <w:lvl w:ilvl="1">
      <w:lvlJc w:val="left"/>
      <w:lvlText w:val="(%2)"/>
      <w:numFmt w:val="decimal"/>
      <w:start w:val="1"/>
    </w:lvl>
  </w:abstractNum>
  <w:abstractNum w:abstractNumId="62">
    <w:nsid w:val="496281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63">
    <w:nsid w:val="60B6DF70"/>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64">
    <w:nsid w:val="6A5EE64"/>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65">
    <w:nsid w:val="14330624"/>
    <w:multiLevelType w:val="hybridMultilevel"/>
    <w:lvl w:ilvl="0">
      <w:lvlJc w:val="left"/>
      <w:lvlText w:val="(%1)"/>
      <w:numFmt w:val="lowerLetter"/>
      <w:start w:val="4"/>
    </w:lvl>
  </w:abstractNum>
  <w:abstractNum w:abstractNumId="66">
    <w:nsid w:val="7FFFCA11"/>
    <w:multiLevelType w:val="hybridMultilevel"/>
    <w:lvl w:ilvl="0">
      <w:lvlJc w:val="left"/>
      <w:lvlText w:val="(%1)"/>
      <w:numFmt w:val="lowerLetter"/>
      <w:start w:val="1"/>
    </w:lvl>
  </w:abstractNum>
  <w:abstractNum w:abstractNumId="67">
    <w:nsid w:val="1A27709E"/>
    <w:multiLevelType w:val="hybridMultilevel"/>
    <w:lvl w:ilvl="0">
      <w:lvlJc w:val="left"/>
      <w:lvlText w:val="(%1)"/>
      <w:numFmt w:val="lowerLetter"/>
      <w:start w:val="4"/>
    </w:lvl>
  </w:abstractNum>
  <w:abstractNum w:abstractNumId="68">
    <w:nsid w:val="71EA1109"/>
    <w:multiLevelType w:val="hybridMultilevel"/>
    <w:lvl w:ilvl="0">
      <w:lvlJc w:val="left"/>
      <w:lvlText w:val="(%1)"/>
      <w:numFmt w:val="lowerLetter"/>
      <w:start w:val="1"/>
    </w:lvl>
  </w:abstractNum>
  <w:abstractNum w:abstractNumId="69">
    <w:nsid w:val="100F59DC"/>
    <w:multiLevelType w:val="hybridMultilevel"/>
    <w:lvl w:ilvl="0">
      <w:lvlJc w:val="left"/>
      <w:lvlText w:val="(%1)"/>
      <w:numFmt w:val="lowerLetter"/>
      <w:start w:val="2"/>
    </w:lvl>
  </w:abstractNum>
  <w:abstractNum w:abstractNumId="70">
    <w:nsid w:val="7FB7E0AA"/>
    <w:multiLevelType w:val="hybridMultilevel"/>
    <w:lvl w:ilvl="0">
      <w:lvlJc w:val="left"/>
      <w:lvlText w:val="(%1)"/>
      <w:numFmt w:val="lowerLetter"/>
      <w:start w:val="1"/>
    </w:lvl>
  </w:abstractNum>
  <w:abstractNum w:abstractNumId="71">
    <w:nsid w:val="6EB5BD4"/>
    <w:multiLevelType w:val="hybridMultilevel"/>
    <w:lvl w:ilvl="0">
      <w:lvlJc w:val="left"/>
      <w:lvlText w:val="(%1)"/>
      <w:numFmt w:val="lowerRoman"/>
      <w:start w:val="1"/>
    </w:lvl>
    <w:lvl w:ilvl="1">
      <w:lvlJc w:val="left"/>
      <w:lvlText w:val="(%2)"/>
      <w:numFmt w:val="upperLetter"/>
      <w:start w:val="1"/>
    </w:lvl>
  </w:abstractNum>
  <w:abstractNum w:abstractNumId="72">
    <w:nsid w:val="6F6DD9AC"/>
    <w:multiLevelType w:val="hybridMultilevel"/>
    <w:lvl w:ilvl="0">
      <w:lvlJc w:val="left"/>
      <w:lvlText w:val="(%1)"/>
      <w:numFmt w:val="lowerRoman"/>
      <w:start w:val="2"/>
    </w:lvl>
  </w:abstractNum>
  <w:abstractNum w:abstractNumId="73">
    <w:nsid w:val="94211F2"/>
    <w:multiLevelType w:val="hybridMultilevel"/>
    <w:lvl w:ilvl="0">
      <w:lvlJc w:val="left"/>
      <w:lvlText w:val="(%1)"/>
      <w:numFmt w:val="lowerLetter"/>
      <w:start w:val="1"/>
    </w:lvl>
  </w:abstractNum>
  <w:abstractNum w:abstractNumId="74">
    <w:nsid w:val="885E1B"/>
    <w:multiLevelType w:val="hybridMultilevel"/>
    <w:lvl w:ilvl="0">
      <w:lvlJc w:val="left"/>
      <w:lvlText w:val="(%1)"/>
      <w:numFmt w:val="lowerLetter"/>
      <w:start w:val="4"/>
    </w:lvl>
  </w:abstractNum>
  <w:abstractNum w:abstractNumId="75">
    <w:nsid w:val="76272110"/>
    <w:multiLevelType w:val="hybridMultilevel"/>
    <w:lvl w:ilvl="0">
      <w:lvlJc w:val="left"/>
      <w:lvlText w:val="(%1)"/>
      <w:numFmt w:val="lowerLetter"/>
      <w:start w:val="10"/>
    </w:lvl>
  </w:abstractNum>
  <w:abstractNum w:abstractNumId="76">
    <w:nsid w:val="4C04A8AF"/>
    <w:multiLevelType w:val="hybridMultilevel"/>
    <w:lvl w:ilvl="0">
      <w:lvlJc w:val="left"/>
      <w:lvlText w:val="(%1)"/>
      <w:numFmt w:val="lowerLetter"/>
      <w:start w:val="1"/>
    </w:lvl>
  </w:abstractNum>
  <w:abstractNum w:abstractNumId="77">
    <w:nsid w:val="1716703B"/>
    <w:multiLevelType w:val="hybridMultilevel"/>
    <w:lvl w:ilvl="0">
      <w:lvlJc w:val="left"/>
      <w:lvlText w:val="(%1)"/>
      <w:numFmt w:val="lowerLetter"/>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1)"/>
      <w:numFmt w:val="lowerLetter"/>
      <w:start w:val="2"/>
    </w:lvl>
    <w:lvl w:ilvl="1">
      <w:lvlJc w:val="left"/>
      <w:lvlText w:val="(%2)"/>
      <w:numFmt w:val="lowerRoman"/>
      <w:start w:val="1"/>
    </w:lvl>
  </w:abstractNum>
  <w:abstractNum w:abstractNumId="80">
    <w:nsid w:val="74DE0EE3"/>
    <w:multiLevelType w:val="hybridMultilevel"/>
    <w:lvl w:ilvl="0">
      <w:lvlJc w:val="left"/>
      <w:lvlText w:val="(%1)"/>
      <w:numFmt w:val="lowerLetter"/>
      <w:start w:val="3"/>
    </w:lvl>
  </w:abstractNum>
  <w:abstractNum w:abstractNumId="81">
    <w:nsid w:val="68EBC550"/>
    <w:multiLevelType w:val="hybridMultilevel"/>
    <w:lvl w:ilvl="0">
      <w:lvlJc w:val="left"/>
      <w:lvlText w:val="(%1)"/>
      <w:numFmt w:val="lowerLetter"/>
      <w:start w:val="1"/>
    </w:lvl>
  </w:abstractNum>
  <w:abstractNum w:abstractNumId="82">
    <w:nsid w:val="2DF6D648"/>
    <w:multiLevelType w:val="hybridMultilevel"/>
    <w:lvl w:ilvl="0">
      <w:lvlJc w:val="left"/>
      <w:lvlText w:val="(%1)"/>
      <w:numFmt w:val="lowerLetter"/>
      <w:start w:val="4"/>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2"/>
    </w:lvl>
  </w:abstractNum>
  <w:abstractNum w:abstractNumId="85">
    <w:nsid w:val="39EE015C"/>
    <w:multiLevelType w:val="hybridMultilevel"/>
    <w:lvl w:ilvl="0">
      <w:lvlJc w:val="left"/>
      <w:lvlText w:val="(%1)"/>
      <w:numFmt w:val="lowerLetter"/>
      <w:start w:val="1"/>
    </w:lvl>
  </w:abstractNum>
  <w:abstractNum w:abstractNumId="86">
    <w:nsid w:val="57FC4FBB"/>
    <w:multiLevelType w:val="hybridMultilevel"/>
    <w:lvl w:ilvl="0">
      <w:lvlJc w:val="left"/>
      <w:lvlText w:val="(%1)"/>
      <w:numFmt w:val="lowerLetter"/>
      <w:start w:val="8"/>
    </w:lvl>
  </w:abstractNum>
  <w:abstractNum w:abstractNumId="87">
    <w:nsid w:val="CC1016F"/>
    <w:multiLevelType w:val="hybridMultilevel"/>
    <w:lvl w:ilvl="0">
      <w:lvlJc w:val="left"/>
      <w:lvlText w:val="(%1)"/>
      <w:numFmt w:val="lowerLetter"/>
      <w:start w:val="1"/>
    </w:lvl>
  </w:abstractNum>
  <w:abstractNum w:abstractNumId="88">
    <w:nsid w:val="43F18422"/>
    <w:multiLevelType w:val="hybridMultilevel"/>
    <w:lvl w:ilvl="0">
      <w:lvlJc w:val="left"/>
      <w:lvlText w:val="(%1)"/>
      <w:numFmt w:val="lowerLetter"/>
      <w:start w:val="2"/>
    </w:lvl>
  </w:abstractNum>
  <w:abstractNum w:abstractNumId="89">
    <w:nsid w:val="60EF0119"/>
    <w:multiLevelType w:val="hybridMultilevel"/>
    <w:lvl w:ilvl="0">
      <w:lvlJc w:val="left"/>
      <w:lvlText w:val="%1"/>
      <w:numFmt w:val="lowerLetter"/>
      <w:start w:val="1"/>
    </w:lvl>
    <w:lvl w:ilvl="1">
      <w:lvlJc w:val="left"/>
      <w:lvlText w:val="(%2)"/>
      <w:numFmt w:val="lowerLetter"/>
      <w:start w:val="1"/>
    </w:lvl>
  </w:abstractNum>
  <w:abstractNum w:abstractNumId="90">
    <w:nsid w:val="26F324BA"/>
    <w:multiLevelType w:val="hybridMultilevel"/>
    <w:lvl w:ilvl="0">
      <w:lvlJc w:val="left"/>
      <w:lvlText w:val="(%1)"/>
      <w:numFmt w:val="lowerLetter"/>
      <w:start w:val="61"/>
    </w:lvl>
    <w:lvl w:ilvl="1">
      <w:lvlJc w:val="left"/>
      <w:lvlText w:val="%2"/>
      <w:numFmt w:val="lowerLetter"/>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1."/>
      <w:numFmt w:val="decimal"/>
      <w:start w:val="2"/>
    </w:lvl>
  </w:abstractNum>
  <w:abstractNum w:abstractNumId="94">
    <w:nsid w:val="5FB8370B"/>
    <w:multiLevelType w:val="hybridMultilevel"/>
    <w:lvl w:ilvl="0">
      <w:lvlJc w:val="left"/>
      <w:lvlText w:val="%1."/>
      <w:numFmt w:val="decimal"/>
      <w:start w:val="4"/>
    </w:lvl>
  </w:abstractNum>
  <w:abstractNum w:abstractNumId="95">
    <w:nsid w:val="50801EE1"/>
    <w:multiLevelType w:val="hybridMultilevel"/>
    <w:lvl w:ilvl="0">
      <w:lvlJc w:val="left"/>
      <w:lvlText w:val="%1."/>
      <w:numFmt w:val="decimal"/>
      <w:start w:val="6"/>
    </w:lvl>
    <w:lvl w:ilvl="1">
      <w:lvlJc w:val="left"/>
      <w:lvlText w:val="*"/>
      <w:numFmt w:val="bullet"/>
      <w:start w:val="1"/>
    </w:lvl>
  </w:abstractNum>
  <w:abstractNum w:abstractNumId="96">
    <w:nsid w:val="488AC1A"/>
    <w:multiLevelType w:val="hybridMultilevel"/>
    <w:lvl w:ilvl="0">
      <w:lvlJc w:val="left"/>
      <w:lvlText w:val="1"/>
      <w:numFmt w:val="bullet"/>
      <w:start w:val="1"/>
    </w:lvl>
  </w:abstractNum>
  <w:abstractNum w:abstractNumId="97">
    <w:nsid w:val="5FB8011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jpe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64" Type="http://schemas.openxmlformats.org/officeDocument/2006/relationships/hyperlink" Target="http://www.sec.gov/ix?doc=/Archives/edgar/data/0001740279/000095017025038738/inab-20241231.htm" TargetMode="External"/><Relationship Id="rId65" Type="http://schemas.openxmlformats.org/officeDocument/2006/relationships/hyperlink" Target="http://www.sec.gov/ix?doc=/Archives/edgar/data/0001740279/000119312525114915/d932107d10ka.htm" TargetMode="External"/><Relationship Id="rId66" Type="http://schemas.openxmlformats.org/officeDocument/2006/relationships/hyperlink" Target="http://www.sec.gov/ix?doc=/Archives/edgar/data/0001740279/000119312525100951/d948398ddefr14a.htm" TargetMode="External"/><Relationship Id="rId67" Type="http://schemas.openxmlformats.org/officeDocument/2006/relationships/hyperlink" Target="http://www.sec.gov/ix?doc=/Archives/edgar/data/0001740279/000095017025065609/inab-20250331.htm" TargetMode="External"/><Relationship Id="rId68" Type="http://schemas.openxmlformats.org/officeDocument/2006/relationships/hyperlink" Target="http://www.sec.gov/ix?doc=/Archives/edgar/data/0001740279/000095017025105028/inab-20250630.htm" TargetMode="External"/><Relationship Id="rId69" Type="http://schemas.openxmlformats.org/officeDocument/2006/relationships/hyperlink" Target="http://www.sec.gov/ix?doc=/Archives/edgar/data/0001740279/000119312525269447/inab-20250930.htm" TargetMode="External"/><Relationship Id="rId70" Type="http://schemas.openxmlformats.org/officeDocument/2006/relationships/hyperlink" Target="http://www.sec.gov/ix?doc=/Archives/edgar/data/0001740279/000119312525098597/d597671d8k.htm" TargetMode="External"/><Relationship Id="rId71" Type="http://schemas.openxmlformats.org/officeDocument/2006/relationships/hyperlink" Target="http://www.sec.gov/ix?doc=/Archives/edgar/data/0001740279/000119312525098599/d788811d8k.htm" TargetMode="External"/><Relationship Id="rId72" Type="http://schemas.openxmlformats.org/officeDocument/2006/relationships/hyperlink" Target="http://www.sec.gov/ix?doc=/Archives/edgar/data/0001740279/000119312525116901/d911601d8k.htm" TargetMode="External"/><Relationship Id="rId73" Type="http://schemas.openxmlformats.org/officeDocument/2006/relationships/hyperlink" Target="http://www.sec.gov/ix?doc=/Archives/edgar/data/0001740279/000119312525132783/d945167d8k.htm" TargetMode="External"/><Relationship Id="rId74" Type="http://schemas.openxmlformats.org/officeDocument/2006/relationships/hyperlink" Target="http://www.sec.gov/ix?doc=/Archives/edgar/data/0001740279/000119312525134487/d927529d8k.htm" TargetMode="External"/><Relationship Id="rId75" Type="http://schemas.openxmlformats.org/officeDocument/2006/relationships/hyperlink" Target="http://www.sec.gov/ix?doc=/Archives/edgar/data/0001740279/000119312525152037/d866741d8k.htm" TargetMode="External"/><Relationship Id="rId76" Type="http://schemas.openxmlformats.org/officeDocument/2006/relationships/hyperlink" Target="http://www.sec.gov/ix?doc=/Archives/edgar/data/0001740279/000119312525250756/d65132d8k.htm" TargetMode="External"/><Relationship Id="rId77" Type="http://schemas.openxmlformats.org/officeDocument/2006/relationships/hyperlink" Target="http://www.sec.gov/Archives/edgar/data/1740279/000095017025038738/inab-ex4_3.htm" TargetMode="External"/><Relationship Id="rId88" Type="http://schemas.openxmlformats.org/officeDocument/2006/relationships/hyperlink" Target="http://www.sec.gov/Archives/edgar/data/1740279/000110465921099436/tm2030088d31_ex3-1.htm" TargetMode="External"/><Relationship Id="rId89" Type="http://schemas.openxmlformats.org/officeDocument/2006/relationships/hyperlink" Target="http://www.sec.gov/Archives/edgar/data/1740279/000119312525134487/d927529dex31.htm" TargetMode="External"/><Relationship Id="rId90" Type="http://schemas.openxmlformats.org/officeDocument/2006/relationships/hyperlink" Target="http://www.sec.gov/Archives/edgar/data/1740279/000119312523290707/d634027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2025-11-07T16:19:29Z</dcterms:created>
  <dcterms:modified xsi:type="dcterms:W3CDTF">2025-11-07T16:19:29Z</dcterms:modified>
</cp:coreProperties>
</file>