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December 18, 2025, IN8bio, Inc. (the “Company”) entered into a Securities Purchase Agreement (the “Purchase Agreement”) with the purchasers named therein (the “Investors”), pursuant to which the Company agreed to issue and sell shares (the “Shares”) of the Company’s common stock, par value $0.0001 per share (“Common Stock”), and, in lieu of Common Stock, pre-funded warrants (the “Pre-Funded Warrants” and, together with the Shares, the “Securities”) to purchase shares of Common Stock (the “Warrant Shares”), in up to two closings in a private placement (the “Private Placement”).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initial closing (the “Initial Closing”) of the Private Placement is anticipated to occur on or about December 22, 2025, subject to customary closing conditions. At the Initial Closing, the Company has agreed to issue and sell to the Investors an aggregate of 5,127,029 Shares of Common Stock, at a purchase price of $1.38 per Share (the “Share Price”), and, in lieu of Common Stock, Pre-Funded Warrants to purchase up to 9,452,677 Warrant Shares, at a purchase price of $1.3799 per Pre-Funded Warrant (the “Pre-Funded Warrant Price”) for aggregate gross proceeds of approximately $20.1 million, before deducting placement agent fees and other private placement expenses.</w:t>
      </w:r>
    </w:p>
    <w:p>
      <w:pPr>
        <w:spacing w:after="0" w:line="18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Pursuant to the Purchase Agreement, subject to the occurrence of the Second Closing Trigger (as defined below), the Company also agreed to issue and sell to the Investors in a second closing (the “Second Closing”) up to an additional 14,579,706 Shares of Common Stock or Pre-Funded Warrants in lieu of Common Stock, at the Share Price and the Pre-Funded Warrant Price, respectively, for additional aggregate gross proceeds of approximately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$20.1 million, before deducting placement agent fees and other private placement expenses. The Second Closing Trigger shall occur upon (i) the achievement, during the period commencing on the date of the Initial Closing and ending on December 31, 2026, of the presentation by the Company of animal model data for its INB-619 product candidate (the “INB-619 Milestone”), and (ii) either (A) the achievement of a volume weighted average price per share of equal to or greater than 200% of the Share Price (subject to appropriate, proportional adjustment for any stock splits or combinations of the Common Stock occurring after the date of the Purchase Agreement) measured during any five consecutive trading days during the 90 trading days following the date of the Company’s first announcement via a press release or Current Report on Form 8-K of the occurrence of the INB-619 Milestone (such period the “Measurement Period” and such price threshold requirement, the “Price Threshold”) or (b) the Company’s receipt of a written notice signed by the Investors holding a majority of the Securities outstanding from time to time and delivered to the Company during the Measurement Period that waives the Price Threshold for purposes of the Second Closing.</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Company may, at its sole discretion, elect to reduce the Investors’ committed investment amounts for the Second Closing, on a pro rata basis, by an amount equal to any cash proceeds received from any licensing, partnership or other collaboration agreements that are not attributable to the issuance of any equity or equity-linked securities. The Company also granted each Investor the right until December 31, 2026 to participate in a subsequent equity financing of the Company up to 200% of the amount equal to such Investor’s investment amounts for the Initial Closing and Second Closing (as adjusted pursuant to the Company’s reduction right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Pre-Funded Warrants will have an exercise price of $0.0001 per share. Each Pre-Funded Warrant will be exercisable immediately and will be exercisable until such Pre-Funded Warrant is exercised in full. In lieu of a cash payment to the Company in payment of the aggregate exercise price upon exercise of a Pre-Funded Warrant, the holder may elect instead to receive upon such exercise (either in whole or in part) the net number of shares of Common Stock determined according to a formula set forth in the Pre-Funded Warrants.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terms of the Pre-Funded Warrants, the Company may not give effect the exercise of any such Pre-Funded Warrant, and a holder will not be entitled to exercise any portion of any such Pre-Funded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(the “Exchange Act”)</w:t>
      </w:r>
    </w:p>
    <w:p>
      <w:pPr>
        <w:sectPr>
          <w:pgSz w:w="11900" w:h="16838" w:orient="portrait"/>
          <w:cols w:equalWidth="0" w:num="1">
            <w:col w:w="11000"/>
          </w:cols>
          <w:pgMar w:left="440" w:top="293" w:right="459" w:bottom="1440" w:gutter="0" w:footer="0" w:header="0"/>
        </w:sectPr>
      </w:pPr>
    </w:p>
    <w:bookmarkStart w:id="2" w:name="page3"/>
    <w:bookmarkEnd w:id="2"/>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would exceed a percentage set at the discretion of each Investor between 0% and 19.99% of the number of shares of Common Stock outstanding immediately after giving effect to such exercise, which percentage may be increased or decreased to any other percentage up to 19.99% at the holder’s election upon 61 days’ notice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Also on December 18, 2025, the Company entered into a registration rights agreement (the “Registration Rights Agreement”) with the Investors, pursuant to which the Company agreed to register for resale the Shares and the Warrant Shares (collectively, the “Registrable Securities”). Under the Registration Rights Agreement, the Company agreed to file a registration statement (each, a “Registration Statement”) covering the resale by the Investors of the Registrable Securities no later than 30 days following the Initial Closing or Second Closing, as applicable (each a “Filing Date”).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agreed to use its reasonable best efforts to cause each Registration Statement to be declared effective at the earliest possible date after the filing thereof and in any case not more than 90 days following the filing thereof if the Securities and Exchange Commission (the “SEC”) reviews the Registration Statement (each, an “Effectiveness Deadline”). The Company has also agreed to use reasonable best efforts to keep such Registration Statement effective until the earlier of the date that all Registrable Securities covered by such registration statement have been sold or can be sold without restriction pursuant to Rule 144 and without the requirement to be in compliance with Rule 144(c)(1) (or any successor thereof) promulgated under the Securities Act of 1933, as amended (the “Securities Act”). The Company has agreed to be responsible for all fees and expenses incurred in connection with the registration of the Registrable Securities.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event that (i) a Registration Statement has not been filed by the applicable Filing Date, (ii) a Registration Statement is not declared effective by the applicable Effectiveness Deadline, or (iii) after a Registration Statement has been declared effective by the SEC, sales cannot be made pursuant to such Registration Statement for any reason, subject to certain limited exceptions, then the Company has agreed to make pro rata payments to each Investor as liquidated damages in an amount equal to 1% of the aggregate amount paid by each such Investor for the Registrable Securities covered by the Registration Statement per 30-day period or pro rata for any portion thereof during which such event continues, subject to a cap set forth in the Registration Rights Agreement.</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agreed to, among other things, indemnify each Investor,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against certain liabilities incident to the Company’s obligations under the Registration Rights Agreement.</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Private Placement is exempt from registration pursuant to Section 4(a)(2) of the Securities Act as a transaction by an issuer not involving a public offering. Each Investor has represented that, if an entity, it is a “qualified institutional buyer” as defined in Rule 144A under the Securities Act or an institutional “accredited investor” as defined in Rule 501(a) under Regulation D under the Securities Act, or if an individual, he or she is an “accredited investor” as that term is defined in Rule 501(a) under Regulation D of the Securities Act. Each Investor has further represented that that it is purchasing the Shares and/or Pre-Funded Warrants solely for the Investor’s own account and not for the account of others and will not be acquiring the securities with a view to or for sale in connection with any distribution thereof in violation of the Securities Act, and appropriate legends will be affixed to the securities issued in this transaction.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Pre-Funded Warrants, the Purchase Agreement and the Registration Rights Agreement do not purport to be complete and are qualified in their entirety by reference to the full text of such agreements, copies or forms of which are filed as Exhibit 4.1, 10.1 and 10.2, respectively, to this Current Report on Form 8-K, and are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 and the Registration Rights Agreement were made solely for the benefit of the parties thereto and the placement agent expressly named as a third-party beneficiary therein and may be subject to limitations agreed upon by the contracting parties. Accordingly, the Purchase Agreement and the Registration Rights Agreement are incorporated herein by reference only to provide</w:t>
      </w:r>
    </w:p>
    <w:p>
      <w:pPr>
        <w:sectPr>
          <w:pgSz w:w="11900" w:h="16838" w:orient="portrait"/>
          <w:cols w:equalWidth="0" w:num="1">
            <w:col w:w="10980"/>
          </w:cols>
          <w:pgMar w:left="440" w:top="297" w:right="479" w:bottom="1440" w:gutter="0" w:footer="0" w:header="0"/>
        </w:sectPr>
      </w:pPr>
    </w:p>
    <w:bookmarkStart w:id="3" w:name="page4"/>
    <w:bookmarkEnd w:id="3"/>
    <w:p>
      <w:pPr>
        <w:ind w:left="4"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Private Placement is incorporated by reference into this Item 3.02.</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Pre-Funded Warrant</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Securities Purchase Agreement, dated as of December 18,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Registration Rights Agreement, dated as of December 18,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Company will supplementally furnish copies of omitted schedules and exhibits to the SEC or its staff upon its request.</w:t>
      </w:r>
    </w:p>
    <w:p>
      <w:pPr>
        <w:sectPr>
          <w:pgSz w:w="11900" w:h="16838" w:orient="portrait"/>
          <w:cols w:equalWidth="0" w:num="1">
            <w:col w:w="10924"/>
          </w:cols>
          <w:pgMar w:left="436" w:top="297" w:right="5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December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(IV) THE SECURITIES ARE TRANSFERRED WITHOUT CONSIDERATION TO AN AFFILIATE OF SUCH HOLDER OR A CUSTODIAL NOMINEE (WHICH FOR THE AVOIDANCE OF DOUBT SHALL REQUIRE NEITHER CONSENT NOR THE DELIVERY OF AN OPINION).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22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34"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Warrant No. [•]</w:t>
      </w:r>
      <w:r>
        <w:rPr>
          <w:sz w:val="20"/>
          <w:szCs w:val="20"/>
          <w:color w:val="auto"/>
        </w:rPr>
        <w:tab/>
      </w:r>
      <w:r>
        <w:rPr>
          <w:rFonts w:ascii="Times New Roman" w:cs="Times New Roman" w:eastAsia="Times New Roman" w:hAnsi="Times New Roman"/>
          <w:sz w:val="18"/>
          <w:szCs w:val="18"/>
          <w:color w:val="auto"/>
        </w:rPr>
        <w:t>Original Issue Date: [•], 2025</w:t>
      </w:r>
    </w:p>
    <w:p>
      <w:pPr>
        <w:spacing w:after="0" w:line="2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IN8bio,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shares of common stock, par value $0.0001 per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 $0.0001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in each case as adjusted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7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This Warrant is one of a series of similar warrants issued pursuant to that certain Securities Purchase Agreement, dated [•], 2025, by and among the Company and the Investors identified therein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as such terms are used in or construed under Rule 405 under the Securities Act.</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with respect to any Person, such Person’s Affiliates and any other Person whose beneficial ownership of Common Stock would be aggregated with such Person’s for purposes of Section 13(d) or Section 16 of the Exchange Act and the applicable regulations of the SEC, including any “group” of which such Person is a member. For clarity, the purpose of the foregoing is to subject collectively the Holder and all other Attribution Parties to the Maximum Percentage.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Capital Market.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ind w:right="20" w:firstLine="436"/>
        <w:spacing w:after="0" w:line="259" w:lineRule="auto"/>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The Company shall register ownership of this Warrant, upon records to be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ind w:left="-20" w:firstLine="436"/>
        <w:spacing w:after="0" w:line="253" w:lineRule="auto"/>
        <w:tabs>
          <w:tab w:leader="none" w:pos="6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of Transfers</w:t>
      </w:r>
      <w:r>
        <w:rPr>
          <w:rFonts w:ascii="Times New Roman" w:cs="Times New Roman" w:eastAsia="Times New Roman" w:hAnsi="Times New Roman"/>
          <w:sz w:val="18"/>
          <w:szCs w:val="18"/>
          <w:color w:val="auto"/>
        </w:rPr>
        <w:t>. This Warrant and all rights hereunder (including, without limitation, any registration rights) are transferable,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9"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20" w:right="580" w:firstLine="987"/>
        <w:spacing w:after="0" w:line="312" w:lineRule="auto"/>
        <w:tabs>
          <w:tab w:leader="none" w:pos="121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at any time and from time to time on or after the Original Issue Date, and such rights shall not expire until exercised in full.</w:t>
      </w:r>
    </w:p>
    <w:p>
      <w:pPr>
        <w:spacing w:after="0" w:line="139" w:lineRule="exact"/>
        <w:rPr>
          <w:rFonts w:ascii="Times New Roman" w:cs="Times New Roman" w:eastAsia="Times New Roman" w:hAnsi="Times New Roman"/>
          <w:sz w:val="17"/>
          <w:szCs w:val="17"/>
          <w:color w:val="auto"/>
        </w:rPr>
      </w:pPr>
    </w:p>
    <w:p>
      <w:pPr>
        <w:ind w:left="-20" w:firstLine="987"/>
        <w:spacing w:after="0" w:line="255" w:lineRule="auto"/>
        <w:tabs>
          <w:tab w:leader="none" w:pos="12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8" w:lineRule="exact"/>
        <w:rPr>
          <w:rFonts w:ascii="Times New Roman" w:cs="Times New Roman" w:eastAsia="Times New Roman" w:hAnsi="Times New Roman"/>
          <w:sz w:val="18"/>
          <w:szCs w:val="18"/>
          <w:color w:val="auto"/>
        </w:rPr>
      </w:pPr>
    </w:p>
    <w:p>
      <w:pPr>
        <w:jc w:val="both"/>
        <w:ind w:left="-20" w:right="160" w:firstLine="987"/>
        <w:spacing w:after="0" w:line="266" w:lineRule="auto"/>
        <w:tabs>
          <w:tab w:leader="none" w:pos="12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8" w:name="page9"/>
    <w:bookmarkEnd w:id="8"/>
    <w:p>
      <w:pPr>
        <w:ind w:left="580" w:hanging="184"/>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Warrant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0" w:right="20" w:firstLine="987"/>
        <w:spacing w:after="0" w:line="252" w:lineRule="auto"/>
        <w:tabs>
          <w:tab w:leader="none" w:pos="11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Custodian 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7" w:lineRule="exact"/>
        <w:rPr>
          <w:rFonts w:ascii="Times New Roman" w:cs="Times New Roman" w:eastAsia="Times New Roman" w:hAnsi="Times New Roman"/>
          <w:sz w:val="18"/>
          <w:szCs w:val="18"/>
          <w:color w:val="auto"/>
        </w:rPr>
      </w:pPr>
    </w:p>
    <w:p>
      <w:pPr>
        <w:ind w:left="-40" w:firstLine="987"/>
        <w:spacing w:after="0" w:line="253" w:lineRule="auto"/>
        <w:tabs>
          <w:tab w:leader="none" w:pos="12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91"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1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9" w:name="page10"/>
    <w:bookmarkEnd w:id="9"/>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68" w:lineRule="exact"/>
        <w:rPr>
          <w:sz w:val="20"/>
          <w:szCs w:val="20"/>
          <w:color w:val="auto"/>
        </w:rPr>
      </w:pPr>
    </w:p>
    <w:p>
      <w:pPr>
        <w:ind w:right="100" w:firstLine="436"/>
        <w:spacing w:after="0" w:line="257" w:lineRule="auto"/>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and delivery of Exercise Shares shall be made without charge to the Holder for any issue or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4" w:lineRule="auto"/>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0" w:name="page11"/>
    <w:bookmarkEnd w:id="10"/>
    <w:p>
      <w:pPr>
        <w:ind w:left="-20" w:right="300" w:firstLine="436"/>
        <w:spacing w:after="0" w:line="286" w:lineRule="auto"/>
        <w:tabs>
          <w:tab w:leader="none" w:pos="6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 subject to adjustment from time to time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ind w:left="-20" w:right="40" w:firstLine="987"/>
        <w:spacing w:after="0" w:line="253" w:lineRule="auto"/>
        <w:tabs>
          <w:tab w:leader="none" w:pos="12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7"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-1259840</wp:posOffset>
            </wp:positionV>
            <wp:extent cx="28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66" w:right="459" w:bottom="1440" w:gutter="0" w:footer="0" w:header="0"/>
        </w:sectPr>
      </w:pPr>
    </w:p>
    <w:bookmarkStart w:id="11" w:name="page12"/>
    <w:bookmarkEnd w:id="11"/>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0" w:lineRule="exact"/>
        <w:rPr>
          <w:sz w:val="20"/>
          <w:szCs w:val="20"/>
          <w:color w:val="auto"/>
        </w:rPr>
      </w:pPr>
    </w:p>
    <w:p>
      <w:pPr>
        <w:ind w:left="4" w:right="20" w:firstLine="987"/>
        <w:spacing w:after="0" w:line="252" w:lineRule="auto"/>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jc w:val="both"/>
        <w:ind w:left="4" w:right="20" w:firstLine="987"/>
        <w:spacing w:after="0" w:line="270"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2" w:name="page13"/>
    <w:bookmarkEnd w:id="1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87" w:lineRule="exact"/>
        <w:rPr>
          <w:sz w:val="20"/>
          <w:szCs w:val="20"/>
          <w:color w:val="auto"/>
        </w:rPr>
      </w:pPr>
    </w:p>
    <w:p>
      <w:pPr>
        <w:jc w:val="both"/>
        <w:ind w:right="100"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Number of Warrant Shares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ind w:right="240" w:firstLine="987"/>
        <w:spacing w:after="0" w:line="256"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jc w:val="both"/>
        <w:ind w:firstLine="987"/>
        <w:spacing w:after="0" w:line="277" w:lineRule="auto"/>
        <w:tabs>
          <w:tab w:leader="none" w:pos="124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Corporate Events</w:t>
      </w:r>
      <w:r>
        <w:rPr>
          <w:rFonts w:ascii="Times New Roman" w:cs="Times New Roman" w:eastAsia="Times New Roman" w:hAnsi="Times New Roman"/>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185" w:lineRule="exact"/>
        <w:rPr>
          <w:sz w:val="20"/>
          <w:szCs w:val="20"/>
          <w:color w:val="auto"/>
        </w:rPr>
      </w:pPr>
    </w:p>
    <w:p>
      <w:pPr>
        <w:ind w:right="120" w:firstLine="436"/>
        <w:spacing w:after="0" w:line="268" w:lineRule="auto"/>
        <w:tabs>
          <w:tab w:leader="none" w:pos="71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 = Y [(A-B)/A]</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117" w:lineRule="exact"/>
        <w:rPr>
          <w:sz w:val="20"/>
          <w:szCs w:val="20"/>
          <w:color w:val="auto"/>
        </w:rPr>
      </w:pPr>
    </w:p>
    <w:p>
      <w:pPr>
        <w:ind w:left="440" w:right="220" w:firstLine="423"/>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 as of the Trading Day on the date immediately preceding the Exercise Date; and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Fractional Shares), in no event will the exercise of this Warrant be settled in cash.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4" w:name="page15"/>
    <w:bookmarkEnd w:id="14"/>
    <w:p>
      <w:pPr>
        <w:ind w:left="704" w:hanging="264"/>
        <w:spacing w:after="0"/>
        <w:tabs>
          <w:tab w:leader="none" w:pos="70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Exercise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40" w:firstLine="987"/>
        <w:spacing w:after="0" w:line="252" w:lineRule="auto"/>
        <w:tabs>
          <w:tab w:leader="none" w:pos="12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a percentage set at the discretion of each Holder between 0% and 19.99%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Common Stock that would be issued and outstanding following such exercise. The initial Maximum Percentage is [•]%.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Paragraph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For any reason at any time, upon the written or oral request of the Holder, the Company shall within one Trade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spacing w:after="0" w:line="190" w:lineRule="exact"/>
        <w:rPr>
          <w:sz w:val="20"/>
          <w:szCs w:val="20"/>
          <w:color w:val="auto"/>
        </w:rPr>
      </w:pPr>
    </w:p>
    <w:p>
      <w:pPr>
        <w:ind w:right="40" w:firstLine="987"/>
        <w:spacing w:after="0" w:line="253" w:lineRule="auto"/>
        <w:tabs>
          <w:tab w:leader="none" w:pos="124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7" w:lineRule="exact"/>
        <w:rPr>
          <w:rFonts w:ascii="Times New Roman" w:cs="Times New Roman" w:eastAsia="Times New Roman" w:hAnsi="Times New Roman"/>
          <w:sz w:val="18"/>
          <w:szCs w:val="18"/>
          <w:color w:val="auto"/>
        </w:rPr>
      </w:pPr>
    </w:p>
    <w:p>
      <w:pPr>
        <w:ind w:right="140" w:firstLine="436"/>
        <w:spacing w:after="0" w:line="268" w:lineRule="auto"/>
        <w:tabs>
          <w:tab w:leader="none" w:pos="71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0" w:lineRule="exact"/>
        <w:rPr>
          <w:rFonts w:ascii="Times New Roman" w:cs="Times New Roman" w:eastAsia="Times New Roman" w:hAnsi="Times New Roman"/>
          <w:sz w:val="18"/>
          <w:szCs w:val="18"/>
          <w:b w:val="1"/>
          <w:bCs w:val="1"/>
          <w:color w:val="auto"/>
        </w:rPr>
      </w:pPr>
    </w:p>
    <w:p>
      <w:pPr>
        <w:ind w:right="160" w:firstLine="436"/>
        <w:spacing w:after="0" w:line="268" w:lineRule="auto"/>
        <w:tabs>
          <w:tab w:leader="none" w:pos="71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confirmed e-mail at the e-mail address specified in the books and records of the Transfer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79" w:lineRule="exact"/>
        <w:rPr>
          <w:sz w:val="20"/>
          <w:szCs w:val="20"/>
          <w:color w:val="auto"/>
        </w:rPr>
      </w:pPr>
    </w:p>
    <w:p>
      <w:pPr>
        <w:ind w:right="40" w:firstLine="436"/>
        <w:spacing w:after="0" w:line="257" w:lineRule="auto"/>
        <w:tabs>
          <w:tab w:leader="none" w:pos="71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3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7" w:name="page18"/>
    <w:bookmarkEnd w:id="1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0" w:lineRule="exact"/>
        <w:rPr>
          <w:sz w:val="20"/>
          <w:szCs w:val="20"/>
          <w:color w:val="auto"/>
        </w:rPr>
      </w:pPr>
    </w:p>
    <w:p>
      <w:pPr>
        <w:ind w:right="140" w:firstLine="987"/>
        <w:spacing w:after="0" w:line="258"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1" w:lineRule="exact"/>
        <w:rPr>
          <w:rFonts w:ascii="Times New Roman" w:cs="Times New Roman" w:eastAsia="Times New Roman" w:hAnsi="Times New Roman"/>
          <w:sz w:val="18"/>
          <w:szCs w:val="18"/>
          <w:color w:val="auto"/>
        </w:rPr>
      </w:pPr>
    </w:p>
    <w:p>
      <w:pPr>
        <w:ind w:right="80" w:firstLine="987"/>
        <w:spacing w:after="0" w:line="252"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8" w:name="page19"/>
    <w:bookmarkEnd w:id="18"/>
    <w:p>
      <w:pPr>
        <w:ind w:left="-140" w:right="180" w:firstLine="987"/>
        <w:spacing w:after="0" w:line="282" w:lineRule="auto"/>
        <w:tabs>
          <w:tab w:leader="none" w:pos="11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140" w:firstLine="987"/>
        <w:spacing w:after="0" w:line="261" w:lineRule="auto"/>
        <w:tabs>
          <w:tab w:leader="none" w:pos="11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40"/>
          </w:cols>
          <w:pgMar w:left="580" w:top="270"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880" w:top="270" w:right="539" w:bottom="1440" w:gutter="0" w:footer="0" w:header="0"/>
        </w:sectPr>
      </w:pPr>
    </w:p>
    <w:bookmarkStart w:id="20" w:name="page21"/>
    <w:bookmarkEnd w:id="2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hanging="4"/>
        <w:spacing w:after="0" w:line="28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“Warrant”) issued by IN8bio, Inc., a Delaware corporation (the “Company”). Capitalized terms used herein and not otherwise defined herein have the respective meanings set forth in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225" w:lineRule="exact"/>
        <w:rPr>
          <w:rFonts w:ascii="MS PGothic" w:cs="MS PGothic" w:eastAsia="MS PGothic" w:hAnsi="MS PGothic"/>
          <w:sz w:val="18"/>
          <w:szCs w:val="18"/>
          <w:color w:val="auto"/>
        </w:rPr>
      </w:pPr>
    </w:p>
    <w:p>
      <w:pPr>
        <w:ind w:left="4" w:right="300" w:hanging="4"/>
        <w:spacing w:after="0" w:line="28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4" w:right="220" w:hanging="4"/>
        <w:spacing w:after="0" w:line="28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the following DWAC Account Number: _______________________________</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book-entry form via a direct registration system</w:t>
      </w:r>
    </w:p>
    <w:p>
      <w:pPr>
        <w:spacing w:after="0" w:line="90" w:lineRule="exact"/>
        <w:rPr>
          <w:sz w:val="20"/>
          <w:szCs w:val="20"/>
          <w:color w:val="auto"/>
        </w:rPr>
      </w:pPr>
    </w:p>
    <w:p>
      <w:pPr>
        <w:ind w:left="46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189230</wp:posOffset>
            </wp:positionV>
            <wp:extent cx="22288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43180</wp:posOffset>
            </wp:positionV>
            <wp:extent cx="2228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94" w:lineRule="exact"/>
        <w:rPr>
          <w:sz w:val="20"/>
          <w:szCs w:val="20"/>
          <w:color w:val="auto"/>
        </w:rPr>
      </w:pPr>
    </w:p>
    <w:p>
      <w:pPr>
        <w:ind w:left="964" w:hanging="532"/>
        <w:spacing w:after="0"/>
        <w:tabs>
          <w:tab w:leader="none" w:pos="964"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restricted book-entry form in the Company’s share register</w:t>
      </w:r>
    </w:p>
    <w:p>
      <w:pPr>
        <w:spacing w:after="0" w:line="225" w:lineRule="exact"/>
        <w:rPr>
          <w:rFonts w:ascii="MS PGothic" w:cs="MS PGothic" w:eastAsia="MS PGothic" w:hAnsi="MS PGothic"/>
          <w:sz w:val="18"/>
          <w:szCs w:val="18"/>
          <w:color w:val="auto"/>
        </w:rPr>
      </w:pPr>
    </w:p>
    <w:p>
      <w:pPr>
        <w:ind w:left="4" w:right="180" w:hanging="4"/>
        <w:spacing w:after="0" w:line="261"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17145</wp:posOffset>
            </wp:positionV>
            <wp:extent cx="7029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17145</wp:posOffset>
            </wp:positionV>
            <wp:extent cx="7029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17145</wp:posOffset>
            </wp:positionV>
            <wp:extent cx="702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17145</wp:posOffset>
            </wp:positionV>
            <wp:extent cx="702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17145</wp:posOffset>
            </wp:positionV>
            <wp:extent cx="702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1004"/>
          </w:cols>
          <w:pgMar w:left="436" w:top="266" w:right="4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December 18, 2025, by and among IN8bio,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entities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Investors are executing and delivering this Agreement in reliance upon the exemption from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Rule 506 of Regulation D promulgated under the Securities Act;</w:t>
      </w:r>
    </w:p>
    <w:p>
      <w:pPr>
        <w:spacing w:after="0" w:line="171" w:lineRule="exact"/>
        <w:rPr>
          <w:sz w:val="20"/>
          <w:szCs w:val="20"/>
          <w:color w:val="auto"/>
        </w:rPr>
      </w:pPr>
    </w:p>
    <w:p>
      <w:pPr>
        <w:ind w:right="4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desires to sell to the Investors, and each Investor desires to purchase from the Company, severally and not jointly,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the terms and subject to the conditions stated in this Agreement, (A)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Company’s common stock, par value $</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and/or (B) pre-funded warrants to purchase shares of Common Stock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w:t>
      </w:r>
    </w:p>
    <w:p>
      <w:pPr>
        <w:spacing w:after="0" w:line="177"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Securities at the Initial Closing (as defined below), the parties hereto will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a Registration Rights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pursuant to which the Company will agree to provide certain registration rights in respect of the Shares and the Pre-Funded Warrant Shares (each as defined below) under the Securities Act and applicable state securities laws.</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severally and not jointly, agree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11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as such terms are used in or construed under Rule 405 under the Securities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means the amended and restated bylaws of the Company, as currently in effect.</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means the amended and restated certificate of incorporation of the Company, as currently in effect.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ATM Facility</w:t>
      </w:r>
      <w:r>
        <w:rPr>
          <w:rFonts w:ascii="Times New Roman" w:cs="Times New Roman" w:eastAsia="Times New Roman" w:hAnsi="Times New Roman"/>
          <w:sz w:val="18"/>
          <w:szCs w:val="18"/>
          <w:color w:val="auto"/>
        </w:rPr>
        <w:t>” means the Company’s “at-the-market” offering facility with Cantor Fitzgerald &amp; Co., or any subsequent sales agent thereto.</w:t>
      </w:r>
    </w:p>
    <w:p>
      <w:pPr>
        <w:sectPr>
          <w:pgSz w:w="11900" w:h="16838" w:orient="portrait"/>
          <w:cols w:equalWidth="0" w:num="1">
            <w:col w:w="11020"/>
          </w:cols>
          <w:pgMar w:left="440" w:top="117" w:right="439" w:bottom="1440" w:gutter="0" w:footer="0" w:header="0"/>
        </w:sectPr>
      </w:pPr>
    </w:p>
    <w:bookmarkStart w:id="22" w:name="page23"/>
    <w:bookmarkEnd w:id="22"/>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with respect to any Person, such Person’s Affiliates and any other Person whose beneficial ownership of Common Stock would be aggregated with such Person’s for purposes of Section 13(d) or Section 16 of the Exchange Act and the applicable regulations of the SEC, including any “group” of which such Person is a member.</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a percentage set at the discretion of each Investor between 0% and 19.99% of the number of shares of the Common Stock outstanding immediately after giving effect to the issuance of the Shares on the applicable Closing Date.</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is obligated to contribute for employees or former employees of the Company.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remain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Initial Closing or the Second Closing,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Initial Closing Date or the Second Closing Date,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 or superseded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3" w:name="page24"/>
    <w:bookmarkEnd w:id="23"/>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Exempt Issuance</w:t>
      </w:r>
      <w:r>
        <w:rPr>
          <w:rFonts w:ascii="Times New Roman" w:cs="Times New Roman" w:eastAsia="Times New Roman" w:hAnsi="Times New Roman"/>
          <w:sz w:val="17"/>
          <w:szCs w:val="17"/>
          <w:color w:val="auto"/>
        </w:rPr>
        <w:t>” means the issuance of (i) the Securities pursuant to this Agreement, including the issuance of Common Stock upon the exercise of the Pre-Funded Warrants, (ii) any Common Stock or Common Stock Equivalents upon the conversion, exercise, settlement or vesting of any securities of the Company outstanding on the date of this Agreement or outstanding pursuant to clause (iii) below, (iii) any Common Stock or Common Stock Equivalents pursuant to any Company stock-based compensation plans or in accordance with Nasdaq Stock Market Rule 5635(c)(4), (iv) any Common Stock or Common Stock Equivalents in connection with any merger, joint venture, royalty agreement, strategic transaction, commercial or other collaborative transaction or the acquisition or license of the business, property, technology or other assets of another individual or entity or the assumption of an employee benefit plan in connection with a merger or acquisition, and (v) any Common Stock pursuant to the ATM Facility.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means the representations and warranties made by the Company in </w:t>
      </w:r>
      <w:r>
        <w:rPr>
          <w:rFonts w:ascii="Times New Roman" w:cs="Times New Roman" w:eastAsia="Times New Roman" w:hAnsi="Times New Roman"/>
          <w:sz w:val="18"/>
          <w:szCs w:val="18"/>
          <w:u w:val="single" w:color="auto"/>
          <w:color w:val="auto"/>
        </w:rPr>
        <w:t>Sections 3.1 (Organization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 (Authorization)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 (Valid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 (No Conflict)</w:t>
      </w:r>
      <w:r>
        <w:rPr>
          <w:rFonts w:ascii="Times New Roman" w:cs="Times New Roman" w:eastAsia="Times New Roman" w:hAnsi="Times New Roman"/>
          <w:sz w:val="18"/>
          <w:szCs w:val="18"/>
          <w:color w:val="auto"/>
        </w:rPr>
        <w:t xml:space="preserve">, 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 (SEC Filings;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3.18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3.19 (Sarbanes-Oxley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 (Price Stabilization of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3.24 (Investment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3.25 (General Solicitation;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Integration or 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3.26 (Brokers and 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3.27 (Reliance by the Investors)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3.28 (No Disqualification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3.29 (Other 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3.30 (No Additional Agreements)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INB-619 Milestone</w:t>
      </w:r>
      <w:r>
        <w:rPr>
          <w:rFonts w:ascii="Times New Roman" w:cs="Times New Roman" w:eastAsia="Times New Roman" w:hAnsi="Times New Roman"/>
          <w:sz w:val="18"/>
          <w:szCs w:val="18"/>
          <w:color w:val="auto"/>
        </w:rPr>
        <w:t>” means, during the period commencing on the Initial Closing Date and ending on December 31, 2026, the presentation by the Company of animal model data for INB-619.</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spacing w:after="0" w:line="179"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means the 90 Trading Days following the date of the Company’s first announcement via a press release or Current Report on Form 8-K of the occurrence of the INB-619 Milestone.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Price</w:t>
      </w:r>
      <w:r>
        <w:rPr>
          <w:rFonts w:ascii="Times New Roman" w:cs="Times New Roman" w:eastAsia="Times New Roman" w:hAnsi="Times New Roman"/>
          <w:sz w:val="18"/>
          <w:szCs w:val="18"/>
          <w:color w:val="auto"/>
        </w:rPr>
        <w:t>” means $1.3799.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Threshold</w:t>
      </w:r>
      <w:r>
        <w:rPr>
          <w:rFonts w:ascii="Times New Roman" w:cs="Times New Roman" w:eastAsia="Times New Roman" w:hAnsi="Times New Roman"/>
          <w:sz w:val="18"/>
          <w:szCs w:val="18"/>
          <w:color w:val="auto"/>
        </w:rPr>
        <w:t>” means a VWAP of equal to or greater than 200% of the Share Price (subject to appropriate, proportional adjustment for any stock splits or combinations of the Common Stock occurring after the date of this Agreement) measured during any five (5) consecutive Trading Days during the Measurement Period.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5" w:name="page26"/>
    <w:bookmarkEnd w:id="25"/>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Price Threshold Waiver</w:t>
      </w:r>
      <w:r>
        <w:rPr>
          <w:rFonts w:ascii="Times New Roman" w:cs="Times New Roman" w:eastAsia="Times New Roman" w:hAnsi="Times New Roman"/>
          <w:sz w:val="18"/>
          <w:szCs w:val="18"/>
          <w:color w:val="auto"/>
        </w:rPr>
        <w:t>” means a written notice signed by the Investors holding a majority of the Securities outstanding from time to time (determined as if all of the Pre-Funded Warrants then outstanding have been exercised without regard to any limitations on the exercise of such Pre-Funded Warrants) and delivered to the Company during the Measurement Period that waives the Price Threshold for purposes of the Second Closing.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means (a) the Company’s most recently filed Annual Report on Form 10-K and (b) all Quarterly Reports on Form 10-Q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Closing Aggregate Subscription Amount</w:t>
      </w:r>
      <w:r>
        <w:rPr>
          <w:rFonts w:ascii="Times New Roman" w:cs="Times New Roman" w:eastAsia="Times New Roman" w:hAnsi="Times New Roman"/>
          <w:sz w:val="18"/>
          <w:szCs w:val="18"/>
          <w:color w:val="auto"/>
        </w:rPr>
        <w:t xml:space="preserve">” means the aggregate amount to be paid by all Investors for the Securities purchased hereunder at the Second Closing, as specified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“Second Closing Subscription Amount” in United States dollars and in immediately available funds.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Closing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Closing Notice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440" w:top="266" w:right="63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Second Closing Overage Number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Closing Trigger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means $1.38.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Financing</w:t>
      </w:r>
      <w:r>
        <w:rPr>
          <w:rFonts w:ascii="Times New Roman" w:cs="Times New Roman" w:eastAsia="Times New Roman" w:hAnsi="Times New Roman"/>
          <w:sz w:val="18"/>
          <w:szCs w:val="18"/>
          <w:color w:val="auto"/>
        </w:rPr>
        <w:t>” means the issuance and sale of Common Stock and/or Common Stock Equivalents for cash consideration pursuant to an equity financing agreement or arrangement of or for the Company, other than an Exempt Issuance</w:t>
      </w:r>
      <w:r>
        <w:rPr>
          <w:rFonts w:ascii="Times New Roman" w:cs="Times New Roman" w:eastAsia="Times New Roman" w:hAnsi="Times New Roman"/>
          <w:sz w:val="18"/>
          <w:szCs w:val="18"/>
          <w:u w:val="single" w:color="auto"/>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Financing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Financing Pre-Notice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p>
    <w:p>
      <w:pPr>
        <w:spacing w:after="0" w:line="22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National Exchange is normally open for trading.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the Pre-Funded Warrants and the Registration Rights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27" w:name="page28"/>
    <w:bookmarkEnd w:id="27"/>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Stock, Computershare Trust Company, N.A. or such other financial institution that provides transfer agent services as the Company may engage from time to time.</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daily volume weighted average price of the a share of Common Stock for such date (or the nearest preceding date) on the National Exchange on which the Common Stock is then listed or quoted as reported by Bloomberg L.P. (based on a Trading Day from 9:30 a.m. (New York City time) to 4:02 p.m. (New York City time)).</w:t>
      </w:r>
    </w:p>
    <w:p>
      <w:pPr>
        <w:spacing w:after="0" w:line="175" w:lineRule="exact"/>
        <w:rPr>
          <w:sz w:val="20"/>
          <w:szCs w:val="20"/>
          <w:color w:val="auto"/>
        </w:rPr>
      </w:pPr>
    </w:p>
    <w:p>
      <w:pPr>
        <w:ind w:left="980" w:right="8080" w:hanging="544"/>
        <w:spacing w:after="0" w:line="500" w:lineRule="auto"/>
        <w:tabs>
          <w:tab w:leader="none" w:pos="6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 xml:space="preserve">. 2.1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right="80" w:firstLine="1428"/>
        <w:spacing w:after="0" w:line="261" w:lineRule="auto"/>
        <w:tabs>
          <w:tab w:leader="none" w:pos="16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Initial Closing Date, upon the terms and subject to the conditions set forth herein, the Company agrees to sell, and the Investors, severally and not jointly, agree to purchase, the number and type of Securities, for the aggregate purchase price, set forth opposite each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“Initial Closing.” The price per Share to be sold at the Initial Closing is equal to the Share Price. The price per Pre-Funded Warrant to be sold at the Initial Closing is equal to the Pre-Funded Warrant Price.</w:t>
      </w:r>
    </w:p>
    <w:p>
      <w:pPr>
        <w:spacing w:after="0" w:line="179"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the closing of the purchase and sale of the Securities at the Initial Closing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and the date on which the Initial Closing occurs, the “</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xml:space="preserve">”) shall occur remotely via the exchange of documents and signatures at such time as agreed to by the Company and the Investors, but (i) in no event earlier than the first Business Day after the date of this Agreement and (ii) in no event later than the fifth Business Day after the date of this Agreement. At the Initial Closing, the applicable Securities shall be issued and registered in the name of the Investor, or in such nominee name(s) as designated by such Investor, representing the number of Securities to be purchased by the Investor at the Initial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each case against payment to the Company of the purchase price therefor in full, by wire transfer to the Company of immediately available funds, at or prior to the Initial Closing, in accordance with wire instructions provided by the Company to the Investors at least one Business Day prior to the Initial Closing. On the Initial Closing Date, the Company will (A) instruct the Transfer Agent to issue the applicable Shares in book-entry form, free and clear of all restrictive and other legends (except as expressly provided in Section 4.10 hereof) and the Company shall provide evidence of such issuance from the Company’s Transfer Agent as soon as reasonably practical following the Initial Closing Date to each Investor and (B) deliver to such Investor (or such Investor’s designated custodian per its delivery instructions), or in such nominee name(s) as designated by such Investor, Pre-Funded Warrants exercisable for a number of shares of Common Stock as set forth in Exhibit A with respect to such Investor. In the event that the Initial Closing has not occurred within five Business Days after date hereof, unless otherwise agreed by the Company and such Investor, the Company shall promptly (but no later than one Business Day thereafter) return the previously wired amounts to each respective Investor by wire transfer of United States dollars in immediately available funds to the account specified by each Investor, and any book entries for the Securities shall be deemed cancelled; provided that, unless this Agreement has been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such return of funds shall not terminate this Agreement or relieve such Investor of its obligation to purchase, or the Company of its obligation to issue and sell, the Securities at the Initial Closing.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428"/>
        <w:spacing w:after="0" w:line="261" w:lineRule="auto"/>
        <w:tabs>
          <w:tab w:leader="none" w:pos="16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achievement of the INB-619 Milestone and either (i) the achievement of the Price Threshold or (ii) the Company’s receipt of a Price Threshold Waiver (collectively, the “</w:t>
      </w:r>
      <w:r>
        <w:rPr>
          <w:rFonts w:ascii="Times New Roman" w:cs="Times New Roman" w:eastAsia="Times New Roman" w:hAnsi="Times New Roman"/>
          <w:sz w:val="18"/>
          <w:szCs w:val="18"/>
          <w:b w:val="1"/>
          <w:bCs w:val="1"/>
          <w:color w:val="auto"/>
        </w:rPr>
        <w:t>Second Closing Trigger</w:t>
      </w:r>
      <w:r>
        <w:rPr>
          <w:rFonts w:ascii="Times New Roman" w:cs="Times New Roman" w:eastAsia="Times New Roman" w:hAnsi="Times New Roman"/>
          <w:sz w:val="18"/>
          <w:szCs w:val="18"/>
          <w:color w:val="auto"/>
        </w:rPr>
        <w:t>”), the Company shall, within two (2) Trading Days thereafter, provide written notice to the Investors of such Second Closing Trigger (the “</w:t>
      </w:r>
      <w:r>
        <w:rPr>
          <w:rFonts w:ascii="Times New Roman" w:cs="Times New Roman" w:eastAsia="Times New Roman" w:hAnsi="Times New Roman"/>
          <w:sz w:val="18"/>
          <w:szCs w:val="18"/>
          <w:b w:val="1"/>
          <w:bCs w:val="1"/>
          <w:color w:val="auto"/>
        </w:rPr>
        <w:t>Second Closing Notice</w:t>
      </w:r>
      <w:r>
        <w:rPr>
          <w:rFonts w:ascii="Times New Roman" w:cs="Times New Roman" w:eastAsia="Times New Roman" w:hAnsi="Times New Roman"/>
          <w:sz w:val="18"/>
          <w:szCs w:val="18"/>
          <w:color w:val="auto"/>
        </w:rPr>
        <w:t>,” and the date the Second Closing Notice is delivered, the “</w:t>
      </w:r>
      <w:r>
        <w:rPr>
          <w:rFonts w:ascii="Times New Roman" w:cs="Times New Roman" w:eastAsia="Times New Roman" w:hAnsi="Times New Roman"/>
          <w:sz w:val="18"/>
          <w:szCs w:val="18"/>
          <w:b w:val="1"/>
          <w:bCs w:val="1"/>
          <w:color w:val="auto"/>
        </w:rPr>
        <w:t>Second Closing Notice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20" w:firstLine="1428"/>
        <w:spacing w:after="0" w:line="261"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a second closing under this Agreement (the “</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and the date on which the Second Closing occurs, the “</w:t>
      </w:r>
      <w:r>
        <w:rPr>
          <w:rFonts w:ascii="Times New Roman" w:cs="Times New Roman" w:eastAsia="Times New Roman" w:hAnsi="Times New Roman"/>
          <w:sz w:val="18"/>
          <w:szCs w:val="18"/>
          <w:b w:val="1"/>
          <w:bCs w:val="1"/>
          <w:color w:val="auto"/>
        </w:rPr>
        <w:t>Second Closing Date</w:t>
      </w:r>
      <w:r>
        <w:rPr>
          <w:rFonts w:ascii="Times New Roman" w:cs="Times New Roman" w:eastAsia="Times New Roman" w:hAnsi="Times New Roman"/>
          <w:sz w:val="18"/>
          <w:szCs w:val="18"/>
          <w:color w:val="auto"/>
        </w:rPr>
        <w:t>”) shall occur remotely via the exchange of documents and signatures at such time as mutually agreed to by the Company and the Investors purchasing a majority of the Securities at the Second Closing, but in no event later than the fifth Business Day after the Second Closing Notice Date.</w:t>
      </w:r>
    </w:p>
    <w:p>
      <w:pPr>
        <w:spacing w:after="0" w:line="179" w:lineRule="exact"/>
        <w:rPr>
          <w:rFonts w:ascii="Times New Roman" w:cs="Times New Roman" w:eastAsia="Times New Roman" w:hAnsi="Times New Roman"/>
          <w:sz w:val="18"/>
          <w:szCs w:val="18"/>
          <w:color w:val="auto"/>
        </w:rPr>
      </w:pPr>
    </w:p>
    <w:p>
      <w:pPr>
        <w:ind w:firstLine="1428"/>
        <w:spacing w:after="0" w:line="252" w:lineRule="auto"/>
        <w:tabs>
          <w:tab w:leader="none" w:pos="16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below, at the Second Closing, the Company agrees to sell, and the Investors, severally and not jointly, agree to purchase, the number of Shares equal to (x) the dollar amount set forth opposite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“Second Closing Subscription Amount” divided by (y) the Share Price, rounded down to the nearest whole Share;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event the number of Shares to be purchased by an Investor at the Second Closing would otherwise result in such Investor, together with its Attribution Parties, beneficially owning in excess of the Beneficial Ownership Limitation immediately after the Second Closing, then (i) the number of Shares otherwise issuable to such Investor at the Second Closing will be reduced by the minimum number of Shares (such number, the “</w:t>
      </w:r>
      <w:r>
        <w:rPr>
          <w:rFonts w:ascii="Times New Roman" w:cs="Times New Roman" w:eastAsia="Times New Roman" w:hAnsi="Times New Roman"/>
          <w:sz w:val="18"/>
          <w:szCs w:val="18"/>
          <w:b w:val="1"/>
          <w:bCs w:val="1"/>
          <w:color w:val="auto"/>
        </w:rPr>
        <w:t>Second Closing 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8"/>
          <w:szCs w:val="18"/>
          <w:color w:val="auto"/>
        </w:rPr>
        <w:t>”) that would result in such Investor beneficially owning, together with its Attribution Parties, no more than the Beneficial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 of the outstanding Common Stock immediately after the Second Closing, and (ii) in lieu of purchasing the number of Shares equal to such Second Closing Overage Number, such Investor shall purchase Pre-Funded Warrants exercisable for a number of Pre-Funded Warrant Shares equal to its Second Closing Overage Number. Each Investor shall provide such information to the Company as may be reasonably requested in order to determine the number of shares of Common Stock beneficially owned by such Investor no later than two (2) Business Days prior than the Second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the Investor fails to provide such information at least two Business Days prior to the Second Closing Date and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determining the Second Closing Overage Number, the Company will presume the Investor’s beneficial ownership of Common Stock (excluding the Securities to be purchased at the Second Closing) to equal the number of Shares purchased by such Investor at the Initial Closing. Notwithstanding anything to the contrary in this Agreement, if the Second Closing Trigger is caused by a Price Threshold Waiver, only those Investors who signed the Price Threshold Waiver shall be obligated to participate in the Second Closing and the non-signing Investors shall have the right but not the obligation to purchase the number of Shares as determined above in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9" w:name="page30"/>
    <w:bookmarkEnd w:id="29"/>
    <w:p>
      <w:pPr>
        <w:ind w:left="4" w:right="40" w:firstLine="1428"/>
        <w:spacing w:after="0" w:line="268" w:lineRule="auto"/>
        <w:tabs>
          <w:tab w:leader="none" w:pos="169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Second Closing, the applicable Securities shall be issued and registered in the name of the Investor, or in such nominee name(s) as designated by such Investor, representing the number of Securities to be purchased by the Investor at the Second Closing pursuant to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in each case against payment to the Company of the purchase price therefor in full, by wire transfer to the Company of immediately available funds, at or prior to the Second Closing, in accordance with wire instructions provided by the Company to the Investors at least one Business Day prior to the Second Closing. On the Second Closing Date, the Company will (A) instruct the Transfer Agent to issue the applicable Shares in book-entry form, free and clear of all restrictive and other legends (except as expressly provided in Section 4.10 hereof) and the Company shall provide evidence of such issuance from the Company’s Transfer Agent as soon as reasonably practical following the Second Closing Date to each Investor and</w:t>
      </w:r>
    </w:p>
    <w:p>
      <w:pPr>
        <w:spacing w:after="0" w:line="2" w:lineRule="exact"/>
        <w:rPr>
          <w:rFonts w:ascii="Times New Roman" w:cs="Times New Roman" w:eastAsia="Times New Roman" w:hAnsi="Times New Roman"/>
          <w:sz w:val="17"/>
          <w:szCs w:val="17"/>
          <w:color w:val="auto"/>
        </w:rPr>
      </w:pPr>
    </w:p>
    <w:p>
      <w:pPr>
        <w:ind w:left="4" w:right="280" w:hanging="4"/>
        <w:spacing w:after="0" w:line="260" w:lineRule="auto"/>
        <w:tabs>
          <w:tab w:leader="none" w:pos="2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such Investor (or such Investor’s designated custodian per its delivery instructions), or in such nominee name(s) as designated by such Investor, Pre-Funded Warrants exercisable for a number of Pre-Funded Warrant Shares equal to its Second Closing Overage Number.</w:t>
      </w:r>
    </w:p>
    <w:p>
      <w:pPr>
        <w:spacing w:after="0" w:line="181"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Company Option to Offset Subscription Amount</w:t>
      </w:r>
      <w:r>
        <w:rPr>
          <w:rFonts w:ascii="Times New Roman" w:cs="Times New Roman" w:eastAsia="Times New Roman" w:hAnsi="Times New Roman"/>
          <w:sz w:val="18"/>
          <w:szCs w:val="18"/>
          <w:color w:val="auto"/>
        </w:rPr>
        <w:t>. Notwithstanding anything to the contrary in this Agreement, to the extent the Company enters into any licensing, partnership or other collaboration agreement following the date of this Agreement and prior to the date of the Second Closing, the Company may, at its sole discretion, elect to reduce the Second Closing Aggregate Subscription Amount by an amount equal to, on a dollar-by-dollar basis, any cash proceeds received from any such licensing, partnership or other collaboration agreements that are not attributable to the issuance of any equity or equity-linked securities (the Second Closing Aggregate Subscription Amount as so adjusted, the “</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Adjusted Subscription Amount</w:t>
      </w:r>
      <w:r>
        <w:rPr>
          <w:rFonts w:ascii="Times New Roman" w:cs="Times New Roman" w:eastAsia="Times New Roman" w:hAnsi="Times New Roman"/>
          <w:sz w:val="18"/>
          <w:szCs w:val="18"/>
          <w:color w:val="auto"/>
        </w:rPr>
        <w:t>”). In the event the Company elects to reduce the Second Closing Aggregate Subscription Amount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each Investor agrees, severally and not jointly, to purchase the dollar amount of Securities relative to the Second Closing Adjusted Subscription Amount that bears the same proportion to the dollar amount set forth opposite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“Second Closing Subscription Amount” relative to the Second Closing Aggregate Subscription Amount.</w:t>
      </w:r>
    </w:p>
    <w:p>
      <w:pPr>
        <w:spacing w:after="0" w:line="188" w:lineRule="exact"/>
        <w:rPr>
          <w:sz w:val="20"/>
          <w:szCs w:val="20"/>
          <w:color w:val="auto"/>
        </w:rPr>
      </w:pPr>
    </w:p>
    <w:p>
      <w:pPr>
        <w:ind w:left="4" w:firstLine="436"/>
        <w:spacing w:after="0" w:line="261" w:lineRule="auto"/>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Except as set forth in the SEC Reports (other than as to the Fundamental Representations, which are not so qualified), the Company hereby represents and warrants to each of the Investors and the Placement Agent that the statements contained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are true and correct as of the date of this Agreement and as of the applicable Closing Date (except for the representations and warranties that speak as of a specific date, which shall be made as of such date).</w:t>
      </w:r>
    </w:p>
    <w:p>
      <w:pPr>
        <w:spacing w:after="0" w:line="180"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The Company has no subsidiaries.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30" w:name="page31"/>
    <w:bookmarkEnd w:id="30"/>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Company’s disclosure of its authorized, issued and outstanding capital stock in the SEC Reports containing such disclosure was accurate in all material respects as of the date indicated therein.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87"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shares of Common Stock issuable upon exercise of the Pre-Funded Warrants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All corporate action on the part of the Company, its officers, directors and stockholders necessary for the authorization of the Shares and the Pre-Funded Warrant Shares, the authorization, execution, delivery and performance of the Transaction Agreements and the consummation of the transactions contemplated herein, including the issuance and sale of the Securities and the Pre-Funded Warrant Shares has been taken, including, without limitation, the approval of the Board of Directors (or a committee thereof) in accordance with Section 144(a)(1) of the DGCL.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applicable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76"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Securities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offer and sale of the Securities to the Investors is, and will be in compliance with applicable exemptions from (i) registration and prospectus delivery requirements of the Securities Act and (ii) the registration and qualification requirements of applicable securities laws of the states of the United States.</w:t>
      </w:r>
    </w:p>
    <w:p>
      <w:pPr>
        <w:spacing w:after="0" w:line="195" w:lineRule="exact"/>
        <w:rPr>
          <w:sz w:val="20"/>
          <w:szCs w:val="20"/>
          <w:color w:val="auto"/>
        </w:rPr>
      </w:pPr>
    </w:p>
    <w:p>
      <w:pPr>
        <w:ind w:right="2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its properties or assets, or (iii) result in a violation of any law, rule, regulation, order, judgment, injunction, decree or other restriction of any court or governmental authority to which the Company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2" w:name="page33"/>
    <w:bookmarkEnd w:id="32"/>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xml:space="preserve">. Assuming the accuracy of the representations and warranties of each Investor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such as have been or will be obtained or made under the Securities Act or the Exchange Act, (b) the filing of any requisite notices and/or application(s) to the National Exchange for the issuance and sale of the Securities and the listing of the Shares or the Pre-Funded Warrant Shares for trading or quotation, as the case may be, thereon in the time and manner required thereby,</w:t>
      </w:r>
    </w:p>
    <w:p>
      <w:pPr>
        <w:spacing w:after="0" w:line="5" w:lineRule="exact"/>
        <w:rPr>
          <w:sz w:val="20"/>
          <w:szCs w:val="20"/>
          <w:color w:val="auto"/>
        </w:rPr>
      </w:pPr>
    </w:p>
    <w:p>
      <w:pPr>
        <w:ind w:left="4" w:hanging="4"/>
        <w:spacing w:after="0" w:line="252" w:lineRule="auto"/>
        <w:tabs>
          <w:tab w:leader="none" w:pos="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post-closing filings with the SEC or pursuant to state securities laws in connection with the offer and sale of the Shares or the Pre-Funded Warrant Shares by the Company in the manner contemplated herein, which will be filed on a timely basis, (d) the filing of the registration statement required to be filed by the Registration Rights Agreement, or (e) such that the failure of which to obtain would not reasonably be expected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1428"/>
        <w:spacing w:after="0" w:line="253" w:lineRule="auto"/>
        <w:tabs>
          <w:tab w:leader="none" w:pos="16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forms, statements, certifications, reports and documents required to be filed by it with the SEC under Section 13, 14(a) and 15(d) of the Exchange Act for the one year preceding the date of this Agreement and is in compliance with General Instruction I.A.3 of Form S-3. As of the respective times each was filed with the SEC (or, if amended or superseded by a filing prior to the date of this Agreement, then on the date of such filing), each of the filed SEC Reports complied in all material respects with the applicable requirements of the Exchange Act ,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spacing w:after="0" w:line="190" w:lineRule="exact"/>
        <w:rPr>
          <w:rFonts w:ascii="Times New Roman" w:cs="Times New Roman" w:eastAsia="Times New Roman" w:hAnsi="Times New Roman"/>
          <w:sz w:val="18"/>
          <w:szCs w:val="18"/>
          <w:color w:val="auto"/>
        </w:rPr>
      </w:pPr>
    </w:p>
    <w:p>
      <w:pPr>
        <w:ind w:left="4" w:right="40" w:firstLine="1428"/>
        <w:spacing w:after="0" w:line="257" w:lineRule="auto"/>
        <w:tabs>
          <w:tab w:leader="none" w:pos="16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included in the SEC Reports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otherwise noted therein, and in the case of unaudited financial statements, as permitted by Form 10-Q of the SEC, and except that the unaudited financial statements may not contain</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33" w:name="page34"/>
    <w:bookmarkEnd w:id="3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footnotes and are subject to normal and recurring year-end adjustments) applied on a consistent basis throughout the periods therein specified (unless otherwise noted therein).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December 31, 2024, (a) the Company has conducted its business only in the ordinary course of business and there have been no material transactions entered into by the Company (except for the execution and performance of this Agreement and the discussions, negotiations and transactions related thereto); (b) no material change to any material contract or arrangement by which the Company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20" w:firstLine="436"/>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any other geographic region in which the Company conducts business,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right="420" w:firstLine="436"/>
        <w:spacing w:after="0" w:line="282" w:lineRule="auto"/>
        <w:tabs>
          <w:tab w:leader="none" w:pos="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7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right="440" w:firstLine="436"/>
        <w:spacing w:after="0" w:line="266" w:lineRule="auto"/>
        <w:tabs>
          <w:tab w:leader="none" w:pos="7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fires or other natural disasters, weather conditions, global pandemics, epidemic or similar health emergency, and other force majeure events in the United States or any other location, provided that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laws after the date of this Agreement; and</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7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34" w:name="page35"/>
    <w:bookmarkEnd w:id="34"/>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which, individually or in the aggregate, has had or would reasonably be expected to have a Material Adverse Effect, nor are there any orders, writs, injunctions, judgments or decrees outstanding of any court or government agency or instrumentality and binding upon the Company that have had or would reasonably be expected to have a Material Adverse Effect. Neither the Company nor, to the knowledge of the Company, any director or officer of the Company, is, or within the last ten years has been, the subject of any action involving a claim of violation of or liability under federal or state securities laws relating to the Company or such subsidiary or a claim of breach of fiduciary duty relating to the Company.</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The Company is not in violation of, nor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has all required licenses, permits, certificates and other authorizations (collectively, “</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from such federal, state or local government or governmental agency, department or body that are currently necessary for the operation of the business of the Company as currently conducted, except where the failure to possess currently such Governmental Authorizations has not had and is not reasonably expected to have a Material Adverse Effect. The Company has not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88"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owns, or has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where any failure to own, possess or acquire such Intellectual Property has not had, and would not, individually or in the aggregate, reasonably be expected to have a Material Adverse Effect. The Intellectual Property of the Company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rights in or to any Intellectual Property; (B) challenging the validity, enforceability or scope of any Intellectual Property; or (C) alleging that the Company infringes, misappropriates, or otherwise violates any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35" w:name="page36"/>
    <w:bookmarkEnd w:id="35"/>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 trademark, trade name, service name, copyright, trade secret or other proprietary rights of others, except, in each case, which, individually or in the aggregate, have not had and would not reasonably be expected to have a Material Adverse Effect. The Company has complied in all material respects with the terms of each agreement pursuant to which Intellectual Property has been licensed to the Company in all material respects, and to the Company’s knowledge all such agreements are in full force and effect. To the Company’s knowledge, there are no material defects in any of the patents or patent applications included in the Intellectual Property. The Company has taken all reasonable steps to protect, maintain and safeguard their Intellectual Property.</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is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has filed all federal, state and foreign income Tax Returns and other Tax Returns required to have been filed by it under applicable law (or extensions have been duly obtained) and has paid all Taxes required to have been paid by it,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The Company has not been a United States real property holding corporation within the meaning of Code Section 897(c)-2 during the period specified in Code Section 897(c)(1)(A)(ii).</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has received all permits and other Governmental Authorizations required under applicable Environmental Laws to conduct its business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6" w:name="page37"/>
    <w:bookmarkEnd w:id="3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approvals would not, individually or in the aggregate, reasonably be expected to have a Material Adverse Effect. The Company has not received since January 1, 2024, any written notice or other communication (in writing or otherwise), whether from a governmental authority or other Person, that alleges that the Company is not in compliance with any Environmental Law and, to the knowledge of the Company, there are no circumstances that may prevent or interfere with the Company’s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has received since January 1, 2024, any written notice or other communication relating to property owned or leased at any time by the Company, whether from a governmental authority, or other Person, that alleges that such current or prior owner or the Company is not in compliance with or violated any Environmental Law relating to such property and (ii) the Company has no material liability under any Environmental Law.</w:t>
      </w:r>
    </w:p>
    <w:p>
      <w:pPr>
        <w:spacing w:after="0" w:line="188"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Company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as the case may be. Any real property and buildings held under lease by the Company is held under valid, subsisting and enforceable leases with such exceptions as are not material and do not interfere with the use made and proposed to be made of such property and buildings by the Company. The Company does not own any real property.</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2024,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Nasdaq Stock Market</w:t>
      </w:r>
      <w:r>
        <w:rPr>
          <w:rFonts w:ascii="Times New Roman" w:cs="Times New Roman" w:eastAsia="Times New Roman" w:hAnsi="Times New Roman"/>
          <w:sz w:val="18"/>
          <w:szCs w:val="18"/>
          <w:color w:val="auto"/>
        </w:rPr>
        <w:t>. The issued and outstanding shares of Common Stock are registered pursuant to Section 12(b) of the Exchange Act and are listed for trading on the Nasdaq Capital Market under the symbol “INAB.”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w:t>
      </w:r>
    </w:p>
    <w:p>
      <w:pPr>
        <w:spacing w:after="0" w:line="18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is, and since January 1, 2024 has been, in compliance in all material respects with all applicable requirements of the Sarbanes-Oxley Act of 2002 and applicable rules and regulations promulgated by the SEC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7" w:name="page38"/>
    <w:bookmarkEnd w:id="37"/>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3.20 </w:t>
      </w: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or on behalf of, or sponsored by, the Company that are described in, or the results of which are referred to in, the SEC Reports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SEC Reports; (iii) the Company has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for the conduct of its business as described in the SEC Reports; (iv) the Company has not received any notice of, or correspondence from, any of the Regulatory Agencies requiring the termination or suspension of or imposing any clinical hold on any clinical trials that are described or referred to in the SEC Reports; and</w:t>
      </w:r>
    </w:p>
    <w:p>
      <w:pPr>
        <w:spacing w:after="0" w:line="4" w:lineRule="exact"/>
        <w:rPr>
          <w:sz w:val="20"/>
          <w:szCs w:val="20"/>
          <w:color w:val="auto"/>
        </w:rPr>
      </w:pPr>
    </w:p>
    <w:p>
      <w:pPr>
        <w:ind w:left="4" w:right="80" w:hanging="4"/>
        <w:spacing w:after="0" w:line="260"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and currently is in compliance in all material respects with all applicable rules, regulations and policies of the Regulatory Agencies.</w:t>
      </w:r>
    </w:p>
    <w:p>
      <w:pPr>
        <w:spacing w:after="0" w:line="181"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is in compliance in all material respects with all Health Care Laws to the extent applicable to the current business of the Company or its activities.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and (ix) the regulations promulgated pursuant to such statutes and any state or non-U.S. counterpart thereof. The Company has not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has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38" w:name="page39"/>
    <w:bookmarkEnd w:id="3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not a party to any corporate integrity agreements, monitoring agreements, consent decrees, settlement orders, or similar agreements with or imposed by any governmental or regulatory authority. Additionally, neither the Company nor any of its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83" w:lineRule="exact"/>
        <w:rPr>
          <w:sz w:val="20"/>
          <w:szCs w:val="20"/>
          <w:color w:val="auto"/>
        </w:rPr>
      </w:pPr>
    </w:p>
    <w:p>
      <w:pPr>
        <w:ind w:right="180" w:firstLine="991"/>
        <w:spacing w:after="0" w:line="267"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Accounting Controls and Disclosure Controls and Procedures</w:t>
      </w:r>
      <w:r>
        <w:rPr>
          <w:rFonts w:ascii="Times New Roman" w:cs="Times New Roman" w:eastAsia="Times New Roman" w:hAnsi="Times New Roman"/>
          <w:sz w:val="17"/>
          <w:szCs w:val="17"/>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w:t>
      </w:r>
    </w:p>
    <w:p>
      <w:pPr>
        <w:spacing w:after="0" w:line="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89"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Shares or the Pre-Funded Warrant Shares.</w:t>
      </w:r>
    </w:p>
    <w:p>
      <w:pPr>
        <w:spacing w:after="0" w:line="162"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U.S. Investment Company Act of 1940, as amended.</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General Solicitation; No Integration or Aggregation</w:t>
      </w:r>
      <w:r>
        <w:rPr>
          <w:rFonts w:ascii="Times New Roman" w:cs="Times New Roman" w:eastAsia="Times New Roman" w:hAnsi="Times New Roman"/>
          <w:sz w:val="18"/>
          <w:szCs w:val="18"/>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9" w:name="page40"/>
    <w:bookmarkEnd w:id="39"/>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purposes of the rules and regulations of the Nasdaq Capital Market. Assuming the accuracy of the representations and warranties of the Investors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neither the Company nor any of its Affiliates,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w:t>
      </w:r>
    </w:p>
    <w:p>
      <w:pPr>
        <w:spacing w:after="0" w:line="183" w:lineRule="exact"/>
        <w:rPr>
          <w:sz w:val="20"/>
          <w:szCs w:val="20"/>
          <w:color w:val="auto"/>
        </w:rPr>
      </w:pPr>
    </w:p>
    <w:p>
      <w:pPr>
        <w:ind w:left="4" w:right="1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3.26 </w:t>
      </w:r>
      <w:r>
        <w:rPr>
          <w:rFonts w:ascii="Times New Roman" w:cs="Times New Roman" w:eastAsia="Times New Roman" w:hAnsi="Times New Roman"/>
          <w:sz w:val="17"/>
          <w:szCs w:val="17"/>
          <w:u w:val="single" w:color="auto"/>
          <w:color w:val="auto"/>
        </w:rPr>
        <w:t>Brokers and Finders</w:t>
      </w:r>
      <w:r>
        <w:rPr>
          <w:rFonts w:ascii="Times New Roman" w:cs="Times New Roman" w:eastAsia="Times New Roman" w:hAnsi="Times New Roman"/>
          <w:sz w:val="17"/>
          <w:szCs w:val="17"/>
          <w:color w:val="auto"/>
        </w:rPr>
        <w:t>. Other than the Placement Agent, neither the Company nor any other Person authorized by the Company to act on its behalf has retained, utilized or been represented by any broker or finder in connection with the transactions contemplated by this Agreement.</w:t>
      </w:r>
    </w:p>
    <w:p>
      <w:pPr>
        <w:spacing w:after="0" w:line="140"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xml:space="preserve">.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Neither the Company nor any of its (i) predecessors, (ii) Affiliates, (iii) directors, (iv) executive officers,</w:t>
      </w:r>
    </w:p>
    <w:p>
      <w:pPr>
        <w:spacing w:after="0" w:line="27" w:lineRule="exact"/>
        <w:rPr>
          <w:sz w:val="20"/>
          <w:szCs w:val="20"/>
          <w:color w:val="auto"/>
        </w:rPr>
      </w:pPr>
    </w:p>
    <w:p>
      <w:pPr>
        <w:ind w:left="4" w:right="40" w:hanging="4"/>
        <w:spacing w:after="0" w:line="251"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color w:val="auto"/>
        </w:rPr>
        <w:t>Issuer Covered Persons</w:t>
      </w:r>
      <w:r>
        <w:rPr>
          <w:rFonts w:ascii="Times New Roman" w:cs="Times New Roman" w:eastAsia="Times New Roman" w:hAnsi="Times New Roman"/>
          <w:sz w:val="18"/>
          <w:szCs w:val="18"/>
          <w:color w:val="auto"/>
        </w:rPr>
        <w:t>”) is subject to the disqualification provisions of Rule 506(d)(1)(i-viii) of Regulation D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The Company has complied, to the extent applicable, with its disclosure obligations under Rule 506(e), and has furnished to the Investors a copy of any disclosures provided thereunder.</w:t>
      </w:r>
    </w:p>
    <w:p>
      <w:pPr>
        <w:spacing w:after="0" w:line="194" w:lineRule="exact"/>
        <w:rPr>
          <w:sz w:val="20"/>
          <w:szCs w:val="20"/>
          <w:color w:val="auto"/>
        </w:rPr>
      </w:pPr>
    </w:p>
    <w:p>
      <w:pPr>
        <w:jc w:val="both"/>
        <w:ind w:left="4" w:right="3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3.29 </w:t>
      </w:r>
      <w:r>
        <w:rPr>
          <w:rFonts w:ascii="Times New Roman" w:cs="Times New Roman" w:eastAsia="Times New Roman" w:hAnsi="Times New Roman"/>
          <w:sz w:val="17"/>
          <w:szCs w:val="17"/>
          <w:u w:val="single" w:color="auto"/>
          <w:color w:val="auto"/>
        </w:rPr>
        <w:t>Other Covered Persons.</w:t>
      </w:r>
      <w:r>
        <w:rPr>
          <w:rFonts w:ascii="Times New Roman" w:cs="Times New Roman" w:eastAsia="Times New Roman" w:hAnsi="Times New Roman"/>
          <w:sz w:val="17"/>
          <w:szCs w:val="17"/>
          <w:color w:val="auto"/>
        </w:rPr>
        <w:t xml:space="preserve">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40"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(including, without limitation, any side letter) between the Company and any Investor with respect to the transactions contemplated by the Transaction Agreements on terms more favorable to such Investor than as set forth herein.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40" w:name="page41"/>
    <w:bookmarkEnd w:id="40"/>
    <w:p>
      <w:pPr>
        <w:ind w:right="1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3.31 </w:t>
      </w: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Each of the Company and, to the knowledge of the Company, each of its officers, directors, supervisors, managers, agents and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97" w:lineRule="exact"/>
        <w:rPr>
          <w:sz w:val="20"/>
          <w:szCs w:val="20"/>
          <w:color w:val="auto"/>
        </w:rPr>
      </w:pPr>
    </w:p>
    <w:p>
      <w:pPr>
        <w:ind w:righ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and, to the Company’s knowledge, are free and clear of all material Trojan horses, time bombs, malware and other malicious code. The Company has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business and in its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9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is, and since January 1, 2020 has been,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including without limitation HIPAA, the EU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41" w:name="page42"/>
    <w:bookmarkEnd w:id="4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 (EU) No. 2016/679), all other local, state, federal, national, supranational and foreign laws relating to the regulation of the Company, and the regulations promulgated pursuant to such statutes and any state or non-U.S. counterpart thereof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material compliance with the Privacy Laws, the Company has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The Company has, except as would not reasonably be expected, individually or in the aggregate, to result in a Material Adverse Effect, since January 1, 2020 has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92"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on the one hand, and the directors, officers, stockholders, customers or suppliers of the Company, on the other hand, that is required to be described in the SEC Reports that is not so described.</w:t>
      </w:r>
    </w:p>
    <w:p>
      <w:pPr>
        <w:spacing w:after="0" w:line="176" w:lineRule="exact"/>
        <w:rPr>
          <w:sz w:val="20"/>
          <w:szCs w:val="20"/>
          <w:color w:val="auto"/>
        </w:rPr>
      </w:pPr>
    </w:p>
    <w:p>
      <w:pPr>
        <w:ind w:right="280" w:firstLine="436"/>
        <w:spacing w:after="0" w:line="261" w:lineRule="auto"/>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Each Investor</w:t>
      </w:r>
      <w:r>
        <w:rPr>
          <w:rFonts w:ascii="Times New Roman" w:cs="Times New Roman" w:eastAsia="Times New Roman" w:hAnsi="Times New Roman"/>
          <w:sz w:val="18"/>
          <w:szCs w:val="18"/>
          <w:color w:val="auto"/>
        </w:rPr>
        <w:t xml:space="preserve">. Each Investor, severally for itself and not jointly with any other Investor (it being acknowledged and agreed that each reference to “the Investor”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deemed to refer to such Investor and not any other Investor), represents and warrants to the Company and the Placement Agent that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as of the date of this Agreement and as of the applicable Closing Date:</w:t>
      </w:r>
    </w:p>
    <w:p>
      <w:pPr>
        <w:spacing w:after="0" w:line="7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2" w:name="page43"/>
    <w:bookmarkEnd w:id="42"/>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Investor of the Transaction Agreements to which it is a party,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spacing w:after="0" w:line="188" w:lineRule="exact"/>
        <w:rPr>
          <w:sz w:val="20"/>
          <w:szCs w:val="20"/>
          <w:color w:val="auto"/>
        </w:rPr>
      </w:pPr>
    </w:p>
    <w:p>
      <w:pPr>
        <w:ind w:left="4"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Investor’s residence (if an individual) or offices in which its investment decision with respect to the Securities was made (if an entity) are located at the address immediately below the Investor’s name on its respective signature page hereto, except as otherwise communicated by the Investor to the Company.</w:t>
      </w:r>
    </w:p>
    <w:p>
      <w:pPr>
        <w:spacing w:after="0" w:line="176" w:lineRule="exact"/>
        <w:rPr>
          <w:sz w:val="20"/>
          <w:szCs w:val="20"/>
          <w:color w:val="auto"/>
        </w:rPr>
      </w:pPr>
    </w:p>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Investor has not retained, utilized or been represented by any broker or finder in connection with the transactions contemplated by this Agreement whose fees the Company would be required to pay.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The Investor hereby represents and warrants that it, as of the date of this Agreement, is,</w:t>
      </w:r>
    </w:p>
    <w:p>
      <w:pPr>
        <w:spacing w:after="0" w:line="27" w:lineRule="exact"/>
        <w:rPr>
          <w:sz w:val="20"/>
          <w:szCs w:val="20"/>
          <w:color w:val="auto"/>
        </w:rPr>
      </w:pPr>
    </w:p>
    <w:p>
      <w:pPr>
        <w:ind w:left="4" w:right="20" w:hanging="4"/>
        <w:spacing w:after="0" w:line="251"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spacing w:after="0" w:line="193"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43" w:name="page44"/>
    <w:bookmarkEnd w:id="4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9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44" w:name="page45"/>
    <w:bookmarkEnd w:id="44"/>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Investor understands that any certificates or book entry notations evidencing the Securities may bear one or more legends in substantially the following form and substance:</w:t>
      </w:r>
    </w:p>
    <w:p>
      <w:pPr>
        <w:spacing w:after="0" w:line="54" w:lineRule="exact"/>
        <w:rPr>
          <w:sz w:val="20"/>
          <w:szCs w:val="20"/>
          <w:color w:val="auto"/>
        </w:rPr>
      </w:pPr>
    </w:p>
    <w:p>
      <w:pPr>
        <w:ind w:left="440" w:right="12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Securities may contain a legend regarding affiliate status of the Investor, if applicable.</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Investor acknowledges and agrees that the Investor is purchasing the Securities directly from the Company. Investor became aware of this offering of the Securities solely by means of direct contact from the Placement Agent or directly from the Company as a result of a pre-existing, substantive relationship with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the Placement Agent and/or their respective representatives. Investor did not become aware of this offering of the Securities, nor were the Securities offered to Investor, by any other means, and none of the Company, the Placement Agent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45" w:name="page46"/>
    <w:bookmarkEnd w:id="45"/>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In making its decision to purchase the Securities, the Investor has relied solely upon independent investigation made by such Investor, upon the SEC Reports and upon the representations, warranties and covenants set forth herein. The Investor acknowledges and agrees that such Investor has received such information as such Investor deems necessary in order to make an investment decision with respect to the Securities, including, with respect to the Company. Without limiting the generality of the foregoing, the Investor acknowledges that copies of the SEC Reports are available on EDGAR at www.sec.gov. The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94"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nor will the Investor or any Person acting on behalf of or pursuant to any understanding with the Investor directly or indirectly execute any Short Sales of the securities of the Company during the period commencing on the Initial Closing Date and ending on December 31, 2026.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6" w:name="page47"/>
    <w:bookmarkEnd w:id="46"/>
    <w:p>
      <w:pPr>
        <w:ind w:right="200" w:firstLine="991"/>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xml:space="preserve">.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Rule 506(d)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Related Party</w:t>
      </w:r>
      <w:r>
        <w:rPr>
          <w:rFonts w:ascii="Times New Roman" w:cs="Times New Roman" w:eastAsia="Times New Roman" w:hAnsi="Times New Roman"/>
          <w:sz w:val="17"/>
          <w:szCs w:val="17"/>
          <w:color w:val="auto"/>
        </w:rPr>
        <w:t>” means a person or entity that is a beneficial owner of the Investor’s securities for purposes of Rule 506(d) of the Securities Act.</w:t>
      </w:r>
    </w:p>
    <w:p>
      <w:pPr>
        <w:spacing w:after="0" w:line="173" w:lineRule="exact"/>
        <w:rPr>
          <w:sz w:val="20"/>
          <w:szCs w:val="20"/>
          <w:color w:val="auto"/>
        </w:rPr>
      </w:pPr>
    </w:p>
    <w:p>
      <w:pPr>
        <w:ind w:left="620" w:hanging="184"/>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are no longer accurate.</w:t>
      </w:r>
    </w:p>
    <w:p>
      <w:pPr>
        <w:spacing w:after="0" w:line="189"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by 9:00 a.m., New York City time, on the first Business Day immediately following the date of this Agreement, issue one or more press releases and/or file with the SEC a Current Report on Form 8-K (including all exhibits thereto,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disclosing (i) all material terms of the transactions contemplated hereby and by the other Transaction Agreements and, if the Disclosure Document is a Current Report on Form 8-K, attaching this Agreement, the Registration Rights Agreement and the form of Pre-Funded Warrant as exhibits to such Disclosure Document, and (ii) all material non-public information concerning the Company disclosed to the Investors, if any. Following the issuance or filing of the Disclosure Document,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any registration statement contemplated by the Registration Rights Agreement) or any regulatory agency, without the prior written consent of the Investor, except (i) as required by the federal securities law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7" w:name="page48"/>
    <w:bookmarkEnd w:id="47"/>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a registration statement covering the resale of the Shares and the Pre-Funded Warrant Shares is declared effective, the Company shall remove all restrictive legends (other than, if applicable, any “affiliate” legend), including the legend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(or, in the event that Pre-Funded Warrant Shares are issued upon exercise after the registration statement is declared effective, the Pre-Funded Warrant Shares shall be issued without restrictive legends), and the Company shall, upon request of the Investor or the Transfer Agent, provide a blanket opinion of counsel permitting such removal. Further, in connection with any sale, assignment, transfer or other disposition of the Shares or Pre-Funded Warrant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89" w:lineRule="exact"/>
        <w:rPr>
          <w:rFonts w:ascii="Times New Roman" w:cs="Times New Roman" w:eastAsia="Times New Roman" w:hAnsi="Times New Roman"/>
          <w:sz w:val="18"/>
          <w:szCs w:val="18"/>
          <w:color w:val="auto"/>
        </w:rPr>
      </w:pPr>
    </w:p>
    <w:p>
      <w:pPr>
        <w:ind w:right="80" w:firstLine="1428"/>
        <w:spacing w:after="0" w:line="254" w:lineRule="auto"/>
        <w:tabs>
          <w:tab w:leader="none" w:pos="16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receipt from the Investor by the Company and the Transfer Agent of customary representations and other documentation reasonably acceptable to the Company and the Transfer Agent in connection therewith, upon the earliest of such time as the Shares or Pre-Funded Warrant Shares (i) have been sold pursuant to Rule 144, or (ii)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8" w:name="page49"/>
    <w:bookmarkEnd w:id="48"/>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 and Commissions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right="260" w:firstLine="1428"/>
        <w:spacing w:after="0" w:line="254" w:lineRule="auto"/>
        <w:tabs>
          <w:tab w:leader="none" w:pos="16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Indemnified Person’s fraud or willful misconduct.</w:t>
      </w:r>
    </w:p>
    <w:p>
      <w:pPr>
        <w:spacing w:after="0" w:line="191"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9" w:name="page50"/>
    <w:bookmarkEnd w:id="49"/>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w:t>
      </w:r>
    </w:p>
    <w:p>
      <w:pPr>
        <w:spacing w:after="0" w:line="5" w:lineRule="exact"/>
        <w:rPr>
          <w:sz w:val="20"/>
          <w:szCs w:val="20"/>
          <w:color w:val="auto"/>
        </w:rPr>
      </w:pPr>
    </w:p>
    <w:p>
      <w:pPr>
        <w:ind w:left="4" w:right="80" w:hanging="4"/>
        <w:spacing w:after="0" w:line="253"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87"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 From the date of this Agreement until the earlier of (a) 60 days after the Initial Closing Date and (b) the Business Day immediately following the effective date of the registration statement with respect to the Shares issued at the Initial Closing filed pursuant to the Registration Rights Agreement, the Company shall not, without the consent of the Investors purchasing a majority of the Securities hereunder,</w:t>
      </w:r>
    </w:p>
    <w:p>
      <w:pPr>
        <w:spacing w:after="0" w:line="2" w:lineRule="exact"/>
        <w:rPr>
          <w:sz w:val="20"/>
          <w:szCs w:val="20"/>
          <w:color w:val="auto"/>
        </w:rPr>
      </w:pPr>
    </w:p>
    <w:p>
      <w:pPr>
        <w:ind w:left="4" w:hanging="4"/>
        <w:spacing w:after="0" w:line="251" w:lineRule="auto"/>
        <w:tabs>
          <w:tab w:leader="none" w:pos="2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foregoing,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apply to (i) the issuance of the Securities hereunder, (ii) the issuance of Common Stock or Common Stock Equivalents upon the conversion, exercise, settlement or vesting of any securities of the Company outstanding on the date of this Agreement or outstanding pursuant to clause (iii) below, (iii) the issuance of any Common Stock or Common Stock Equivalents pursuant to any Company stock-based compensation plans or in accordance with Nasdaq Stock Market Rule 5635(c)(4), (iv) the filing of a registration statement on Form S-8 under the Securities Act to register the offer and sale of securities on an equity incentive plan or employee stock purchase plan or (v) the filing of a registration statement in connection with the ATM Facility. Furthermore, from the date of this Agreement until one (1) year after the Initial Closing Date, the Company shall not, without the consent of the Investors of at least 66% of the Securities issued in the Initial Closing then owned (determined as if all of the Pre-Funded Warrants then outstanding have been exercised without regard to any limitations on the exercise of such Pre-Funded Warrants), complete a Subsequent Financing at a price per share that is less than $3.00 per share (subject to appropriate, proportional adjustment for any stock splits or combinations of the Common Stock occurring after the date of this Agreement).</w:t>
      </w:r>
    </w:p>
    <w:p>
      <w:pPr>
        <w:spacing w:after="0" w:line="192" w:lineRule="exact"/>
        <w:rPr>
          <w:sz w:val="20"/>
          <w:szCs w:val="20"/>
          <w:color w:val="auto"/>
        </w:rPr>
      </w:pPr>
    </w:p>
    <w:p>
      <w:pPr>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Participation in Subsequent Financings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1428"/>
        <w:spacing w:after="0" w:line="261"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Initial Closing Date until December 31, 2026, if the Company proposed to conduct a Subsequent Financing, each Investor shall have the right, but not the obligation, to participate in such Subsequent Financing up to 200% of the amount equal to such Investor’s Initial Closing Aggregate Purchase Price and Second Closing Subscription Amount (subject to adjustment pursuant to Section 2.3), each as set forth on Exhibit A hereto, on the same terms, conditions and price provided for in the Subsequent Financing.</w:t>
      </w:r>
    </w:p>
    <w:p>
      <w:pPr>
        <w:spacing w:after="0" w:line="179"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public announcement of the Subsequent Financing, the Company shall deliver to the Investors a written notice of its intention to effect a Subsequent Financing (“</w:t>
      </w:r>
      <w:r>
        <w:rPr>
          <w:rFonts w:ascii="Times New Roman" w:cs="Times New Roman" w:eastAsia="Times New Roman" w:hAnsi="Times New Roman"/>
          <w:sz w:val="18"/>
          <w:szCs w:val="18"/>
          <w:b w:val="1"/>
          <w:bCs w:val="1"/>
          <w:color w:val="auto"/>
        </w:rPr>
        <w:t>Subsequent Financing Pre-Notice</w:t>
      </w:r>
      <w:r>
        <w:rPr>
          <w:rFonts w:ascii="Times New Roman" w:cs="Times New Roman" w:eastAsia="Times New Roman" w:hAnsi="Times New Roman"/>
          <w:sz w:val="18"/>
          <w:szCs w:val="18"/>
          <w:color w:val="auto"/>
        </w:rPr>
        <w:t>”), which Pre-Notice shall ask each Investor if it wants to review the details of such financing in order to confirm whether such Investor wishes to participate in such financing (such additional notice, a “</w:t>
      </w:r>
      <w:r>
        <w:rPr>
          <w:rFonts w:ascii="Times New Roman" w:cs="Times New Roman" w:eastAsia="Times New Roman" w:hAnsi="Times New Roman"/>
          <w:sz w:val="18"/>
          <w:szCs w:val="18"/>
          <w:b w:val="1"/>
          <w:bCs w:val="1"/>
          <w:color w:val="auto"/>
        </w:rPr>
        <w:t>Subsequent Financing Notice</w:t>
      </w:r>
      <w:r>
        <w:rPr>
          <w:rFonts w:ascii="Times New Roman" w:cs="Times New Roman" w:eastAsia="Times New Roman" w:hAnsi="Times New Roman"/>
          <w:sz w:val="18"/>
          <w:szCs w:val="18"/>
          <w:color w:val="auto"/>
        </w:rPr>
        <w:t>”). Upon the request of an Investor for a Subsequent Financing Notice, the Company shall promptly, but no later than one Business Day after such request, deliver a Subsequent Financing Notice to the Investor. The requesting Investor shall be deemed to have acknowledged that the Subsequent Financing Notice may contain material non-public information.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188"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wishes to participate in such Subsequent Financing it must provide written notice to the Company by not later than 5:30 p.m. (New York City time) on the second Business Day after the Investor has received the Subsequent Financing Notice that the Investor is willing to participate in the Subsequent Financing, the amount of the Investor participation, and representing and warranting that the Investor has such funds ready, willing, and available for investment on the terms set forth in the Subsequent Financing Notice. If the Company receives no such notice from the Investor as of such second Business Day, the Investor shall be deemed to have notified the Company that it does not elect to participate and the Company may effect the Subsequent Financing on the terms and with the persons set forth in the Subsequent Financing Notice.</w:t>
      </w:r>
    </w:p>
    <w:p>
      <w:pPr>
        <w:spacing w:after="0" w:line="187" w:lineRule="exact"/>
        <w:rPr>
          <w:rFonts w:ascii="Times New Roman" w:cs="Times New Roman" w:eastAsia="Times New Roman" w:hAnsi="Times New Roman"/>
          <w:sz w:val="18"/>
          <w:szCs w:val="18"/>
          <w:color w:val="auto"/>
        </w:rPr>
      </w:pPr>
    </w:p>
    <w:p>
      <w:pPr>
        <w:ind w:right="40" w:firstLine="1428"/>
        <w:spacing w:after="0" w:line="258"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5:30 p.m. (New York City time) on the second Business Day after the Investor has received the Subsequent Financing Notice, the Company has received written notification by the Investor of its willingness to participate in the Subsequent Financing (or to cause its designees to participate), then the Company shall effect the Subsequent Financing with the Investor (in the amount indicated in its notification up to its maximum participation right) and, with respect to the remaining portion of such Subsequent Financing on the terms and with the Persons set forth in the Subsequent Financing Notice.</w:t>
      </w:r>
    </w:p>
    <w:p>
      <w:pPr>
        <w:spacing w:after="0" w:line="183" w:lineRule="exact"/>
        <w:rPr>
          <w:rFonts w:ascii="Times New Roman" w:cs="Times New Roman" w:eastAsia="Times New Roman" w:hAnsi="Times New Roman"/>
          <w:sz w:val="18"/>
          <w:szCs w:val="18"/>
          <w:color w:val="auto"/>
        </w:rPr>
      </w:pPr>
    </w:p>
    <w:p>
      <w:pPr>
        <w:ind w:firstLine="1428"/>
        <w:spacing w:after="0" w:line="261"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must provide the Investor with a second Subsequent Financing Notice, and the Investor will again have the right of participation set forth above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if the Subsequent Financing subject to the initial Subsequent Financing Notice is amended in any material respect or is not consummated for any reason on the terms set forth in such Subsequent Financing Notice within 30 Business Days after the date of the initial Subsequent Financing Notice.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51" w:name="page52"/>
    <w:bookmarkEnd w:id="51"/>
    <w:p>
      <w:pPr>
        <w:ind w:right="140" w:firstLine="1428"/>
        <w:spacing w:after="0" w:line="255" w:lineRule="auto"/>
        <w:tabs>
          <w:tab w:leader="none" w:pos="16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unless otherwise agreed to by the Investor, the Company shall either confirm in writing to the Investor that the transaction with respect to the Subsequent Financing has been abandoned or shall publicly disclose its intention to issue the securities in the Subsequent Financing, in either case in such a manner such that the Investor will not be in possession of any material, non-public information, by the tenth Business Day following delivery of the Subsequent Financing Notice. If by such tenth Business Day, no public disclosure regarding a transaction with respect to the Subsequent Financing has been made, and no notice regarding the abandonment of such transaction has been received by the Investor, such transaction shall be deemed to have been abandoned and the Investor shall not be deemed to be in possession of any material, non-public information with respect to the Company.</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Agreement to Vote the Shares</w:t>
      </w:r>
      <w:r>
        <w:rPr>
          <w:rFonts w:ascii="Times New Roman" w:cs="Times New Roman" w:eastAsia="Times New Roman" w:hAnsi="Times New Roman"/>
          <w:sz w:val="18"/>
          <w:szCs w:val="18"/>
          <w:color w:val="auto"/>
        </w:rPr>
        <w:t>. Each Investor agrees that at any meeting of the stockholders of the Company or any adjournment or postponement thereof, such Investor shall vote (or cause to be voted) any Shares or Pre-Funded Warrant Shares then held by such Investor in favor of a proposal to amend the Company’s equity incentive plan to increase the number of shares of Common Stock that may be issued pursuant to equity awards under such plan by an amount equal to 15% or less of the Company’s Common Stock outstanding immediately following the Initial Closing or Second Closing, if applicable (determined as if all of the Pre-Funded Warrants then outstanding have been exercised without regard to any limitations on the exercise of such Pre-Funded Warrants).</w:t>
      </w:r>
    </w:p>
    <w:p>
      <w:pPr>
        <w:spacing w:after="0" w:line="187" w:lineRule="exact"/>
        <w:rPr>
          <w:sz w:val="20"/>
          <w:szCs w:val="20"/>
          <w:color w:val="auto"/>
        </w:rPr>
      </w:pPr>
    </w:p>
    <w:p>
      <w:pPr>
        <w:ind w:left="620" w:hanging="184"/>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applicable Closing, and to purchase and pay for the Securities being purchased by it at the applicable Closing pursuant to this Agreement, are subject to the satisfaction or waiver in writing of the following conditions precedent:</w:t>
      </w:r>
    </w:p>
    <w:p>
      <w:pPr>
        <w:spacing w:after="0" w:line="68" w:lineRule="exact"/>
        <w:rPr>
          <w:sz w:val="20"/>
          <w:szCs w:val="20"/>
          <w:color w:val="auto"/>
        </w:rPr>
      </w:pPr>
    </w:p>
    <w:p>
      <w:pPr>
        <w:ind w:right="40" w:firstLine="1428"/>
        <w:spacing w:after="0" w:line="256" w:lineRule="auto"/>
        <w:tabs>
          <w:tab w:leader="none" w:pos="16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applicable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right="300" w:firstLine="1428"/>
        <w:spacing w:after="0" w:line="282" w:lineRule="auto"/>
        <w:tabs>
          <w:tab w:leader="none" w:pos="168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applicable Closing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52" w:name="page53"/>
    <w:bookmarkEnd w:id="52"/>
    <w:p>
      <w:pPr>
        <w:ind w:left="-40" w:right="20" w:firstLine="1428"/>
        <w:spacing w:after="0" w:line="282" w:lineRule="auto"/>
        <w:tabs>
          <w:tab w:leader="none" w:pos="16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61" w:lineRule="exact"/>
        <w:rPr>
          <w:rFonts w:ascii="Times New Roman" w:cs="Times New Roman" w:eastAsia="Times New Roman" w:hAnsi="Times New Roman"/>
          <w:sz w:val="18"/>
          <w:szCs w:val="18"/>
          <w:color w:val="auto"/>
        </w:rPr>
      </w:pPr>
    </w:p>
    <w:p>
      <w:pPr>
        <w:ind w:left="-40" w:right="20" w:firstLine="1428"/>
        <w:spacing w:after="0" w:line="282" w:lineRule="auto"/>
        <w:tabs>
          <w:tab w:leader="none" w:pos="1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61" w:lineRule="exact"/>
        <w:rPr>
          <w:rFonts w:ascii="Times New Roman" w:cs="Times New Roman" w:eastAsia="Times New Roman" w:hAnsi="Times New Roman"/>
          <w:sz w:val="18"/>
          <w:szCs w:val="18"/>
          <w:color w:val="auto"/>
        </w:rPr>
      </w:pPr>
    </w:p>
    <w:p>
      <w:pPr>
        <w:ind w:left="-40" w:right="380" w:firstLine="1428"/>
        <w:spacing w:after="0" w:line="282" w:lineRule="auto"/>
        <w:tabs>
          <w:tab w:leader="none" w:pos="16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 of the Shares at the applicable Closing.</w:t>
      </w:r>
    </w:p>
    <w:p>
      <w:pPr>
        <w:spacing w:after="0" w:line="161" w:lineRule="exact"/>
        <w:rPr>
          <w:rFonts w:ascii="Times New Roman" w:cs="Times New Roman" w:eastAsia="Times New Roman" w:hAnsi="Times New Roman"/>
          <w:sz w:val="18"/>
          <w:szCs w:val="18"/>
          <w:color w:val="auto"/>
        </w:rPr>
      </w:pPr>
    </w:p>
    <w:p>
      <w:pPr>
        <w:ind w:left="-40" w:right="520" w:firstLine="1428"/>
        <w:spacing w:after="0" w:line="282" w:lineRule="auto"/>
        <w:tabs>
          <w:tab w:leader="none" w:pos="16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this Agreement, no event or series of events shall have occurred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0" w:right="140" w:firstLine="1428"/>
        <w:spacing w:after="0" w:line="266" w:lineRule="auto"/>
        <w:tabs>
          <w:tab w:leader="none" w:pos="1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Investors and the Placement Agent the opinion of Cooley LLP, counsel to the Company, dated as of the applicable Closing Date, in customary form and substance to be reasonably agreed upon with the Investors and addressing such legal matters as the Investors and the Company reasonably agree.</w:t>
      </w:r>
    </w:p>
    <w:p>
      <w:pPr>
        <w:spacing w:after="0" w:line="175" w:lineRule="exact"/>
        <w:rPr>
          <w:rFonts w:ascii="Times New Roman" w:cs="Times New Roman" w:eastAsia="Times New Roman" w:hAnsi="Times New Roman"/>
          <w:sz w:val="18"/>
          <w:szCs w:val="18"/>
          <w:color w:val="auto"/>
        </w:rPr>
      </w:pPr>
    </w:p>
    <w:p>
      <w:pPr>
        <w:ind w:left="-40" w:right="280" w:firstLine="1428"/>
        <w:spacing w:after="0" w:line="282" w:lineRule="auto"/>
        <w:tabs>
          <w:tab w:leader="none" w:pos="1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An authorized officer of the Company shall have delivered to the Investors dated as of the applicable Closing Date a certificate certifying to the fulfillment of the conditions set forth in </w:t>
      </w:r>
      <w:r>
        <w:rPr>
          <w:rFonts w:ascii="Times New Roman" w:cs="Times New Roman" w:eastAsia="Times New Roman" w:hAnsi="Times New Roman"/>
          <w:sz w:val="18"/>
          <w:szCs w:val="18"/>
          <w:u w:val="single" w:color="auto"/>
          <w:color w:val="auto"/>
        </w:rPr>
        <w:t>Sections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0" w:firstLine="1428"/>
        <w:spacing w:after="0" w:line="261" w:lineRule="auto"/>
        <w:tabs>
          <w:tab w:leader="none" w:pos="16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Secretary of the Company shall have delivered to the Investors at the Initial Closing Date a certificate certifying (i) the Amended and Restated Certificate of Incorporation; (ii) the Amended and Restated Bylaws; and (iii) resolutions of the Board of Directors (or an authorized committee thereof) approving this Agreement, the other Transaction Agreements, the transactions contemplated by this Agreement and the issuance of the Securities and the Pre-Funded Warrant Shares.</w:t>
      </w:r>
    </w:p>
    <w:p>
      <w:pPr>
        <w:spacing w:after="0" w:line="179" w:lineRule="exact"/>
        <w:rPr>
          <w:rFonts w:ascii="Times New Roman" w:cs="Times New Roman" w:eastAsia="Times New Roman" w:hAnsi="Times New Roman"/>
          <w:sz w:val="18"/>
          <w:szCs w:val="18"/>
          <w:color w:val="auto"/>
        </w:rPr>
      </w:pPr>
    </w:p>
    <w:p>
      <w:pPr>
        <w:ind w:left="-40" w:right="120" w:firstLine="1428"/>
        <w:spacing w:after="0" w:line="282" w:lineRule="auto"/>
        <w:tabs>
          <w:tab w:leader="none" w:pos="16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Company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 at the Initial Closing Date.</w:t>
      </w:r>
    </w:p>
    <w:p>
      <w:pPr>
        <w:spacing w:after="0" w:line="161" w:lineRule="exact"/>
        <w:rPr>
          <w:rFonts w:ascii="Times New Roman" w:cs="Times New Roman" w:eastAsia="Times New Roman" w:hAnsi="Times New Roman"/>
          <w:sz w:val="18"/>
          <w:szCs w:val="18"/>
          <w:color w:val="auto"/>
        </w:rPr>
      </w:pPr>
    </w:p>
    <w:p>
      <w:pPr>
        <w:ind w:left="-40" w:right="40" w:firstLine="1428"/>
        <w:spacing w:after="0" w:line="256" w:lineRule="auto"/>
        <w:tabs>
          <w:tab w:leader="none" w:pos="1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Shares and the Pre-Funded Warrant Shares and Nasdaq shall have raised no objection to such notice and the transactions contemplated hereby.</w:t>
      </w:r>
    </w:p>
    <w:p>
      <w:pPr>
        <w:spacing w:after="0" w:line="187" w:lineRule="exact"/>
        <w:rPr>
          <w:rFonts w:ascii="Times New Roman" w:cs="Times New Roman" w:eastAsia="Times New Roman" w:hAnsi="Times New Roman"/>
          <w:sz w:val="18"/>
          <w:szCs w:val="18"/>
          <w:color w:val="auto"/>
        </w:rPr>
      </w:pPr>
    </w:p>
    <w:p>
      <w:pPr>
        <w:jc w:val="both"/>
        <w:ind w:left="-40" w:right="40" w:firstLine="1428"/>
        <w:spacing w:after="0" w:line="261" w:lineRule="auto"/>
        <w:tabs>
          <w:tab w:leader="none" w:pos="16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judgment, writ, order, injunction, award or decree of or by any court, or judge, justice or magistrate, including any bankruptcy court or judge, or any order of or by any governmental entity, shall have been issued against the Company, and no action or proceeding shall have been instituted by any governmental entity, enjoining or preventing the consummation of the transactions contemplated hereby or in the other Transaction Agreements.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80" w:top="270" w:right="479" w:bottom="1440" w:gutter="0" w:footer="0" w:header="0"/>
        </w:sectPr>
      </w:pPr>
    </w:p>
    <w:bookmarkStart w:id="53" w:name="page54"/>
    <w:bookmarkEnd w:id="53"/>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applicable Closing, and to issue and sell to each Investor the Securities to be purchased by it at the applicable Closing pursuant to this Agreement, is subject to the satisfaction or waiver in writing of the following conditions precedent:</w:t>
      </w:r>
    </w:p>
    <w:p>
      <w:pPr>
        <w:spacing w:after="0" w:line="68" w:lineRule="exact"/>
        <w:rPr>
          <w:sz w:val="20"/>
          <w:szCs w:val="20"/>
          <w:color w:val="auto"/>
        </w:rPr>
      </w:pPr>
    </w:p>
    <w:p>
      <w:pPr>
        <w:jc w:val="both"/>
        <w:ind w:right="40" w:firstLine="1428"/>
        <w:spacing w:after="0" w:line="261" w:lineRule="auto"/>
        <w:tabs>
          <w:tab w:leader="none" w:pos="16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 shall be true and correct on and as of the applicable Closing Date, with the same force and effect as though made on and as of the applicable Closing Date and consummation of the applicable Closing shall constitute a reaffirmation by the Investor of each of the representations, warranties, covenants and agreements of the Investor contained in this Agreement as of the applicable Closing Date.</w:t>
      </w:r>
    </w:p>
    <w:p>
      <w:pPr>
        <w:spacing w:after="0" w:line="179" w:lineRule="exact"/>
        <w:rPr>
          <w:rFonts w:ascii="Times New Roman" w:cs="Times New Roman" w:eastAsia="Times New Roman" w:hAnsi="Times New Roman"/>
          <w:sz w:val="18"/>
          <w:szCs w:val="18"/>
          <w:color w:val="auto"/>
        </w:rPr>
      </w:pPr>
    </w:p>
    <w:p>
      <w:pPr>
        <w:ind w:right="100" w:firstLine="1428"/>
        <w:spacing w:after="0" w:line="282" w:lineRule="auto"/>
        <w:tabs>
          <w:tab w:leader="none" w:pos="16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applicable Closing Date.</w:t>
      </w:r>
    </w:p>
    <w:p>
      <w:pPr>
        <w:spacing w:after="0" w:line="161" w:lineRule="exact"/>
        <w:rPr>
          <w:rFonts w:ascii="Times New Roman" w:cs="Times New Roman" w:eastAsia="Times New Roman" w:hAnsi="Times New Roman"/>
          <w:sz w:val="18"/>
          <w:szCs w:val="18"/>
          <w:color w:val="auto"/>
        </w:rPr>
      </w:pPr>
    </w:p>
    <w:p>
      <w:pPr>
        <w:ind w:right="280" w:firstLine="1428"/>
        <w:spacing w:after="0" w:line="282" w:lineRule="auto"/>
        <w:tabs>
          <w:tab w:leader="none" w:pos="16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Securities by each Investor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right="80" w:firstLine="1428"/>
        <w:spacing w:after="0" w:line="282" w:lineRule="auto"/>
        <w:tabs>
          <w:tab w:leader="none" w:pos="16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Company at the Initial Closing Date.</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6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Securities being purchased by each Investor at the applicable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obligations of the Company, on the one hand, and the Investors, on the other hand, to effect a Closing shall terminate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Upon the mutual written consent of the Company and the Investors that agreed to purchase a majority of the Securities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Closing;</w:t>
      </w:r>
    </w:p>
    <w:p>
      <w:pPr>
        <w:spacing w:after="0" w:line="207" w:lineRule="exact"/>
        <w:rPr>
          <w:sz w:val="20"/>
          <w:szCs w:val="20"/>
          <w:color w:val="auto"/>
        </w:rPr>
      </w:pPr>
    </w:p>
    <w:p>
      <w:pPr>
        <w:ind w:right="140" w:firstLine="1428"/>
        <w:spacing w:after="0" w:line="282" w:lineRule="auto"/>
        <w:tabs>
          <w:tab w:leader="none" w:pos="16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right="460" w:firstLine="1428"/>
        <w:spacing w:after="0" w:line="282" w:lineRule="auto"/>
        <w:tabs>
          <w:tab w:leader="none" w:pos="17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(with respect to itself only)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such Investor;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54" w:name="page55"/>
    <w:bookmarkEnd w:id="54"/>
    <w:p>
      <w:pPr>
        <w:ind w:right="200" w:firstLine="1428"/>
        <w:spacing w:after="0" w:line="282" w:lineRule="auto"/>
        <w:tabs>
          <w:tab w:leader="none" w:pos="17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either the Company or an Investor (with respect to itself only) if the Initial Closing has not occurred on or prior to the fifth Business Day following the date of this Agreement;</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 clauses (ii) and (iii) above, the party seeking to terminate its obligation to effect the applicable Closing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be in breach of any of its representations, warranties, covenants or agreements contained in the Transaction Agreements if such breach has resulted in the circumstances giving rise to such party’s seeking to terminate its obligation to effect the applicable Closing.</w:t>
      </w:r>
    </w:p>
    <w:p>
      <w:pPr>
        <w:spacing w:after="0" w:line="175" w:lineRule="exact"/>
        <w:rPr>
          <w:sz w:val="20"/>
          <w:szCs w:val="20"/>
          <w:color w:val="auto"/>
        </w:rPr>
      </w:pPr>
    </w:p>
    <w:p>
      <w:pPr>
        <w:jc w:val="both"/>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by the Company or the Investor of its obligations to effect the Closing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Investors by the Company.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80" w:lineRule="exact"/>
        <w:rPr>
          <w:sz w:val="20"/>
          <w:szCs w:val="20"/>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the avoidance of doubt, shall not require the Company’s consent. Notwithstanding the foregoing, and subject to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Investor review shall not be required for Company disclosures that are substantially consistent with prior Company disclosures.</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sent (with no undeliverable or other similar rejection notice),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5" w:name="page56"/>
    <w:bookmarkEnd w:id="55"/>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If to the Company, addressed as follows: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William Ho &amp; Patrick McCall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00" w:lineRule="exact"/>
        <w:rPr>
          <w:sz w:val="20"/>
          <w:szCs w:val="20"/>
          <w:color w:val="auto"/>
        </w:rPr>
      </w:pPr>
    </w:p>
    <w:p>
      <w:pPr>
        <w:spacing w:after="0" w:line="3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1299 Pennsylvania Avenue, NW, Suite 700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Jaime L. Chase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jchase@cooley.com</w:t>
      </w:r>
    </w:p>
    <w:p>
      <w:pPr>
        <w:spacing w:after="0" w:line="207" w:lineRule="exact"/>
        <w:rPr>
          <w:sz w:val="20"/>
          <w:szCs w:val="20"/>
          <w:color w:val="auto"/>
        </w:rPr>
      </w:pPr>
    </w:p>
    <w:p>
      <w:pPr>
        <w:ind w:right="780" w:firstLine="1428"/>
        <w:spacing w:after="0" w:line="282"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address or e-mail address set forth on such Investor’s signature page hereto, or such address as subsequently modified by written notice given in accordance with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Each Investor consents to the delivery of any stockholder notice pursuant to the DGCL, by electronic mail pursuant to Section 232 of the DGCL (or any successor thereto) at the e-mail address set forth below the Investor’s name on the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1428"/>
        <w:spacing w:after="0" w:line="266"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56" w:name="page57"/>
    <w:bookmarkEnd w:id="5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Company and each of the Investors hereby irrevocably and unconditionally:</w:t>
      </w:r>
    </w:p>
    <w:p>
      <w:pPr>
        <w:spacing w:after="0" w:line="117" w:lineRule="exact"/>
        <w:rPr>
          <w:sz w:val="20"/>
          <w:szCs w:val="20"/>
          <w:color w:val="auto"/>
        </w:rPr>
      </w:pPr>
    </w:p>
    <w:p>
      <w:pPr>
        <w:ind w:right="240" w:firstLine="1428"/>
        <w:spacing w:after="0" w:line="266" w:lineRule="auto"/>
        <w:tabs>
          <w:tab w:leader="none" w:pos="1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75" w:lineRule="exact"/>
        <w:rPr>
          <w:rFonts w:ascii="Times New Roman" w:cs="Times New Roman" w:eastAsia="Times New Roman" w:hAnsi="Times New Roman"/>
          <w:sz w:val="18"/>
          <w:szCs w:val="18"/>
          <w:color w:val="auto"/>
        </w:rPr>
      </w:pPr>
    </w:p>
    <w:p>
      <w:pPr>
        <w:ind w:firstLine="1428"/>
        <w:spacing w:after="0" w:line="266" w:lineRule="auto"/>
        <w:tabs>
          <w:tab w:leader="none" w:pos="169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ind w:right="360" w:firstLine="1428"/>
        <w:spacing w:after="0" w:line="266" w:lineRule="auto"/>
        <w:tabs>
          <w:tab w:leader="none" w:pos="17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ind w:right="260" w:firstLine="1428"/>
        <w:spacing w:after="0" w:line="266" w:lineRule="auto"/>
        <w:tabs>
          <w:tab w:leader="none" w:pos="17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75" w:lineRule="exact"/>
        <w:rPr>
          <w:rFonts w:ascii="Times New Roman" w:cs="Times New Roman" w:eastAsia="Times New Roman" w:hAnsi="Times New Roman"/>
          <w:sz w:val="18"/>
          <w:szCs w:val="18"/>
          <w:color w:val="auto"/>
        </w:rPr>
      </w:pPr>
    </w:p>
    <w:p>
      <w:pPr>
        <w:ind w:right="260" w:firstLine="1428"/>
        <w:spacing w:after="0" w:line="266" w:lineRule="auto"/>
        <w:tabs>
          <w:tab w:leader="none" w:pos="17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57" w:name="page58"/>
    <w:bookmarkEnd w:id="5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fees and expenses of Gibson, Dunn &amp; Crutcher LLP, counsel for the lead Investor, in an amount not to exceed $75,000 in the aggregate. The Company shall pay all Placement Agent fees relating to or arising out of the transactions contemplated by this Agreement.</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8" w:lineRule="auto"/>
        <w:tabs>
          <w:tab w:leader="none" w:pos="16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83" w:lineRule="exact"/>
        <w:rPr>
          <w:rFonts w:ascii="Times New Roman" w:cs="Times New Roman" w:eastAsia="Times New Roman" w:hAnsi="Times New Roman"/>
          <w:sz w:val="18"/>
          <w:szCs w:val="18"/>
          <w:color w:val="auto"/>
        </w:rPr>
      </w:pPr>
    </w:p>
    <w:p>
      <w:pPr>
        <w:ind w:right="40" w:firstLine="1428"/>
        <w:spacing w:after="0" w:line="255"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and the Registration Rights Agreement with the SEC as exhibit to a periodic report or a registration statement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8" w:name="page59"/>
    <w:bookmarkEnd w:id="5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8.10 </w:t>
      </w:r>
      <w:r>
        <w:rPr>
          <w:rFonts w:ascii="Times New Roman" w:cs="Times New Roman" w:eastAsia="Times New Roman" w:hAnsi="Times New Roman"/>
          <w:sz w:val="18"/>
          <w:szCs w:val="18"/>
          <w:u w:val="single" w:color="auto"/>
          <w:color w:val="auto"/>
        </w:rPr>
        <w:t>Reliance by and Exculpation of Placement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428"/>
        <w:spacing w:after="0" w:line="252" w:lineRule="auto"/>
        <w:tabs>
          <w:tab w:leader="none" w:pos="1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Investor agrees for the express benefit of the Placement Agent, its affiliates and its representatives that (i) it is not relying upon, and has not relied upon, any statement, representation or warranty made by the Placement Agent, any of its affiliates or any of its or its representatives, in making its investment or decision to invest in the Company, (ii) the 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 its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 orally or in writing, to the contrary, (iv) the Investor will be responsible for conducting its own due diligence investigation with respect to the Company and the offer and sale of the Securities, (v) the Investor will be purchasing Securities based on the results of its own due diligence investigation of the Company and the Placement Agent and each of its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 will not be responsible for the ultimate success of any such investment and (vii) the decision to invest in the Company will involve a significant degree of risk, including a risk of total loss of such investment. Each Investor further represents and warrants to the Placement Agent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survive any termination of this Agreement.</w:t>
      </w:r>
    </w:p>
    <w:p>
      <w:pPr>
        <w:spacing w:after="0" w:line="193" w:lineRule="exact"/>
        <w:rPr>
          <w:rFonts w:ascii="Times New Roman" w:cs="Times New Roman" w:eastAsia="Times New Roman" w:hAnsi="Times New Roman"/>
          <w:sz w:val="18"/>
          <w:szCs w:val="18"/>
          <w:color w:val="auto"/>
        </w:rPr>
      </w:pPr>
    </w:p>
    <w:p>
      <w:pPr>
        <w:jc w:val="both"/>
        <w:ind w:left="-20" w:right="260" w:firstLine="1428"/>
        <w:spacing w:after="0" w:line="266" w:lineRule="auto"/>
        <w:tabs>
          <w:tab w:leader="none" w:pos="16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and acknowledges that the Placement Agent may rely on its representations, warranties, agreements and covenants contained in this Agreement and each Investor agrees that the Placement Agent may rely on such Investor’s representations and warranties contained in this Agreement as if such representations and warranties, as applicable, were made directly to the Placement Agent.</w:t>
      </w:r>
    </w:p>
    <w:p>
      <w:pPr>
        <w:spacing w:after="0" w:line="175" w:lineRule="exact"/>
        <w:rPr>
          <w:rFonts w:ascii="Times New Roman" w:cs="Times New Roman" w:eastAsia="Times New Roman" w:hAnsi="Times New Roman"/>
          <w:sz w:val="18"/>
          <w:szCs w:val="18"/>
          <w:color w:val="auto"/>
        </w:rPr>
      </w:pPr>
    </w:p>
    <w:p>
      <w:pPr>
        <w:ind w:left="-20" w:right="20" w:firstLine="1428"/>
        <w:spacing w:after="0" w:line="255" w:lineRule="auto"/>
        <w:tabs>
          <w:tab w:leader="none" w:pos="16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 nor any of its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60" w:top="270" w:right="459" w:bottom="1440" w:gutter="0" w:footer="0" w:header="0"/>
        </w:sectPr>
      </w:pPr>
    </w:p>
    <w:bookmarkStart w:id="59" w:name="page60"/>
    <w:bookmarkEnd w:id="59"/>
    <w:p>
      <w:pPr>
        <w:jc w:val="both"/>
        <w:ind w:right="200" w:firstLine="1428"/>
        <w:spacing w:after="0" w:line="261" w:lineRule="auto"/>
        <w:tabs>
          <w:tab w:leader="none" w:pos="16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that the Placement Agent, its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 hereunder pursuant to the indemnification provisions set forth in the applicable letter agreement between the Company and the Placement Agent.</w:t>
      </w:r>
    </w:p>
    <w:p>
      <w:pPr>
        <w:spacing w:after="0" w:line="180"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the Placement Agent is an intended third-party beneficiary of the representations and warranties of the Company and of each Investor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respectively, of this Agreement and (ii) the Indemnified Persons are intended third-party beneficiaries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Independent Nature of Investors’ Obligations and Right.</w:t>
      </w:r>
      <w:r>
        <w:rPr>
          <w:rFonts w:ascii="Times New Roman" w:cs="Times New Roman" w:eastAsia="Times New Roman" w:hAnsi="Times New Roman"/>
          <w:sz w:val="18"/>
          <w:szCs w:val="18"/>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9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60" w:name="page61"/>
    <w:bookmarkEnd w:id="6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8.15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xml:space="preserve">. This Agreement and the other Transaction Agreements (including all schedules and exhibits hereto and thereto), together with </w:t>
      </w:r>
      <w:r>
        <w:rPr>
          <w:rFonts w:ascii="Times New Roman" w:cs="Times New Roman" w:eastAsia="Times New Roman" w:hAnsi="Times New Roman"/>
          <w:sz w:val="18"/>
          <w:szCs w:val="18"/>
          <w:u w:val="single" w:color="auto"/>
          <w:color w:val="auto"/>
        </w:rPr>
        <w:t>any side letter agreements with any of the Investors,</w:t>
      </w:r>
      <w:r>
        <w:rPr>
          <w:rFonts w:ascii="Times New Roman" w:cs="Times New Roman" w:eastAsia="Times New Roman" w:hAnsi="Times New Roman"/>
          <w:sz w:val="18"/>
          <w:szCs w:val="18"/>
          <w:color w:val="auto"/>
        </w:rPr>
        <w:t xml:space="preserve"> constitute the entire agreement between the parties hereto respecting the subject matter of this Agreement and supersedes all prior agreements, negotiations, understandings, representations and statements respecting the subject matter of this Agreement, whether written or oral. Except for a Price Threshold Waiver,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Initial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be valid without the prior written consent of the Placement Agent, which consent may be granted or withheld in the sole discretion of the Placement Agent.</w:t>
      </w:r>
    </w:p>
    <w:p>
      <w:pPr>
        <w:spacing w:after="0" w:line="18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76"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8.17 </w:t>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14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Securities were determined as a result of arm’s-length negotiations.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hereto have executed this Agreement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By: /s/ Peter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Peter Brandt</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By: /s/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Patrick McCall</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8"/>
          <w:szCs w:val="18"/>
          <w:color w:val="auto"/>
        </w:rPr>
        <w:t>By: /s/ Kate Rochlin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Kate Rochlin</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FRANKLIN STRATEGIC SERIES – FRANKLIN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BIOTECHNOLOGY DISCOVERY FUND</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BY: FRANKLIN ADVISERS, INC., AS INVESTMENT</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of Authorized Signatory: Evan McCulloch</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of Authorized Signatory: VP</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10460"/>
          </w:cols>
          <w:pgMar w:left="880" w:top="266" w:right="5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FRANKLIN TEMPLETON INVESTMENT FUNDS –</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FRANKLIN BIOTECHNOLOGY DISCOVERY FUND</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BY: FRANKLIN ADVISERS, INC., AS INVESTMENT</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of Authorized Signatory: Evan McCulloch</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of Authorized Signatory: VP</w:t>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10480"/>
          </w:cols>
          <w:pgMar w:left="880" w:top="266" w:right="5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683 CAPITAL PARTNERS,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Joseph Patt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Joseph Patt</w:t>
      </w:r>
    </w:p>
    <w:p>
      <w:pPr>
        <w:spacing w:after="0" w:line="9"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color w:val="auto"/>
        </w:rPr>
        <w:t>Title: Member of the General Partner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ALYESKA MASTER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Jason Bragg</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CFO of Alyeska Investment Group, LP,</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Investment Adviser to Alyeska Master Fund LP</w:t>
      </w:r>
    </w:p>
    <w:p>
      <w:pPr>
        <w:spacing w:after="0" w:line="2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620"/>
          </w:cols>
          <w:pgMar w:left="880" w:top="266" w:right="1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Stonepine Capital,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Jon M. Plexico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 M. Plexico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Managing Member of the General Partner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620"/>
          </w:cols>
          <w:pgMar w:left="880" w:top="266" w:right="1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COASTLANDS CAPITAL PARTNERS LP</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Mark Shamia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Mark Shamia</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Dellora Long Only Master Fund LP</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Kevin Pyun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Pyun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Dellora Investments Master Fund LP</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Kevin Pyun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Pyun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color w:val="auto"/>
        </w:rPr>
        <w:t>By: /s/ Alan S. Roemer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Alan S. Roemer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ASR15FT LLC</w:t>
      </w:r>
    </w:p>
    <w:p>
      <w:pPr>
        <w:spacing w:after="0" w:line="229"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color w:val="auto"/>
        </w:rPr>
        <w:t>By: /s/ Philip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Philip C. Rice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Richard E. Gormley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Richard E. Gormley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color w:val="auto"/>
        </w:rPr>
        <w:t>Name: Richard E. Gormley</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Lytton-Kambara Foundation</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Laurence Lytton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Laurence Lytton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has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2010 Malcom and Emily CRUT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Emily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Emily Fairbairn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9579"/>
          </w:cols>
          <w:pgMar w:left="880" w:top="266" w:right="1440" w:bottom="1440" w:gutter="0" w:footer="0" w:header="0"/>
        </w:sectPr>
      </w:pPr>
    </w:p>
    <w:bookmarkStart w:id="79" w:name="page80"/>
    <w:bookmarkEnd w:id="79"/>
    <w:p>
      <w:pPr>
        <w:ind w:left="4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u w:val="single" w:color="auto"/>
          <w:color w:val="auto"/>
        </w:rPr>
        <w:t>Initial Closing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Second Closing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18, 2025, is entered into by and among IN8bio,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Upon the terms and subject to the conditions of the Purchase Agreement, the Company has agreed to issue to the Investors, and the Investors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have agreed to purchase, severally and not jointly, (x)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$0.0001 per share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and/or (y)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Shares,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each case, pursuant to the Purchase Agreement. The shares of Common Stock issuable upon exercise of the Pre-Funded Warrants,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without giving effect to any limitations on exercise of the Pre-Funded Warrants, and assuming all of the Pre-Funded Warrants are exercised for cash, 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collectively referred to herein as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Investors hereby agree as follows:</w:t>
      </w:r>
    </w:p>
    <w:p>
      <w:pPr>
        <w:spacing w:after="0" w:line="2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13" w:lineRule="exact"/>
        <w:rPr>
          <w:sz w:val="20"/>
          <w:szCs w:val="20"/>
          <w:color w:val="auto"/>
        </w:rPr>
      </w:pPr>
    </w:p>
    <w:p>
      <w:pPr>
        <w:ind w:left="4" w:right="840" w:firstLine="987"/>
        <w:spacing w:after="0" w:line="286" w:lineRule="auto"/>
        <w:tabs>
          <w:tab w:leader="none" w:pos="12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4" w:lineRule="exact"/>
        <w:rPr>
          <w:rFonts w:ascii="Times New Roman" w:cs="Times New Roman" w:eastAsia="Times New Roman" w:hAnsi="Times New Roman"/>
          <w:sz w:val="18"/>
          <w:szCs w:val="18"/>
          <w:color w:val="auto"/>
        </w:rPr>
      </w:pPr>
    </w:p>
    <w:p>
      <w:pPr>
        <w:ind w:left="4" w:right="40" w:firstLine="987"/>
        <w:spacing w:after="0" w:line="274" w:lineRule="auto"/>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w:t>
      </w:r>
    </w:p>
    <w:p>
      <w:pPr>
        <w:ind w:left="4" w:right="540" w:hanging="4"/>
        <w:spacing w:after="0" w:line="260" w:lineRule="auto"/>
        <w:tabs>
          <w:tab w:leader="none" w:pos="2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as defined in Rule 405 under the 1933 Act, relating to the terms of the offering of any portion of the Registrable Securities.</w:t>
      </w:r>
    </w:p>
    <w:p>
      <w:pPr>
        <w:spacing w:after="0" w:line="177" w:lineRule="exact"/>
        <w:rPr>
          <w:rFonts w:ascii="Times New Roman" w:cs="Times New Roman" w:eastAsia="Times New Roman" w:hAnsi="Times New Roman"/>
          <w:sz w:val="18"/>
          <w:szCs w:val="18"/>
          <w:color w:val="auto"/>
        </w:rPr>
      </w:pPr>
    </w:p>
    <w:p>
      <w:pPr>
        <w:ind w:left="4" w:right="420" w:firstLine="987"/>
        <w:spacing w:after="0" w:line="268"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83" w:name="page84"/>
    <w:bookmarkEnd w:id="83"/>
    <w:p>
      <w:pPr>
        <w:ind w:left="-40" w:right="60" w:firstLine="987"/>
        <w:spacing w:after="0" w:line="257" w:lineRule="auto"/>
        <w:tabs>
          <w:tab w:leader="none" w:pos="12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the Pre-Funded Warrant Shares and any Common Stock issued or issuable with respect to the Shares and the Pre-Funded Warrant Shares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earlier to occur of the date on which (i) the Investors shall have resold all the Registrable Securities covered by the applicable Registration Statement and (ii) such Registrable Securities have been previously sold in accordance with Rule 144.</w:t>
      </w:r>
    </w:p>
    <w:p>
      <w:pPr>
        <w:spacing w:after="0" w:line="182"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any legal fees of the Investors.</w:t>
      </w:r>
    </w:p>
    <w:p>
      <w:pPr>
        <w:spacing w:after="0" w:line="184" w:lineRule="exact"/>
        <w:rPr>
          <w:rFonts w:ascii="Times New Roman" w:cs="Times New Roman" w:eastAsia="Times New Roman" w:hAnsi="Times New Roman"/>
          <w:sz w:val="18"/>
          <w:szCs w:val="18"/>
          <w:color w:val="auto"/>
        </w:rPr>
      </w:pPr>
    </w:p>
    <w:p>
      <w:pPr>
        <w:ind w:left="-40" w:right="120" w:firstLine="987"/>
        <w:spacing w:after="0" w:line="257" w:lineRule="auto"/>
        <w:tabs>
          <w:tab w:leader="none" w:pos="117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40" w:right="60" w:firstLine="987"/>
        <w:spacing w:after="0" w:line="268" w:lineRule="auto"/>
        <w:tabs>
          <w:tab w:leader="none" w:pos="12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 (determined as if all of the Pre-Funded Warrants then outstanding have been exercised without regard to any limitations on the exercise of such Pre-Funded Warrants).</w:t>
      </w:r>
    </w:p>
    <w:p>
      <w:pPr>
        <w:spacing w:after="0" w:line="170" w:lineRule="exact"/>
        <w:rPr>
          <w:rFonts w:ascii="Times New Roman" w:cs="Times New Roman" w:eastAsia="Times New Roman" w:hAnsi="Times New Roman"/>
          <w:sz w:val="18"/>
          <w:szCs w:val="18"/>
          <w:color w:val="auto"/>
        </w:rPr>
      </w:pPr>
    </w:p>
    <w:p>
      <w:pPr>
        <w:ind w:left="-40" w:right="140" w:firstLine="987"/>
        <w:spacing w:after="0" w:line="286" w:lineRule="auto"/>
        <w:tabs>
          <w:tab w:leader="none" w:pos="12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the Investors’ disposition of the Registrable Securities.</w:t>
      </w:r>
    </w:p>
    <w:p>
      <w:pPr>
        <w:spacing w:after="0" w:line="262"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121" w:lineRule="exact"/>
        <w:rPr>
          <w:rFonts w:ascii="Times New Roman" w:cs="Times New Roman" w:eastAsia="Times New Roman" w:hAnsi="Times New Roman"/>
          <w:sz w:val="18"/>
          <w:szCs w:val="18"/>
          <w:b w:val="1"/>
          <w:bCs w:val="1"/>
          <w:color w:val="auto"/>
        </w:rPr>
      </w:pPr>
    </w:p>
    <w:p>
      <w:pPr>
        <w:ind w:left="1200" w:hanging="253"/>
        <w:spacing w:after="0"/>
        <w:tabs>
          <w:tab w:leader="none" w:pos="12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0" w:firstLine="948"/>
        <w:spacing w:after="0" w:line="266" w:lineRule="auto"/>
        <w:tabs>
          <w:tab w:leader="none" w:pos="149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 promptly as reasonably practicable and in any event no later than 30 days after the Initial Closing Date (the “</w:t>
      </w:r>
      <w:r>
        <w:rPr>
          <w:rFonts w:ascii="Times New Roman" w:cs="Times New Roman" w:eastAsia="Times New Roman" w:hAnsi="Times New Roman"/>
          <w:sz w:val="18"/>
          <w:szCs w:val="18"/>
          <w:b w:val="1"/>
          <w:bCs w:val="1"/>
          <w:color w:val="auto"/>
        </w:rPr>
        <w:t>Initial Filing Deadline</w:t>
      </w:r>
      <w:r>
        <w:rPr>
          <w:rFonts w:ascii="Times New Roman" w:cs="Times New Roman" w:eastAsia="Times New Roman" w:hAnsi="Times New Roman"/>
          <w:sz w:val="18"/>
          <w:szCs w:val="18"/>
          <w:color w:val="auto"/>
        </w:rPr>
        <w:t>”), prepare and file with the SEC a Registration Statement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covering the resale of all Registrable Securities issued in respect to the Initial Closing.</w:t>
      </w:r>
    </w:p>
    <w:p>
      <w:pPr>
        <w:spacing w:after="0" w:line="67" w:lineRule="exact"/>
        <w:rPr>
          <w:rFonts w:ascii="Times New Roman" w:cs="Times New Roman" w:eastAsia="Times New Roman" w:hAnsi="Times New Roman"/>
          <w:sz w:val="18"/>
          <w:szCs w:val="18"/>
          <w:color w:val="auto"/>
        </w:rPr>
      </w:pPr>
    </w:p>
    <w:p>
      <w:pPr>
        <w:ind w:left="400" w:right="40" w:firstLine="948"/>
        <w:spacing w:after="0" w:line="256" w:lineRule="auto"/>
        <w:tabs>
          <w:tab w:leader="none" w:pos="154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 promptly as reasonably practicable and in any event no later than 30 days after Second Closing Date (the “</w:t>
      </w:r>
      <w:r>
        <w:rPr>
          <w:rFonts w:ascii="Times New Roman" w:cs="Times New Roman" w:eastAsia="Times New Roman" w:hAnsi="Times New Roman"/>
          <w:sz w:val="18"/>
          <w:szCs w:val="18"/>
          <w:b w:val="1"/>
          <w:bCs w:val="1"/>
          <w:color w:val="auto"/>
        </w:rPr>
        <w:t>Second Filing Deadline</w:t>
      </w:r>
      <w:r>
        <w:rPr>
          <w:rFonts w:ascii="Times New Roman" w:cs="Times New Roman" w:eastAsia="Times New Roman" w:hAnsi="Times New Roman"/>
          <w:sz w:val="18"/>
          <w:szCs w:val="18"/>
          <w:color w:val="auto"/>
        </w:rPr>
        <w:t>” and each of the Initial Filing Deadline and Second Filing Deadline, a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prepare and file with the SEC a Registration Statement (the “</w:t>
      </w:r>
      <w:r>
        <w:rPr>
          <w:rFonts w:ascii="Times New Roman" w:cs="Times New Roman" w:eastAsia="Times New Roman" w:hAnsi="Times New Roman"/>
          <w:sz w:val="18"/>
          <w:szCs w:val="18"/>
          <w:b w:val="1"/>
          <w:bCs w:val="1"/>
          <w:color w:val="auto"/>
        </w:rPr>
        <w:t>Second Registration Statement</w:t>
      </w:r>
      <w:r>
        <w:rPr>
          <w:rFonts w:ascii="Times New Roman" w:cs="Times New Roman" w:eastAsia="Times New Roman" w:hAnsi="Times New Roman"/>
          <w:sz w:val="18"/>
          <w:szCs w:val="18"/>
          <w:color w:val="auto"/>
        </w:rPr>
        <w:t>”) covering the resale of all Registrable Securities issued in connection with the Second Closing. Notwithstanding the foregoing, if the Company’s financial statements are stale as of the Second Filing Deadline, the Second Filing Deadline shall automatically be extended to the subsequent date on which the Company files the applicable report containing the financials required under the Exchange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6" w:right="499" w:bottom="1440" w:gutter="0" w:footer="0" w:header="0"/>
        </w:sectPr>
      </w:pPr>
    </w:p>
    <w:bookmarkStart w:id="84" w:name="page85"/>
    <w:bookmarkEnd w:id="84"/>
    <w:p>
      <w:pPr>
        <w:ind w:left="444" w:firstLine="948"/>
        <w:spacing w:after="0" w:line="252" w:lineRule="auto"/>
        <w:tabs>
          <w:tab w:leader="none" w:pos="163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filing a Registration Statement, the Company shall furnish to the Investors a copy of such Registration Statement. The Investors and their respective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The Company shall (a) consider in good faith any comments as the Investor or its counsel reasonably propose with respect to such document prior to being so filed with the SEC, and (b) not file any Registration Statement or Prospectus or any amendment or supplement thereto containing information regarding the Investor to which Investor reasonably believes contains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The Investors shall furnish all information reasonably requested by the Company and as shall be reasonably required in connection with any registration referred to in this Agreement.</w:t>
      </w:r>
    </w:p>
    <w:p>
      <w:pPr>
        <w:spacing w:after="0" w:line="195" w:lineRule="exact"/>
        <w:rPr>
          <w:rFonts w:ascii="Times New Roman" w:cs="Times New Roman" w:eastAsia="Times New Roman" w:hAnsi="Times New Roman"/>
          <w:sz w:val="18"/>
          <w:szCs w:val="18"/>
          <w:color w:val="auto"/>
        </w:rPr>
      </w:pPr>
    </w:p>
    <w:p>
      <w:pPr>
        <w:jc w:val="both"/>
        <w:ind w:left="4" w:right="280" w:firstLine="987"/>
        <w:spacing w:after="0" w:line="272" w:lineRule="auto"/>
        <w:tabs>
          <w:tab w:leader="none" w:pos="125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xml:space="preserve"> The Company shall use its reasonable best efforts to have the Initial Registration Statement, Second Registration Statement and any amendment declared effective by the SEC at the earliest possible date but no later than the earlier of (a) the 90th calendar day following the initial filing date of such Registration Statement if the SEC notifies the Company that it will “review” such Registration Statement and</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Business Day after the date the Company is notified (orally or in writing, whichever is earlier) by the SEC that such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such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Each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85" w:name="page86"/>
    <w:bookmarkEnd w:id="85"/>
    <w:p>
      <w:pPr>
        <w:ind w:right="80" w:firstLine="987"/>
        <w:spacing w:after="0" w:line="253"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Sufficient Number of Shares Registered</w:t>
      </w:r>
      <w:r>
        <w:rPr>
          <w:rFonts w:ascii="Times New Roman" w:cs="Times New Roman" w:eastAsia="Times New Roman" w:hAnsi="Times New Roman"/>
          <w:sz w:val="18"/>
          <w:szCs w:val="18"/>
          <w:color w:val="auto"/>
        </w:rPr>
        <w:t>. In the event the number of shares available under any Registration Statement at any time is insufficient to cover the Registrable Securities, the Company shall, to the extent necessary and permissible, amend such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 Business Days after the necessity therefor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reasonable best efforts to have such amendment and/or New Registration Statement become effective 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 Registration Effectiveness Deadline</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apply to the New Registration Statement, except as modified hereby.</w:t>
      </w:r>
    </w:p>
    <w:p>
      <w:pPr>
        <w:spacing w:after="0" w:line="19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If (i) the applicable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provided that no liquidated damages shall be payable if and to the extent to, despite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cs="Times New Roman" w:eastAsia="Times New Roman" w:hAnsi="Times New Roman"/>
          <w:sz w:val="18"/>
          <w:szCs w:val="18"/>
          <w:b w:val="1"/>
          <w:bCs w:val="1"/>
          <w:color w:val="auto"/>
        </w:rPr>
        <w:t>Blackout Period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Interest shall accrue at the rate of 1.0% per month on any such liquidated damages payments that shall not be paid by the Blackout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Date until such amount is paid in full. Notwithstanding the above, in no event shall the aggregate amount of liquidated damages (or interest thereon) paid under this Agreement to any Investor exceed, in the aggregate, 5.0% of the aggregate purchase price of the Shares and Pre-Funded Warrants purchased by such Investor under the Purchase Agreement. Notwithstanding anything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within three Business Days of the Company’s request, any liquidated damages that would otherwise accrue as to such Investor only shall be tolled until such information is delivered to the Company.</w:t>
      </w:r>
    </w:p>
    <w:p>
      <w:pPr>
        <w:spacing w:after="0" w:line="18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xml:space="preserve"> On no more than two occasions and for not more than 30 consecutive days or for a total of not more than 60 days in any 12 month period, the Company may delay the effectiveness of any Registration Statement or suspend the use of any Prospectus, in the event that the Company or Board of Directors determines, in good faith, that such delay or suspension is necessary to (A) delay the disclosure of material non-public information concerning the Company, the disclosure of which at the time is not, in the good faith opinion of the Company, in the best interests of the Company or (B)</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6" w:name="page87"/>
    <w:bookmarkEnd w:id="8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w:t>
      </w:r>
    </w:p>
    <w:p>
      <w:pPr>
        <w:spacing w:after="0" w:line="189" w:lineRule="exact"/>
        <w:rPr>
          <w:sz w:val="20"/>
          <w:szCs w:val="20"/>
          <w:color w:val="auto"/>
        </w:rPr>
      </w:pPr>
    </w:p>
    <w:p>
      <w:pPr>
        <w:ind w:firstLine="987"/>
        <w:spacing w:after="0" w:line="252" w:lineRule="auto"/>
        <w:tabs>
          <w:tab w:leader="none" w:pos="121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applicable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applicable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and be at the Investors’ expense, which counsel shall be selected by the Required Investors, to review and oversee any registration or matters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In the event that, despite the Company’s reasonable best efforts and compliance with the terms of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w:t>
      </w:r>
    </w:p>
    <w:p>
      <w:pPr>
        <w:spacing w:after="0" w:line="29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121"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applicable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72" w:lineRule="exact"/>
        <w:rPr>
          <w:sz w:val="20"/>
          <w:szCs w:val="20"/>
          <w:color w:val="auto"/>
        </w:rPr>
      </w:pPr>
    </w:p>
    <w:p>
      <w:pPr>
        <w:ind w:firstLine="987"/>
        <w:spacing w:after="0" w:line="258"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promptly of the time when any subsequent amendment to the applicable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applicable Registration Statement, any New Registration Statement or any Prospectus or for additional information.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7" w:name="page88"/>
    <w:bookmarkEnd w:id="87"/>
    <w:p>
      <w:pPr>
        <w:ind w:left="-20" w:right="120" w:firstLine="987"/>
        <w:spacing w:after="0" w:line="256" w:lineRule="auto"/>
        <w:tabs>
          <w:tab w:leader="none" w:pos="12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xml:space="preserve"> The Company will prepare and file with the SEC any amendments, post-effective amendments or supplements to the applicable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87"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a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83" w:lineRule="exact"/>
        <w:rPr>
          <w:rFonts w:ascii="Times New Roman" w:cs="Times New Roman" w:eastAsia="Times New Roman" w:hAnsi="Times New Roman"/>
          <w:sz w:val="18"/>
          <w:szCs w:val="18"/>
          <w:color w:val="auto"/>
        </w:rPr>
      </w:pPr>
    </w:p>
    <w:p>
      <w:pPr>
        <w:ind w:left="-20" w:right="60" w:firstLine="987"/>
        <w:spacing w:after="0" w:line="253" w:lineRule="auto"/>
        <w:tabs>
          <w:tab w:leader="none" w:pos="12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will furnish to any Investor whose Registrable Securities are included in any Registration Statement and its counsel copies of any such Registration Statement, any Prospectus thereunder (including all documents incorporated by reference therein), any Prospectus supplement thereunder, any New Registration Statement and all amendments to such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w:t>
      </w:r>
    </w:p>
    <w:p>
      <w:pPr>
        <w:spacing w:after="0" w:line="194"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any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88" w:name="page89"/>
    <w:bookmarkEnd w:id="8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or any other law. The Company shall not be required to disclose to the Investors (and shall not disclose to any Investor without such Investor’s prior written consent) the substance of specific reasons of any of the events set forth in clauses (i) through (iii)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upon request and without charge, a copy of any correspondence from the SEC or the staff of the SEC, or any other federal or state governmental authority to the Company or its representatives relating to the applicable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spacing w:after="0" w:line="187" w:lineRule="exact"/>
        <w:rPr>
          <w:sz w:val="20"/>
          <w:szCs w:val="20"/>
          <w:color w:val="auto"/>
        </w:rPr>
      </w:pPr>
    </w:p>
    <w:p>
      <w:pPr>
        <w:ind w:right="220" w:firstLine="987"/>
        <w:spacing w:after="0" w:line="261" w:lineRule="auto"/>
        <w:tabs>
          <w:tab w:leader="none" w:pos="12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reasonable best efforts to cause all Registrable Securities covered by a Registration Statement to be listed on the Nasdaq Capital Market.</w:t>
      </w:r>
    </w:p>
    <w:p>
      <w:pPr>
        <w:spacing w:after="0" w:line="161" w:lineRule="exact"/>
        <w:rPr>
          <w:rFonts w:ascii="Times New Roman" w:cs="Times New Roman" w:eastAsia="Times New Roman" w:hAnsi="Times New Roman"/>
          <w:sz w:val="18"/>
          <w:szCs w:val="18"/>
          <w:color w:val="auto"/>
        </w:rPr>
      </w:pPr>
    </w:p>
    <w:p>
      <w:pPr>
        <w:ind w:right="40" w:firstLine="987"/>
        <w:spacing w:after="0" w:line="246"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means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after the end of such fourth fiscal quarter).</w:t>
      </w:r>
    </w:p>
    <w:p>
      <w:pPr>
        <w:spacing w:after="0" w:line="69"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commercially reasonable efforts to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89" w:name="page90"/>
    <w:bookmarkEnd w:id="89"/>
    <w:p>
      <w:pPr>
        <w:ind w:left="4" w:right="100" w:firstLine="987"/>
        <w:spacing w:after="0" w:line="269" w:lineRule="auto"/>
        <w:tabs>
          <w:tab w:leader="none" w:pos="1210"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144</w:t>
      </w:r>
      <w:r>
        <w:rPr>
          <w:rFonts w:ascii="Times New Roman" w:cs="Times New Roman" w:eastAsia="Times New Roman" w:hAnsi="Times New Roman"/>
          <w:sz w:val="17"/>
          <w:szCs w:val="17"/>
          <w:color w:val="auto"/>
        </w:rPr>
        <w:t>. With a view to making available to the Investors the benefits of Rule 144 (or its successor rule) and any other rule or regulation of the SEC that may at any time permit the Investors to sell shares of Common Stock to the public without registration, for so long as the Registrable Securities are outstanding.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86"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5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stock certificates through the use of The Depository Trust Company’s Direct Registration System.</w:t>
      </w:r>
    </w:p>
    <w:p>
      <w:pPr>
        <w:spacing w:after="0" w:line="2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8" w:lineRule="auto"/>
        <w:tabs>
          <w:tab w:leader="none" w:pos="12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information as reasonably requested by the Company and required in connection with the registration of the applicable Registrable Securities (such questionnaire or other information provided, the “</w:t>
      </w:r>
      <w:r>
        <w:rPr>
          <w:rFonts w:ascii="Times New Roman" w:cs="Times New Roman" w:eastAsia="Times New Roman" w:hAnsi="Times New Roman"/>
          <w:sz w:val="18"/>
          <w:szCs w:val="18"/>
          <w:b w:val="1"/>
          <w:bCs w:val="1"/>
          <w:color w:val="auto"/>
        </w:rPr>
        <w:t>Questionnaire</w:t>
      </w:r>
      <w:r>
        <w:rPr>
          <w:rFonts w:ascii="Times New Roman" w:cs="Times New Roman" w:eastAsia="Times New Roman" w:hAnsi="Times New Roman"/>
          <w:sz w:val="18"/>
          <w:szCs w:val="18"/>
          <w:color w:val="auto"/>
        </w:rPr>
        <w:t>”) If the Company has not received such completed Questionnaire from an Investor within three Business Days of the Company’s request, the Company may file the Registration Statement without including such Investor’s Registrable Securities.</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Each Investor, severally and not jointly with any other Investor, agrees that, upon receipt of any notice from the Company of the existence of an Allowed Delay as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or a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 will immediately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use its reasonable best efforts to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90" w:name="page91"/>
    <w:bookmarkEnd w:id="90"/>
    <w:p>
      <w:pPr>
        <w:ind w:left="4" w:right="100" w:firstLine="987"/>
        <w:spacing w:after="0" w:line="261"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28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280" w:lineRule="exact"/>
        <w:rPr>
          <w:sz w:val="20"/>
          <w:szCs w:val="20"/>
          <w:color w:val="auto"/>
        </w:rPr>
      </w:pPr>
    </w:p>
    <w:p>
      <w:pPr>
        <w:ind w:left="624" w:hanging="184"/>
        <w:spacing w:after="0"/>
        <w:tabs>
          <w:tab w:leader="none" w:pos="624"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67" w:lineRule="auto"/>
        <w:tabs>
          <w:tab w:leader="none" w:pos="1237"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7"/>
          <w:szCs w:val="17"/>
          <w:b w:val="1"/>
          <w:bCs w:val="1"/>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 arise out of or are based upon:</w:t>
      </w:r>
    </w:p>
    <w:p>
      <w:pPr>
        <w:spacing w:after="0" w:line="5" w:lineRule="exact"/>
        <w:rPr>
          <w:rFonts w:ascii="Times New Roman" w:cs="Times New Roman" w:eastAsia="Times New Roman" w:hAnsi="Times New Roman"/>
          <w:sz w:val="17"/>
          <w:szCs w:val="17"/>
          <w:color w:val="auto"/>
        </w:rPr>
      </w:pPr>
    </w:p>
    <w:p>
      <w:pPr>
        <w:ind w:left="4" w:right="20" w:hanging="4"/>
        <w:spacing w:after="0" w:line="251"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The Company shall reimburse each Indemnified Person promptly as such Losses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91" w:name="page92"/>
    <w:bookmarkEnd w:id="9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87"/>
        <w:spacing w:after="0" w:line="253"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Registration Statement, any New Registration Statement or any prospectus, the Investors, severally and not jointly, agree to indemnify, hold harmless and defend, the Company, each of its directors, each of its officers who signed such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the relevant Investor furnished in writing by such Investor to the Company for use in such Registration Statement expressly for use in connection with the preparation of the Registration Statement, any New Registration Statement, any prospectus or any such amendment thereof or supplement thereto. In no event shall the liability of any Investor be greater in amount than the dollar amount of the proceeds (net of all expenses paid by such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of no more than one separate counsel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92" w:name="page93"/>
    <w:bookmarkEnd w:id="92"/>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94" w:lineRule="exact"/>
        <w:rPr>
          <w:sz w:val="20"/>
          <w:szCs w:val="20"/>
          <w:color w:val="auto"/>
        </w:rPr>
      </w:pPr>
    </w:p>
    <w:p>
      <w:pPr>
        <w:ind w:left="4" w:right="220" w:firstLine="987"/>
        <w:spacing w:after="0" w:line="261" w:lineRule="auto"/>
        <w:tabs>
          <w:tab w:leader="none" w:pos="12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6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121" w:lineRule="exact"/>
        <w:rPr>
          <w:sz w:val="20"/>
          <w:szCs w:val="20"/>
          <w:color w:val="auto"/>
        </w:rPr>
      </w:pPr>
    </w:p>
    <w:p>
      <w:pPr>
        <w:ind w:left="4" w:right="360" w:firstLine="991"/>
        <w:spacing w:after="0" w:line="270"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3" w:lineRule="exact"/>
        <w:rPr>
          <w:sz w:val="20"/>
          <w:szCs w:val="20"/>
          <w:color w:val="auto"/>
        </w:rPr>
      </w:pPr>
    </w:p>
    <w:p>
      <w:pPr>
        <w:jc w:val="both"/>
        <w:ind w:left="4" w:right="20" w:hanging="4"/>
        <w:spacing w:after="0" w:line="253"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8. ASSIGNMENT OF REGISTRATION RIGHTS.</w:t>
      </w:r>
    </w:p>
    <w:p>
      <w:pPr>
        <w:spacing w:after="0" w:line="12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93" w:name="page94"/>
    <w:bookmarkEnd w:id="93"/>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AMENDMENTS AND WAIVERS.</w:t>
      </w:r>
    </w:p>
    <w:p>
      <w:pPr>
        <w:spacing w:after="0" w:line="121"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The provisions of this Agreement, including the provisions of this sentence, may be amended, modified or supplemented, or waived only by a written instrument executed by (i) the Company and (ii) the Required Investors, provided that (1) any party may give a waiver as to itself and</w:t>
      </w:r>
    </w:p>
    <w:p>
      <w:pPr>
        <w:spacing w:after="0" w:line="1" w:lineRule="exact"/>
        <w:rPr>
          <w:sz w:val="20"/>
          <w:szCs w:val="20"/>
          <w:color w:val="auto"/>
        </w:rPr>
      </w:pPr>
    </w:p>
    <w:p>
      <w:pPr>
        <w:ind w:left="4" w:right="120" w:hanging="4"/>
        <w:spacing w:after="0" w:line="253"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29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77" w:lineRule="auto"/>
        <w:tabs>
          <w:tab w:leader="none" w:pos="1240"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sent (with no undeliverable or other similar rejection notice),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60"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i. If to the Company, addressed as follows:</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350 5th Avenue, Suite 5330</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William Ho &amp; Patrick McCall</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00" w:lineRule="exact"/>
        <w:rPr>
          <w:sz w:val="20"/>
          <w:szCs w:val="20"/>
          <w:color w:val="auto"/>
        </w:rPr>
      </w:pPr>
    </w:p>
    <w:p>
      <w:pPr>
        <w:spacing w:after="0" w:line="398"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1299 Pennsylvania Avenue, NW, Suite 700</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Attention: Jaime L. Chase</w:t>
      </w:r>
    </w:p>
    <w:p>
      <w:pPr>
        <w:spacing w:after="0" w:line="9" w:lineRule="exact"/>
        <w:rPr>
          <w:sz w:val="20"/>
          <w:szCs w:val="20"/>
          <w:color w:val="auto"/>
        </w:rPr>
      </w:pPr>
    </w:p>
    <w:p>
      <w:pPr>
        <w:ind w:left="2424"/>
        <w:spacing w:after="0"/>
        <w:rPr>
          <w:sz w:val="20"/>
          <w:szCs w:val="20"/>
          <w:color w:val="auto"/>
        </w:rPr>
      </w:pPr>
      <w:r>
        <w:rPr>
          <w:rFonts w:ascii="Times New Roman" w:cs="Times New Roman" w:eastAsia="Times New Roman" w:hAnsi="Times New Roman"/>
          <w:sz w:val="18"/>
          <w:szCs w:val="18"/>
          <w:color w:val="auto"/>
        </w:rPr>
        <w:t>Email: jchase@cooley.com</w:t>
      </w:r>
    </w:p>
    <w:p>
      <w:pPr>
        <w:spacing w:after="0" w:line="99" w:lineRule="exact"/>
        <w:rPr>
          <w:sz w:val="20"/>
          <w:szCs w:val="20"/>
          <w:color w:val="auto"/>
        </w:rPr>
      </w:pPr>
    </w:p>
    <w:p>
      <w:pPr>
        <w:ind w:left="444" w:right="460" w:firstLine="948"/>
        <w:spacing w:after="0" w:line="282" w:lineRule="auto"/>
        <w:tabs>
          <w:tab w:leader="none" w:pos="158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94" w:name="page95"/>
    <w:bookmarkEnd w:id="94"/>
    <w:p>
      <w:pPr>
        <w:ind w:left="-20" w:right="20" w:firstLine="987"/>
        <w:spacing w:after="0" w:line="255"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Electronic Notice</w:t>
      </w:r>
      <w:r>
        <w:rPr>
          <w:rFonts w:ascii="Times New Roman" w:cs="Times New Roman" w:eastAsia="Times New Roman" w:hAnsi="Times New Roman"/>
          <w:sz w:val="18"/>
          <w:szCs w:val="18"/>
          <w:color w:val="auto"/>
        </w:rPr>
        <w:t>. Each Investor consents to the delivery of any stockholder notice pursuant to the Delaware General Corporation Law, as amended or superseded from time to time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electronic mail pursuant to Section 232 of the DGCL (or any successor thereto)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8"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Section 8.5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20" w:right="100" w:firstLine="987"/>
        <w:spacing w:after="0" w:line="282"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1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20" w:right="360" w:firstLine="987"/>
        <w:spacing w:after="0" w:line="282"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left="-20" w:right="140" w:firstLine="987"/>
        <w:spacing w:after="0" w:line="258" w:lineRule="auto"/>
        <w:tabs>
          <w:tab w:leader="none" w:pos="11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83" w:lineRule="exact"/>
        <w:rPr>
          <w:rFonts w:ascii="Times New Roman" w:cs="Times New Roman" w:eastAsia="Times New Roman" w:hAnsi="Times New Roman"/>
          <w:sz w:val="18"/>
          <w:szCs w:val="18"/>
          <w:color w:val="auto"/>
        </w:rPr>
      </w:pPr>
    </w:p>
    <w:p>
      <w:pPr>
        <w:ind w:left="-20" w:right="220" w:firstLine="987"/>
        <w:spacing w:after="0" w:line="261" w:lineRule="auto"/>
        <w:tabs>
          <w:tab w:leader="none" w:pos="11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60" w:top="270" w:right="459" w:bottom="1440" w:gutter="0" w:footer="0" w:header="0"/>
        </w:sectPr>
      </w:pPr>
    </w:p>
    <w:bookmarkStart w:id="95" w:name="page96"/>
    <w:bookmarkEnd w:id="95"/>
    <w:p>
      <w:pPr>
        <w:ind w:left="-40" w:firstLine="987"/>
        <w:spacing w:after="0" w:line="254"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ind w:left="-40" w:right="480" w:firstLine="987"/>
        <w:spacing w:after="0" w:line="266" w:lineRule="auto"/>
        <w:tabs>
          <w:tab w:leader="none" w:pos="11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1260" w:hanging="313"/>
        <w:spacing w:after="0"/>
        <w:tabs>
          <w:tab w:leader="none" w:pos="1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80" w:top="270"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Ho</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William Ho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040"/>
          </w:cols>
          <w:pgMar w:left="1420" w:top="266"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Brandt</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Peter Brandt</w:t>
            </w:r>
          </w:p>
        </w:tc>
      </w:tr>
    </w:tbl>
    <w:p>
      <w:pPr>
        <w:spacing w:after="0" w:line="20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580"/>
          </w:cols>
          <w:pgMar w:left="880" w:top="266" w:right="439" w:bottom="1440" w:gutter="0" w:footer="0" w:header="0"/>
        </w:sectPr>
      </w:pPr>
    </w:p>
    <w:bookmarkStart w:id="98" w:name="page99"/>
    <w:bookmarkEnd w:id="9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executed caused this Registration Rights Agreement to be duly executed as of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William Ho</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880"/>
          </w:cols>
          <w:pgMar w:left="440" w:top="266" w:right="579" w:bottom="1440" w:gutter="0" w:footer="0" w:header="0"/>
        </w:sectPr>
      </w:pPr>
    </w:p>
    <w:bookmarkStart w:id="99" w:name="page100"/>
    <w:bookmarkEnd w:id="9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has executed caused this Registration Rights Agreement to be duly executed as of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Patrick McCall</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880"/>
          </w:cols>
          <w:pgMar w:left="440" w:top="266" w:right="5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Kate Rochlin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Kate Rochlin</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880" w:top="266" w:right="10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FRANKLIN STRATEGIC SERIES – FRANKLIN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BIOTECHNOLOGY DISCOVERY FUND</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BY: FRANKLIN ADVISERS, INC., AS INVESTMENT</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of Authorized Signatory: Evan McCulloch</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of Authorized Signatory: VP</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460"/>
          </w:cols>
          <w:pgMar w:left="880" w:top="266" w:right="5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FRANKLIN TEMPLETON INVESTMENT FUNDS –</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FRANKLIN BIOTECHNOLOGY DISCOVERY FUND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FRANKLIN ADVISERS, INC., AS INVESTMENT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Evan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Authorized Signatory: Evan McCulloch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of Authorized Signatory: VP</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683 CAPITAL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Joseph Patt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Patt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Member of the General Partner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Jason Bragg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CFO of Alyeska Investment Group,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Investment Adviser to Alyeska Master Fund LP</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Stonepine Capital,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Jon M. Plexico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 M. Plexico</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Member of the General Partner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COASTLANDS CAPITAL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Shamia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Shamia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t>
      </w:r>
      <w:r>
        <w:rPr>
          <w:rFonts w:ascii="Times New Roman" w:cs="Times New Roman" w:eastAsia="Times New Roman" w:hAnsi="Times New Roman"/>
          <w:sz w:val="17"/>
          <w:szCs w:val="17"/>
          <w:b w:val="1"/>
          <w:bCs w:val="1"/>
          <w:color w:val="auto"/>
        </w:rPr>
        <w:t>WITNESS WHEREOF,</w:t>
      </w:r>
      <w:r>
        <w:rPr>
          <w:rFonts w:ascii="Times New Roman" w:cs="Times New Roman" w:eastAsia="Times New Roman" w:hAnsi="Times New Roman"/>
          <w:sz w:val="17"/>
          <w:szCs w:val="17"/>
          <w:color w:val="auto"/>
        </w:rPr>
        <w:t xml:space="preserve"> the paities have caused this Registration Rights Agreeme nt tobe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Dellora Long Only Master Fund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Pyun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Pyun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1420" w:top="266"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Dellora Investments Master Fund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Pyun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Pyun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Alan S. Roemer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Alan S. Roemer</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880" w:top="266" w:right="10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ASR15FT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 C. Rice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Richard E. Gormley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E. Gormley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E. Gormley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Chairman</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Lytton-Kambara Foundation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Laurence Lytton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Laurence Lytton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80"/>
          </w:cols>
          <w:pgMar w:left="1420" w:top="266"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2010 Malcom and Emily CRUT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Emily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Emily Fairbairn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880" w:top="266" w:right="1059" w:bottom="1440" w:gutter="0" w:footer="0" w:header="0"/>
        </w:sectPr>
      </w:pPr>
    </w:p>
    <w:bookmarkStart w:id="114" w:name="page115"/>
    <w:bookmarkEnd w:id="11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66" w:right="519" w:bottom="1440" w:gutter="0" w:footer="0" w:header="0"/>
        </w:sectPr>
      </w:pPr>
    </w:p>
    <w:bookmarkStart w:id="115" w:name="page116"/>
    <w:bookmarkEnd w:id="11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certain liabilities, including liabilities under the Securities Act and state securities laws, relating to the registration of the shares of common stock offered by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6" w:name="page117"/>
    <w:bookmarkEnd w:id="1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of common stock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440" w:top="270" w:right="639" w:bottom="1440" w:gutter="0" w:footer="0" w:header="0"/>
        </w:sectPr>
      </w:pPr>
    </w:p>
    <w:bookmarkStart w:id="117" w:name="page118"/>
    <w:bookmarkEnd w:id="117"/>
    <w:p>
      <w:pPr>
        <w:jc w:val="center"/>
        <w:ind w:right="-3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-1368425</wp:posOffset>
            </wp:positionV>
            <wp:extent cx="63607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-930910</wp:posOffset>
            </wp:positionV>
            <wp:extent cx="63607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-356870</wp:posOffset>
            </wp:positionV>
            <wp:extent cx="63607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259715</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457200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654050</wp:posOffset>
            </wp:positionV>
            <wp:extent cx="6995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17145</wp:posOffset>
            </wp:positionV>
            <wp:extent cx="65747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64"/>
          </w:cols>
          <w:pgMar w:left="436" w:top="266" w:right="799" w:bottom="1440" w:gutter="0" w:footer="0" w:header="0"/>
        </w:sectPr>
      </w:pPr>
    </w:p>
    <w:bookmarkStart w:id="118" w:name="page119"/>
    <w:bookmarkEnd w:id="118"/>
    <w:p>
      <w:pPr>
        <w:ind w:left="184" w:hanging="184"/>
        <w:spacing w:after="0"/>
        <w:tabs>
          <w:tab w:leader="none" w:pos="18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4924" w:right="340" w:hanging="4492"/>
        <w:spacing w:after="0" w:line="293" w:lineRule="exact"/>
        <w:tabs>
          <w:tab w:leader="none" w:pos="97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3(b), the Commission’s staff has indicated that you should be identified as an underwriter in the Registration Statement.</w:t>
      </w:r>
    </w:p>
    <w:p>
      <w:pPr>
        <w:spacing w:after="0" w:line="131" w:lineRule="exact"/>
        <w:rPr>
          <w:sz w:val="20"/>
          <w:szCs w:val="20"/>
          <w:color w:val="auto"/>
        </w:rPr>
      </w:pPr>
    </w:p>
    <w:p>
      <w:pPr>
        <w:ind w:left="964" w:hanging="532"/>
        <w:spacing w:after="0"/>
        <w:tabs>
          <w:tab w:leader="none" w:pos="9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964" w:hanging="532"/>
        <w:spacing w:after="0" w:line="266"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7"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Note:  If “no” to Section 3(d), the Commission’s staff has indicated that you should be identified as an underwriter in the Registration Statement.</w:t>
      </w:r>
    </w:p>
    <w:p>
      <w:pPr>
        <w:spacing w:after="0" w:line="370" w:lineRule="exact"/>
        <w:rPr>
          <w:sz w:val="20"/>
          <w:szCs w:val="20"/>
          <w:color w:val="auto"/>
        </w:rPr>
      </w:pPr>
    </w:p>
    <w:p>
      <w:pPr>
        <w:ind w:left="424" w:hanging="424"/>
        <w:spacing w:after="0"/>
        <w:tabs>
          <w:tab w:leader="none" w:pos="42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Investor.</w:t>
      </w:r>
    </w:p>
    <w:p>
      <w:pPr>
        <w:spacing w:after="0" w:line="119" w:lineRule="exact"/>
        <w:rPr>
          <w:rFonts w:ascii="Times New Roman" w:cs="Times New Roman" w:eastAsia="Times New Roman" w:hAnsi="Times New Roman"/>
          <w:sz w:val="18"/>
          <w:szCs w:val="18"/>
          <w:b w:val="1"/>
          <w:bCs w:val="1"/>
          <w:color w:val="auto"/>
        </w:rPr>
      </w:pPr>
    </w:p>
    <w:p>
      <w:pPr>
        <w:ind w:left="444" w:right="1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8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437515</wp:posOffset>
            </wp:positionV>
            <wp:extent cx="63607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231775</wp:posOffset>
            </wp:positionV>
            <wp:extent cx="63607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119" w:name="page120"/>
    <w:bookmarkEnd w:id="119"/>
    <w:p>
      <w:pPr>
        <w:ind w:left="424" w:hanging="424"/>
        <w:spacing w:after="0"/>
        <w:tabs>
          <w:tab w:leader="none" w:pos="42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Relationships with the Company:</w:t>
      </w:r>
    </w:p>
    <w:p>
      <w:pPr>
        <w:spacing w:after="0" w:line="119" w:lineRule="exact"/>
        <w:rPr>
          <w:rFonts w:ascii="Times New Roman" w:cs="Times New Roman" w:eastAsia="Times New Roman" w:hAnsi="Times New Roman"/>
          <w:sz w:val="18"/>
          <w:szCs w:val="18"/>
          <w:b w:val="1"/>
          <w:bCs w:val="1"/>
          <w:color w:val="auto"/>
        </w:rPr>
      </w:pPr>
    </w:p>
    <w:p>
      <w:pPr>
        <w:ind w:left="444" w:right="2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437515</wp:posOffset>
            </wp:positionV>
            <wp:extent cx="63607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231775</wp:posOffset>
            </wp:positionV>
            <wp:extent cx="63607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8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p>
      <w:pPr>
        <w:ind w:left="4"/>
        <w:spacing w:after="0"/>
        <w:tabs>
          <w:tab w:leader="none" w:pos="544" w:val="left"/>
          <w:tab w:leader="none" w:pos="6164" w:val="left"/>
        </w:tabs>
        <w:rPr>
          <w:sz w:val="20"/>
          <w:szCs w:val="20"/>
          <w:color w:val="auto"/>
        </w:rPr>
      </w:pPr>
      <w:r>
        <w:rPr>
          <w:rFonts w:ascii="Times New Roman" w:cs="Times New Roman" w:eastAsia="Times New Roman" w:hAnsi="Times New Roman"/>
          <w:sz w:val="18"/>
          <w:szCs w:val="18"/>
          <w:color w:val="auto"/>
        </w:rPr>
        <w:t>Date:</w:t>
        <w:tab/>
        <w:t xml:space="preserve">                                        </w:t>
      </w:r>
      <w:r>
        <w:rPr>
          <w:sz w:val="20"/>
          <w:szCs w:val="20"/>
          <w:color w:val="auto"/>
        </w:rPr>
        <w:tab/>
      </w:r>
      <w:r>
        <w:rPr>
          <w:rFonts w:ascii="Times New Roman" w:cs="Times New Roman" w:eastAsia="Times New Roman" w:hAnsi="Times New Roman"/>
          <w:sz w:val="17"/>
          <w:szCs w:val="17"/>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17145</wp:posOffset>
            </wp:positionV>
            <wp:extent cx="21602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-7620</wp:posOffset>
            </wp:positionV>
            <wp:extent cx="15995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4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AND A COMPLETED FORM W-9 TO:</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[_____]</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944"/>
      </w:cols>
      <w:pgMar w:left="436"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2"/>
    </w:lvl>
  </w:abstractNum>
  <w:abstractNum w:abstractNumId="5">
    <w:nsid w:val="32FFF902"/>
    <w:multiLevelType w:val="hybridMultilevel"/>
    <w:lvl w:ilvl="0">
      <w:lvlJc w:val="left"/>
      <w:lvlText w:val="%1."/>
      <w:numFmt w:val="decimal"/>
      <w:start w:val="3"/>
    </w:lvl>
    <w:lvl w:ilvl="1">
      <w:lvlJc w:val="left"/>
      <w:lvlText w:val="(%2)"/>
      <w:numFmt w:val="lowerLetter"/>
      <w:start w:val="1"/>
    </w:lvl>
  </w:abstractNum>
  <w:abstractNum w:abstractNumId="6">
    <w:nsid w:val="684A481A"/>
    <w:multiLevelType w:val="hybridMultilevel"/>
    <w:lvl w:ilvl="0">
      <w:lvlJc w:val="left"/>
      <w:lvlText w:val="%1."/>
      <w:numFmt w:val="decimal"/>
      <w:start w:val="5"/>
    </w:lvl>
    <w:lvl w:ilvl="1">
      <w:lvlJc w:val="left"/>
      <w:lvlText w:val="(%2)"/>
      <w:numFmt w:val="lowerLetter"/>
      <w:start w:val="1"/>
    </w:lvl>
  </w:abstractNum>
  <w:abstractNum w:abstractNumId="7">
    <w:nsid w:val="579478FE"/>
    <w:multiLevelType w:val="hybridMultilevel"/>
    <w:lvl w:ilvl="0">
      <w:lvlJc w:val="left"/>
      <w:lvlText w:val="%1."/>
      <w:numFmt w:val="decimal"/>
      <w:start w:val="6"/>
    </w:lvl>
  </w:abstractNum>
  <w:abstractNum w:abstractNumId="8">
    <w:nsid w:val="749ABB43"/>
    <w:multiLevelType w:val="hybridMultilevel"/>
    <w:lvl w:ilvl="0">
      <w:lvlJc w:val="left"/>
      <w:lvlText w:val="%1."/>
      <w:numFmt w:val="decimal"/>
      <w:start w:val="9"/>
    </w:lvl>
    <w:lvl w:ilvl="1">
      <w:lvlJc w:val="left"/>
      <w:lvlText w:val="(%2)"/>
      <w:numFmt w:val="lowerLetter"/>
      <w:start w:val="1"/>
    </w:lvl>
  </w:abstractNum>
  <w:abstractNum w:abstractNumId="9">
    <w:nsid w:val="3DC240FB"/>
    <w:multiLevelType w:val="hybridMultilevel"/>
    <w:lvl w:ilvl="0">
      <w:lvlJc w:val="left"/>
      <w:lvlText w:val="%1"/>
      <w:numFmt w:val="lowerLetter"/>
      <w:start w:val="1"/>
    </w:lvl>
    <w:lvl w:ilvl="1">
      <w:lvlJc w:val="left"/>
      <w:lvlText w:val="(%2)"/>
      <w:numFmt w:val="lowerLetter"/>
      <w:start w:val="3"/>
    </w:lvl>
  </w:abstractNum>
  <w:abstractNum w:abstractNumId="10">
    <w:nsid w:val="1BA026FA"/>
    <w:multiLevelType w:val="hybridMultilevel"/>
    <w:lvl w:ilvl="0">
      <w:lvlJc w:val="left"/>
      <w:lvlText w:val="(%1)"/>
      <w:numFmt w:val="lowerLetter"/>
      <w:start w:val="61"/>
    </w:lvl>
    <w:lvl w:ilvl="1">
      <w:lvlJc w:val="left"/>
      <w:lvlText w:val="%2"/>
      <w:numFmt w:val="lowerLetter"/>
      <w:start w:val="1"/>
    </w:lvl>
  </w:abstractNum>
  <w:abstractNum w:abstractNumId="11">
    <w:nsid w:val="79A1DEAA"/>
    <w:multiLevelType w:val="hybridMultilevel"/>
    <w:lvl w:ilvl="0">
      <w:lvlJc w:val="left"/>
      <w:lvlText w:val="(%1)"/>
      <w:numFmt w:val="lowerLetter"/>
      <w:start w:val="5"/>
    </w:lvl>
  </w:abstractNum>
  <w:abstractNum w:abstractNumId="12">
    <w:nsid w:val="75C6C33A"/>
    <w:multiLevelType w:val="hybridMultilevel"/>
    <w:lvl w:ilvl="0">
      <w:lvlJc w:val="left"/>
      <w:lvlText w:val="%1."/>
      <w:numFmt w:val="decimal"/>
      <w:start w:val="10"/>
    </w:lvl>
  </w:abstractNum>
  <w:abstractNum w:abstractNumId="13">
    <w:nsid w:val="12E685FB"/>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4">
    <w:nsid w:val="70C6A52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5">
    <w:nsid w:val="520EEDD1"/>
    <w:multiLevelType w:val="hybridMultilevel"/>
    <w:lvl w:ilvl="0">
      <w:lvlJc w:val="left"/>
      <w:lvlText w:val="%1"/>
      <w:numFmt w:val="decimal"/>
      <w:start w:val="1"/>
    </w:lvl>
    <w:lvl w:ilvl="1">
      <w:lvlJc w:val="left"/>
      <w:lvlText w:val="(%2)"/>
      <w:numFmt w:val="lowerLetter"/>
      <w:start w:val="2"/>
    </w:lvl>
  </w:abstractNum>
  <w:abstractNum w:abstractNumId="16">
    <w:nsid w:val="374A3FE6"/>
    <w:multiLevelType w:val="hybridMultilevel"/>
    <w:lvl w:ilvl="0">
      <w:lvlJc w:val="left"/>
      <w:lvlText w:val="%1."/>
      <w:numFmt w:val="decimal"/>
      <w:start w:val="12"/>
    </w:lvl>
    <w:lvl w:ilvl="1">
      <w:lvlJc w:val="left"/>
      <w:lvlText w:val="%2"/>
      <w:numFmt w:val="lowerLetter"/>
      <w:start w:val="1"/>
    </w:lvl>
  </w:abstractNum>
  <w:abstractNum w:abstractNumId="17">
    <w:nsid w:val="4F4EF005"/>
    <w:multiLevelType w:val="hybridMultilevel"/>
    <w:lvl w:ilvl="0">
      <w:lvlJc w:val="left"/>
      <w:lvlText w:val="%1."/>
      <w:numFmt w:val="decimal"/>
      <w:start w:val="14"/>
    </w:lvl>
    <w:lvl w:ilvl="1">
      <w:lvlJc w:val="left"/>
      <w:lvlText w:val="(%2)"/>
      <w:numFmt w:val="lowerLetter"/>
      <w:start w:val="1"/>
    </w:lvl>
  </w:abstractNum>
  <w:abstractNum w:abstractNumId="18">
    <w:nsid w:val="23F9C13C"/>
    <w:multiLevelType w:val="hybridMultilevel"/>
    <w:lvl w:ilvl="0">
      <w:lvlJc w:val="left"/>
      <w:lvlText w:val="(%1)"/>
      <w:numFmt w:val="lowerLetter"/>
      <w:start w:val="3"/>
    </w:lvl>
  </w:abstractNum>
  <w:abstractNum w:abstractNumId="19">
    <w:nsid w:val="649BB77C"/>
    <w:multiLevelType w:val="hybridMultilevel"/>
    <w:lvl w:ilvl="0">
      <w:lvlJc w:val="left"/>
      <w:lvlText w:val="(%1)"/>
      <w:numFmt w:val="lowerLetter"/>
      <w:start w:val="7"/>
    </w:lvl>
  </w:abstractNum>
  <w:abstractNum w:abstractNumId="20">
    <w:nsid w:val="275AC794"/>
    <w:multiLevelType w:val="hybridMultilevel"/>
    <w:lvl w:ilvl="0">
      <w:lvlJc w:val="left"/>
      <w:lvlText w:val="(%1)"/>
      <w:numFmt w:val="decimal"/>
      <w:start w:val="1"/>
    </w:lvl>
    <w:lvl w:ilvl="1">
      <w:lvlJc w:val="left"/>
      <w:lvlText w:val="☐"/>
      <w:numFmt w:val="bullet"/>
      <w:start w:val="1"/>
    </w:lvl>
  </w:abstractNum>
  <w:abstractNum w:abstractNumId="21">
    <w:nsid w:val="39386575"/>
    <w:multiLevelType w:val="hybridMultilevel"/>
    <w:lvl w:ilvl="0">
      <w:lvlJc w:val="left"/>
      <w:lvlText w:val="(%1)"/>
      <w:numFmt w:val="decimal"/>
      <w:start w:val="5"/>
    </w:lvl>
    <w:lvl w:ilvl="1">
      <w:lvlJc w:val="left"/>
      <w:lvlText w:val="☐"/>
      <w:numFmt w:val="bullet"/>
      <w:start w:val="1"/>
    </w:lvl>
  </w:abstractNum>
  <w:abstractNum w:abstractNumId="22">
    <w:nsid w:val="1CF10FD8"/>
    <w:multiLevelType w:val="hybridMultilevel"/>
    <w:lvl w:ilvl="0">
      <w:lvlJc w:val="left"/>
      <w:lvlText w:val="%1."/>
      <w:numFmt w:val="decimal"/>
      <w:start w:val="2"/>
    </w:lvl>
    <w:lvl w:ilvl="1">
      <w:lvlJc w:val="left"/>
      <w:lvlText w:val="(%2)"/>
      <w:numFmt w:val="lowerLetter"/>
      <w:start w:val="1"/>
    </w:lvl>
  </w:abstractNum>
  <w:abstractNum w:abstractNumId="23">
    <w:nsid w:val="180115BE"/>
    <w:multiLevelType w:val="hybridMultilevel"/>
    <w:lvl w:ilvl="0">
      <w:lvlJc w:val="left"/>
      <w:lvlText w:val="(%1)"/>
      <w:numFmt w:val="lowerLetter"/>
      <w:start w:val="1"/>
    </w:lvl>
  </w:abstractNum>
  <w:abstractNum w:abstractNumId="24">
    <w:nsid w:val="235BA861"/>
    <w:multiLevelType w:val="hybridMultilevel"/>
    <w:lvl w:ilvl="0">
      <w:lvlJc w:val="left"/>
      <w:lvlText w:val="%1"/>
      <w:numFmt w:val="upperLetter"/>
      <w:start w:val="1"/>
    </w:lvl>
    <w:lvl w:ilvl="1">
      <w:lvlJc w:val="left"/>
      <w:lvlText w:val="(%2)"/>
      <w:numFmt w:val="lowerLetter"/>
      <w:start w:val="4"/>
    </w:lvl>
  </w:abstractNum>
  <w:abstractNum w:abstractNumId="25">
    <w:nsid w:val="47398C89"/>
    <w:multiLevelType w:val="hybridMultilevel"/>
    <w:lvl w:ilvl="0">
      <w:lvlJc w:val="left"/>
      <w:lvlText w:val="(%1)"/>
      <w:numFmt w:val="upperLetter"/>
      <w:start w:val="2"/>
    </w:lvl>
    <w:lvl w:ilvl="1">
      <w:lvlJc w:val="left"/>
      <w:lvlText w:val="%2"/>
      <w:numFmt w:val="lowerLetter"/>
      <w:start w:val="1"/>
    </w:lvl>
  </w:abstractNum>
  <w:abstractNum w:abstractNumId="26">
    <w:nsid w:val="354FE9F9"/>
    <w:multiLevelType w:val="hybridMultilevel"/>
    <w:lvl w:ilvl="0">
      <w:lvlJc w:val="left"/>
      <w:lvlText w:val="%1."/>
      <w:numFmt w:val="decimal"/>
      <w:start w:val="3"/>
    </w:lvl>
  </w:abstractNum>
  <w:abstractNum w:abstractNumId="27">
    <w:nsid w:val="15B5AF5C"/>
    <w:multiLevelType w:val="hybridMultilevel"/>
    <w:lvl w:ilvl="0">
      <w:lvlJc w:val="left"/>
      <w:lvlText w:val="(%1)"/>
      <w:numFmt w:val="lowerLetter"/>
      <w:start w:val="3"/>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Roman"/>
      <w:start w:val="1"/>
    </w:lvl>
  </w:abstractNum>
  <w:abstractNum w:abstractNumId="30">
    <w:nsid w:val="10233C99"/>
    <w:multiLevelType w:val="hybridMultilevel"/>
    <w:lvl w:ilvl="0">
      <w:lvlJc w:val="left"/>
      <w:lvlText w:val="(%1)"/>
      <w:numFmt w:val="lowerRoman"/>
      <w:start w:val="5"/>
    </w:lvl>
  </w:abstractNum>
  <w:abstractNum w:abstractNumId="31">
    <w:nsid w:val="3F6AB60F"/>
    <w:multiLevelType w:val="hybridMultilevel"/>
    <w:lvl w:ilvl="0">
      <w:lvlJc w:val="left"/>
      <w:lvlText w:val="(%1)"/>
      <w:numFmt w:val="lowerRoman"/>
      <w:start w:val="5"/>
    </w:lvl>
  </w:abstractNum>
  <w:abstractNum w:abstractNumId="32">
    <w:nsid w:val="61574095"/>
    <w:multiLevelType w:val="hybridMultilevel"/>
    <w:lvl w:ilvl="0">
      <w:lvlJc w:val="left"/>
      <w:lvlText w:val="%1."/>
      <w:numFmt w:val="decimal"/>
      <w:start w:val="4"/>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1."/>
      <w:numFmt w:val="decimal"/>
      <w:start w:val="5"/>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lowerLetter"/>
      <w:start w:val="1"/>
    </w:lvl>
  </w:abstractNum>
  <w:abstractNum w:abstractNumId="37">
    <w:nsid w:val="5FF87E05"/>
    <w:multiLevelType w:val="hybridMultilevel"/>
    <w:lvl w:ilvl="0">
      <w:lvlJc w:val="left"/>
      <w:lvlText w:val="(%1)"/>
      <w:numFmt w:val="lowerRoman"/>
      <w:start w:val="2"/>
    </w:lvl>
  </w:abstractNum>
  <w:abstractNum w:abstractNumId="38">
    <w:nsid w:val="2F305DEF"/>
    <w:multiLevelType w:val="hybridMultilevel"/>
    <w:lvl w:ilvl="0">
      <w:lvlJc w:val="left"/>
      <w:lvlText w:val="(%1)"/>
      <w:numFmt w:val="upperLetter"/>
      <w:start w:val="1"/>
    </w:lvl>
  </w:abstractNum>
  <w:abstractNum w:abstractNumId="39">
    <w:nsid w:val="25A70BF7"/>
    <w:multiLevelType w:val="hybridMultilevel"/>
    <w:lvl w:ilvl="0">
      <w:lvlJc w:val="left"/>
      <w:lvlText w:val="(%1)"/>
      <w:numFmt w:val="lowerLetter"/>
      <w:start w:val="1"/>
    </w:lvl>
  </w:abstractNum>
  <w:abstractNum w:abstractNumId="40">
    <w:nsid w:val="1DBABF00"/>
    <w:multiLevelType w:val="hybridMultilevel"/>
    <w:lvl w:ilvl="0">
      <w:lvlJc w:val="left"/>
      <w:lvlText w:val="(%1)"/>
      <w:numFmt w:val="lowerLetter"/>
      <w:start w:val="6"/>
    </w:lvl>
  </w:abstractNum>
  <w:abstractNum w:abstractNumId="41">
    <w:nsid w:val="4AD084E9"/>
    <w:multiLevelType w:val="hybridMultilevel"/>
    <w:lvl w:ilvl="0">
      <w:lvlJc w:val="left"/>
      <w:lvlText w:val="%1."/>
      <w:numFmt w:val="decimal"/>
      <w:start w:val="6"/>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Letter"/>
      <w:start w:val="3"/>
    </w:lvl>
  </w:abstractNum>
  <w:abstractNum w:abstractNumId="44">
    <w:nsid w:val="5DB70AE5"/>
    <w:multiLevelType w:val="hybridMultilevel"/>
    <w:lvl w:ilvl="0">
      <w:lvlJc w:val="left"/>
      <w:lvlText w:val="%1"/>
      <w:numFmt w:val="decimal"/>
      <w:start w:val="1"/>
    </w:lvl>
    <w:lvl w:ilvl="1">
      <w:lvlJc w:val="left"/>
      <w:lvlText w:val="(%2)"/>
      <w:numFmt w:val="lowerLetter"/>
      <w:start w:val="1"/>
    </w:lvl>
  </w:abstractNum>
  <w:abstractNum w:abstractNumId="45">
    <w:nsid w:val="100F8FCA"/>
    <w:multiLevelType w:val="hybridMultilevel"/>
    <w:lvl w:ilvl="0">
      <w:lvlJc w:val="left"/>
      <w:lvlText w:val="%1."/>
      <w:numFmt w:val="decimal"/>
      <w:start w:val="7"/>
    </w:lvl>
    <w:lvl w:ilvl="1">
      <w:lvlJc w:val="left"/>
      <w:lvlText w:val="%2"/>
      <w:numFmt w:val="lowerLetter"/>
      <w:start w:val="1"/>
    </w:lvl>
  </w:abstractNum>
  <w:abstractNum w:abstractNumId="46">
    <w:nsid w:val="6590700B"/>
    <w:multiLevelType w:val="hybridMultilevel"/>
    <w:lvl w:ilvl="0">
      <w:lvlJc w:val="left"/>
      <w:lvlText w:val="(%1)"/>
      <w:numFmt w:val="lowerRoman"/>
      <w:start w:val="2"/>
    </w:lvl>
  </w:abstractNum>
  <w:abstractNum w:abstractNumId="47">
    <w:nsid w:val="15014ACB"/>
    <w:multiLevelType w:val="hybridMultilevel"/>
    <w:lvl w:ilvl="0">
      <w:lvlJc w:val="left"/>
      <w:lvlText w:val="(%1)"/>
      <w:numFmt w:val="lowerRoman"/>
      <w:start w:val="4"/>
    </w:lvl>
  </w:abstractNum>
  <w:abstractNum w:abstractNumId="48">
    <w:nsid w:val="5F5E7FD0"/>
    <w:multiLevelType w:val="hybridMultilevel"/>
    <w:lvl w:ilvl="0">
      <w:lvlJc w:val="left"/>
      <w:lvlText w:val="%1."/>
      <w:numFmt w:val="decimal"/>
      <w:start w:val="8"/>
    </w:lvl>
  </w:abstractNum>
  <w:abstractNum w:abstractNumId="49">
    <w:nsid w:val="98A3148"/>
    <w:multiLevelType w:val="hybridMultilevel"/>
    <w:lvl w:ilvl="0">
      <w:lvlJc w:val="left"/>
      <w:lvlText w:val="(%1)"/>
      <w:numFmt w:val="lowerLetter"/>
      <w:start w:val="2"/>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lowerRoman"/>
      <w:start w:val="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4"/>
    </w:lvl>
  </w:abstractNum>
  <w:abstractNum w:abstractNumId="55">
    <w:nsid w:val="661E3F1E"/>
    <w:multiLevelType w:val="hybridMultilevel"/>
    <w:lvl w:ilvl="0">
      <w:lvlJc w:val="left"/>
      <w:lvlText w:val="%1"/>
      <w:numFmt w:val="lowerLetter"/>
      <w:start w:val="1"/>
    </w:lvl>
    <w:lvl w:ilvl="1">
      <w:lvlJc w:val="left"/>
      <w:lvlText w:val="(%2)"/>
      <w:numFmt w:val="lowerLetter"/>
      <w:start w:val="1"/>
    </w:lvl>
  </w:abstractNum>
  <w:abstractNum w:abstractNumId="56">
    <w:nsid w:val="5DC79EA8"/>
    <w:multiLevelType w:val="hybridMultilevel"/>
    <w:lvl w:ilvl="0">
      <w:lvlJc w:val="left"/>
      <w:lvlText w:val="(%1)"/>
      <w:numFmt w:val="lowerLetter"/>
      <w:start w:val="35"/>
    </w:lvl>
    <w:lvl w:ilvl="1">
      <w:lvlJc w:val="left"/>
      <w:lvlText w:val="(%2)"/>
      <w:numFmt w:val="lowerLetter"/>
      <w:start w:val="3"/>
    </w:lvl>
  </w:abstractNum>
  <w:abstractNum w:abstractNumId="57">
    <w:nsid w:val="540A471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8">
    <w:nsid w:val="7BD3EE7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9">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0">
    <w:nsid w:val="613EFDC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1">
    <w:nsid w:val="BF72B1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2">
    <w:nsid w:val="11447B73"/>
    <w:multiLevelType w:val="hybridMultilevel"/>
    <w:lvl w:ilvl="0">
      <w:lvlJc w:val="left"/>
      <w:lvlText w:val="(%1)"/>
      <w:numFmt w:val="lowerLetter"/>
      <w:start w:val="3"/>
    </w:lvl>
  </w:abstractNum>
  <w:abstractNum w:abstractNumId="63">
    <w:nsid w:val="42963E5A"/>
    <w:multiLevelType w:val="hybridMultilevel"/>
    <w:lvl w:ilvl="0">
      <w:lvlJc w:val="left"/>
      <w:lvlText w:val="%1"/>
      <w:numFmt w:val="decimal"/>
      <w:start w:val="1"/>
    </w:lvl>
    <w:lvl w:ilvl="1">
      <w:lvlJc w:val="left"/>
      <w:lvlText w:val="(%2)"/>
      <w:numFmt w:val="lowerLetter"/>
      <w:start w:val="6"/>
    </w:lvl>
  </w:abstractNum>
  <w:abstractNum w:abstractNumId="64">
    <w:nsid w:val="A0382C5"/>
    <w:multiLevelType w:val="hybridMultilevel"/>
    <w:lvl w:ilvl="0">
      <w:lvlJc w:val="left"/>
      <w:lvlText w:val="%1."/>
      <w:numFmt w:val="decimal"/>
      <w:start w:val="3"/>
    </w:lvl>
    <w:lvl w:ilvl="1">
      <w:lvlJc w:val="left"/>
      <w:lvlText w:val="%2"/>
      <w:numFmt w:val="lowerLetter"/>
      <w:start w:val="1"/>
    </w:lvl>
  </w:abstractNum>
  <w:abstractNum w:abstractNumId="65">
    <w:nsid w:val="8F2B15E"/>
    <w:multiLevelType w:val="hybridMultilevel"/>
    <w:lvl w:ilvl="0">
      <w:lvlJc w:val="left"/>
      <w:lvlText w:val="(%1)"/>
      <w:numFmt w:val="lowerLetter"/>
      <w:start w:val="1"/>
    </w:lvl>
  </w:abstractNum>
  <w:abstractNum w:abstractNumId="66">
    <w:nsid w:val="1A32234B"/>
    <w:multiLevelType w:val="hybridMultilevel"/>
    <w:lvl w:ilvl="0">
      <w:lvlJc w:val="left"/>
      <w:lvlText w:val="(%1)"/>
      <w:numFmt w:val="lowerLetter"/>
      <w:start w:val="2"/>
    </w:lvl>
  </w:abstractNum>
  <w:abstractNum w:abstractNumId="67">
    <w:nsid w:val="3B0FD379"/>
    <w:multiLevelType w:val="hybridMultilevel"/>
    <w:lvl w:ilvl="0">
      <w:lvlJc w:val="left"/>
      <w:lvlText w:val="(%1)"/>
      <w:numFmt w:val="lowerLetter"/>
      <w:start w:val="6"/>
    </w:lvl>
  </w:abstractNum>
  <w:abstractNum w:abstractNumId="68">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69">
    <w:nsid w:val="4962813B"/>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1"/>
    </w:lvl>
  </w:abstractNum>
  <w:abstractNum w:abstractNumId="70">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1">
    <w:nsid w:val="6A5EE64"/>
    <w:multiLevelType w:val="hybridMultilevel"/>
    <w:lvl w:ilvl="0">
      <w:lvlJc w:val="left"/>
      <w:lvlText w:val="%1"/>
      <w:numFmt w:val="decimal"/>
      <w:start w:val="1"/>
    </w:lvl>
    <w:lvl w:ilvl="1">
      <w:lvlJc w:val="left"/>
      <w:lvlText w:val="(%2)"/>
      <w:numFmt w:val="lowerLetter"/>
      <w:start w:val="3"/>
    </w:lvl>
  </w:abstractNum>
  <w:abstractNum w:abstractNumId="72">
    <w:nsid w:val="14330624"/>
    <w:multiLevelType w:val="hybridMultilevel"/>
    <w:lvl w:ilvl="0">
      <w:lvlJc w:val="left"/>
      <w:lvlText w:val="%1."/>
      <w:numFmt w:val="decimal"/>
      <w:start w:val="5"/>
    </w:lvl>
    <w:lvl w:ilvl="1">
      <w:lvlJc w:val="left"/>
      <w:lvlText w:val="%2"/>
      <w:numFmt w:val="lowerLetter"/>
      <w:start w:val="1"/>
    </w:lvl>
  </w:abstractNum>
  <w:abstractNum w:abstractNumId="73">
    <w:nsid w:val="7FFFCA1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74">
    <w:nsid w:val="1A27709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5">
    <w:nsid w:val="71EA1109"/>
    <w:multiLevelType w:val="hybridMultilevel"/>
    <w:lvl w:ilvl="0">
      <w:lvlJc w:val="left"/>
      <w:lvlText w:val="(%1)"/>
      <w:numFmt w:val="lowerLetter"/>
      <w:start w:val="2"/>
    </w:lvl>
  </w:abstractNum>
  <w:abstractNum w:abstractNumId="76">
    <w:nsid w:val="100F59DC"/>
    <w:multiLevelType w:val="hybridMultilevel"/>
    <w:lvl w:ilvl="0">
      <w:lvlJc w:val="left"/>
      <w:lvlText w:val="%1"/>
      <w:numFmt w:val="decimal"/>
      <w:start w:val="1"/>
    </w:lvl>
    <w:lvl w:ilvl="1">
      <w:lvlJc w:val="left"/>
      <w:lvlText w:val="(%2)"/>
      <w:numFmt w:val="lowerLetter"/>
      <w:start w:val="4"/>
    </w:lvl>
  </w:abstractNum>
  <w:abstractNum w:abstractNumId="77">
    <w:nsid w:val="7FB7E0AA"/>
    <w:multiLevelType w:val="hybridMultilevel"/>
    <w:lvl w:ilvl="0">
      <w:lvlJc w:val="left"/>
      <w:lvlText w:val="%1."/>
      <w:numFmt w:val="decimal"/>
      <w:start w:val="7"/>
    </w:lvl>
    <w:lvl w:ilvl="1">
      <w:lvlJc w:val="left"/>
      <w:lvlText w:val="%2"/>
      <w:numFmt w:val="lowerLetter"/>
      <w:start w:val="1"/>
    </w:lvl>
  </w:abstractNum>
  <w:abstractNum w:abstractNumId="78">
    <w:nsid w:val="6EB5BD4"/>
    <w:multiLevelType w:val="hybridMultilevel"/>
    <w:lvl w:ilvl="0">
      <w:lvlJc w:val="left"/>
      <w:lvlText w:val="(%1)"/>
      <w:numFmt w:val="lowerRoman"/>
      <w:start w:val="2"/>
    </w:lvl>
  </w:abstractNum>
  <w:abstractNum w:abstractNumId="79">
    <w:nsid w:val="6F6DD9AC"/>
    <w:multiLevelType w:val="hybridMultilevel"/>
    <w:lvl w:ilvl="0">
      <w:lvlJc w:val="left"/>
      <w:lvlText w:val="(%1)"/>
      <w:numFmt w:val="decimal"/>
      <w:start w:val="2"/>
    </w:lvl>
    <w:lvl w:ilvl="1">
      <w:lvlJc w:val="left"/>
      <w:lvlText w:val="%2."/>
      <w:numFmt w:val="decimal"/>
      <w:start w:val="10"/>
    </w:lvl>
    <w:lvl w:ilvl="2">
      <w:lvlJc w:val="left"/>
      <w:lvlText w:val="(%3)"/>
      <w:numFmt w:val="lowerLetter"/>
      <w:start w:val="1"/>
    </w:lvl>
  </w:abstractNum>
  <w:abstractNum w:abstractNumId="80">
    <w:nsid w:val="94211F2"/>
    <w:multiLevelType w:val="hybridMultilevel"/>
    <w:lvl w:ilvl="0">
      <w:lvlJc w:val="left"/>
      <w:lvlText w:val="%1."/>
      <w:numFmt w:val="lowerRoman"/>
      <w:start w:val="2"/>
    </w:lvl>
  </w:abstractNum>
  <w:abstractNum w:abstractNumId="81">
    <w:nsid w:val="885E1B"/>
    <w:multiLevelType w:val="hybridMultilevel"/>
    <w:lvl w:ilvl="0">
      <w:lvlJc w:val="left"/>
      <w:lvlText w:val="(%1)"/>
      <w:numFmt w:val="lowerLetter"/>
      <w:start w:val="2"/>
    </w:lvl>
  </w:abstractNum>
  <w:abstractNum w:abstractNumId="82">
    <w:nsid w:val="76272110"/>
    <w:multiLevelType w:val="hybridMultilevel"/>
    <w:lvl w:ilvl="0">
      <w:lvlJc w:val="left"/>
      <w:lvlText w:val="(%1)"/>
      <w:numFmt w:val="lowerLetter"/>
      <w:start w:val="1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1."/>
      <w:numFmt w:val="decimal"/>
      <w:start w:val="1"/>
    </w:lvl>
    <w:lvl w:ilvl="1">
      <w:lvlJc w:val="left"/>
      <w:lvlText w:val="(%2)"/>
      <w:numFmt w:val="lowerLetter"/>
      <w:start w:val="1"/>
    </w:lvl>
  </w:abstractNum>
  <w:abstractNum w:abstractNumId="85">
    <w:nsid w:val="14E17E33"/>
    <w:multiLevelType w:val="hybridMultilevel"/>
    <w:lvl w:ilvl="0">
      <w:lvlJc w:val="left"/>
      <w:lvlText w:val="%1."/>
      <w:numFmt w:val="decimal"/>
      <w:start w:val="3"/>
    </w:lvl>
    <w:lvl w:ilvl="1">
      <w:lvlJc w:val="left"/>
      <w:lvlText w:val="(%2)"/>
      <w:numFmt w:val="lowerLetter"/>
      <w:start w:val="1"/>
    </w:lvl>
  </w:abstractNum>
  <w:abstractNum w:abstractNumId="86">
    <w:nsid w:val="3222E7CD"/>
    <w:multiLevelType w:val="hybridMultilevel"/>
    <w:lvl w:ilvl="0">
      <w:lvlJc w:val="left"/>
      <w:lvlText w:val="(%1)"/>
      <w:numFmt w:val="lowerLetter"/>
      <w:start w:val="2"/>
    </w:lvl>
  </w:abstractNum>
  <w:abstractNum w:abstractNumId="87">
    <w:nsid w:val="74DE0EE3"/>
    <w:multiLevelType w:val="hybridMultilevel"/>
    <w:lvl w:ilvl="0">
      <w:lvlJc w:val="left"/>
      <w:lvlText w:val="(%1)"/>
      <w:numFmt w:val="lowerLetter"/>
      <w:start w:val="3"/>
    </w:lvl>
  </w:abstractNum>
  <w:abstractNum w:abstractNumId="88">
    <w:nsid w:val="68EBC550"/>
    <w:multiLevelType w:val="hybridMultilevel"/>
    <w:lvl w:ilvl="0">
      <w:lvlJc w:val="left"/>
      <w:lvlText w:val="(%1)"/>
      <w:numFmt w:val="lowerLetter"/>
      <w:start w:val="4"/>
    </w:lvl>
  </w:abstractNum>
  <w:abstractNum w:abstractNumId="89">
    <w:nsid w:val="2DF6D648"/>
    <w:multiLevelType w:val="hybridMultilevel"/>
    <w:lvl w:ilvl="0">
      <w:lvlJc w:val="left"/>
      <w:lvlText w:val="%1."/>
      <w:numFmt w:val="decimal"/>
      <w:start w:val="4"/>
    </w:lvl>
    <w:lvl w:ilvl="1">
      <w:lvlJc w:val="left"/>
      <w:lvlText w:val="(%2)"/>
      <w:numFmt w:val="lowerLetter"/>
      <w:start w:val="1"/>
    </w:lvl>
  </w:abstractNum>
  <w:abstractNum w:abstractNumId="90">
    <w:nsid w:val="46B7D44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2025-12-19T17:28:34Z</dcterms:created>
  <dcterms:modified xsi:type="dcterms:W3CDTF">2025-12-19T17:28:34Z</dcterms:modified>
</cp:coreProperties>
</file>