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13, 2025</w:t>
      </w:r>
    </w:p>
    <w:p>
      <w:pPr>
        <w:spacing w:after="0" w:line="31" w:lineRule="exact"/>
        <w:rPr>
          <w:sz w:val="24"/>
          <w:szCs w:val="24"/>
          <w:color w:val="auto"/>
        </w:rPr>
      </w:pPr>
    </w:p>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IN8BIO,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6080" w:type="dxa"/>
            <w:vAlign w:val="bottom"/>
          </w:tcPr>
          <w:p>
            <w:pPr>
              <w:jc w:val="center"/>
              <w:ind w:right="35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8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82-5462585</w:t>
            </w:r>
          </w:p>
        </w:tc>
      </w:tr>
      <w:tr>
        <w:trPr>
          <w:trHeight w:val="148"/>
        </w:trPr>
        <w:tc>
          <w:tcPr>
            <w:tcW w:w="6080" w:type="dxa"/>
            <w:vAlign w:val="bottom"/>
          </w:tcPr>
          <w:p>
            <w:pPr>
              <w:jc w:val="center"/>
              <w:ind w:right="35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jc w:val="center"/>
              <w:ind w:left="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80" w:type="dxa"/>
            <w:vAlign w:val="bottom"/>
          </w:tcPr>
          <w:p>
            <w:pPr>
              <w:jc w:val="center"/>
              <w:ind w:right="35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6080" w:type="dxa"/>
            <w:vAlign w:val="bottom"/>
          </w:tcPr>
          <w:p>
            <w:pPr>
              <w:jc w:val="center"/>
              <w:ind w:right="3539"/>
              <w:spacing w:after="0"/>
              <w:rPr>
                <w:sz w:val="20"/>
                <w:szCs w:val="20"/>
                <w:color w:val="auto"/>
              </w:rPr>
            </w:pPr>
            <w:r>
              <w:rPr>
                <w:rFonts w:ascii="Times New Roman" w:cs="Times New Roman" w:eastAsia="Times New Roman" w:hAnsi="Times New Roman"/>
                <w:sz w:val="18"/>
                <w:szCs w:val="18"/>
                <w:b w:val="1"/>
                <w:bCs w:val="1"/>
                <w:color w:val="auto"/>
                <w:w w:val="99"/>
              </w:rPr>
              <w:t>350 5th Avenue, Suite 5330</w:t>
            </w:r>
          </w:p>
        </w:tc>
        <w:tc>
          <w:tcPr>
            <w:tcW w:w="1280" w:type="dxa"/>
            <w:vAlign w:val="bottom"/>
          </w:tcPr>
          <w:p>
            <w:pPr>
              <w:spacing w:after="0"/>
              <w:rPr>
                <w:sz w:val="24"/>
                <w:szCs w:val="24"/>
                <w:color w:val="auto"/>
              </w:rPr>
            </w:pPr>
          </w:p>
        </w:tc>
      </w:tr>
      <w:tr>
        <w:trPr>
          <w:trHeight w:val="227"/>
        </w:trPr>
        <w:tc>
          <w:tcPr>
            <w:tcW w:w="6080" w:type="dxa"/>
            <w:vAlign w:val="bottom"/>
          </w:tcPr>
          <w:p>
            <w:pPr>
              <w:jc w:val="center"/>
              <w:ind w:right="3539"/>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12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10118</w:t>
            </w:r>
          </w:p>
        </w:tc>
      </w:tr>
      <w:tr>
        <w:trPr>
          <w:trHeight w:val="190"/>
        </w:trPr>
        <w:tc>
          <w:tcPr>
            <w:tcW w:w="6080" w:type="dxa"/>
            <w:vAlign w:val="bottom"/>
          </w:tcPr>
          <w:p>
            <w:pPr>
              <w:jc w:val="center"/>
              <w:ind w:right="35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09"/>
        </w:trPr>
        <w:tc>
          <w:tcPr>
            <w:tcW w:w="6080" w:type="dxa"/>
            <w:vAlign w:val="bottom"/>
          </w:tcPr>
          <w:p>
            <w:pPr>
              <w:jc w:val="center"/>
              <w:ind w:left="1759"/>
              <w:spacing w:after="0"/>
              <w:rPr>
                <w:sz w:val="20"/>
                <w:szCs w:val="20"/>
                <w:color w:val="auto"/>
              </w:rPr>
            </w:pPr>
            <w:r>
              <w:rPr>
                <w:rFonts w:ascii="Times New Roman" w:cs="Times New Roman" w:eastAsia="Times New Roman" w:hAnsi="Times New Roman"/>
                <w:sz w:val="18"/>
                <w:szCs w:val="18"/>
                <w:b w:val="1"/>
                <w:bCs w:val="1"/>
                <w:color w:val="auto"/>
              </w:rPr>
              <w:t>Amended and Restated 2023 Equity Incentive Plan</w:t>
            </w:r>
          </w:p>
        </w:tc>
        <w:tc>
          <w:tcPr>
            <w:tcW w:w="1280" w:type="dxa"/>
            <w:vAlign w:val="bottom"/>
          </w:tcPr>
          <w:p>
            <w:pPr>
              <w:spacing w:after="0"/>
              <w:rPr>
                <w:sz w:val="24"/>
                <w:szCs w:val="24"/>
                <w:color w:val="auto"/>
              </w:rPr>
            </w:pPr>
          </w:p>
        </w:tc>
      </w:tr>
      <w:tr>
        <w:trPr>
          <w:trHeight w:val="190"/>
        </w:trPr>
        <w:tc>
          <w:tcPr>
            <w:tcW w:w="6080" w:type="dxa"/>
            <w:vAlign w:val="bottom"/>
          </w:tcPr>
          <w:p>
            <w:pPr>
              <w:jc w:val="center"/>
              <w:ind w:left="1779"/>
              <w:spacing w:after="0"/>
              <w:rPr>
                <w:sz w:val="20"/>
                <w:szCs w:val="20"/>
                <w:color w:val="auto"/>
              </w:rPr>
            </w:pPr>
            <w:r>
              <w:rPr>
                <w:rFonts w:ascii="Times New Roman" w:cs="Times New Roman" w:eastAsia="Times New Roman" w:hAnsi="Times New Roman"/>
                <w:sz w:val="14"/>
                <w:szCs w:val="14"/>
                <w:b w:val="1"/>
                <w:bCs w:val="1"/>
                <w:color w:val="auto"/>
              </w:rPr>
              <w:t>(Full titles of the plans)</w:t>
            </w:r>
          </w:p>
        </w:tc>
        <w:tc>
          <w:tcPr>
            <w:tcW w:w="1280" w:type="dxa"/>
            <w:vAlign w:val="bottom"/>
          </w:tcPr>
          <w:p>
            <w:pPr>
              <w:spacing w:after="0"/>
              <w:rPr>
                <w:sz w:val="16"/>
                <w:szCs w:val="16"/>
                <w:color w:val="auto"/>
              </w:rPr>
            </w:pPr>
          </w:p>
        </w:tc>
      </w:tr>
    </w:tbl>
    <w:p>
      <w:pPr>
        <w:spacing w:after="0" w:line="10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William Ho</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350 5th Avenue, Suite 5330, New York, New York 10118</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(646) 600-6438</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Jaime L. Chase</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1299 Pennsylvania Avenue, NW, Suite 700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 842-7800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9"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bookmarkStart w:id="1" w:name="page2"/>
    <w:bookmarkEnd w:id="1"/>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Pursuant to General Instruction E of Form S-8, IN8bio, Inc. (the “Registrant”) is filing this Registration Statement with the Securities and Exchange Commission (the “Commission”) to register an additional 3,624,163 shares of common stock under the Registrant’s 2023 Amended and Restated Equity Incentive Plan (the “Plan”), pursuant to the provisions of the Plan, which provide for an annual automatic increase in the number of shares of common stock reserved for issuance under the Plan.</w:t>
      </w:r>
    </w:p>
    <w:p>
      <w:pPr>
        <w:spacing w:after="0" w:line="180"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In accordance with the instructional note to Part I of Form S-8 as promulgated by the Commission, the information specified by Part I of the Form S-8 has been omitted from this Registration Statement.</w:t>
      </w:r>
    </w:p>
    <w:p>
      <w:pPr>
        <w:spacing w:after="0" w:line="37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704"/>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filed by it with the Commission:</w:t>
      </w:r>
    </w:p>
    <w:p>
      <w:pPr>
        <w:spacing w:after="0" w:line="131" w:lineRule="exact"/>
        <w:rPr>
          <w:sz w:val="20"/>
          <w:szCs w:val="20"/>
          <w:color w:val="auto"/>
        </w:rPr>
      </w:pPr>
    </w:p>
    <w:p>
      <w:pPr>
        <w:ind w:left="424" w:right="100" w:hanging="424"/>
        <w:spacing w:after="0" w:line="261"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contents of the Registrant’s Registration Statements on Form S-8, previously filed with the Commission on </w:t>
      </w:r>
      <w:hyperlink r:id="rId18">
        <w:r>
          <w:rPr>
            <w:rFonts w:ascii="Times New Roman" w:cs="Times New Roman" w:eastAsia="Times New Roman" w:hAnsi="Times New Roman"/>
            <w:sz w:val="18"/>
            <w:szCs w:val="18"/>
            <w:u w:val="single" w:color="auto"/>
            <w:color w:val="0000EE"/>
          </w:rPr>
          <w:t>September 10, 2021</w:t>
        </w:r>
      </w:hyperlink>
      <w:r>
        <w:rPr>
          <w:rFonts w:ascii="Times New Roman" w:cs="Times New Roman" w:eastAsia="Times New Roman" w:hAnsi="Times New Roman"/>
          <w:sz w:val="18"/>
          <w:szCs w:val="18"/>
          <w:color w:val="auto"/>
        </w:rPr>
        <w:t xml:space="preserve">, as amended on </w:t>
      </w:r>
      <w:hyperlink r:id="rId19">
        <w:r>
          <w:rPr>
            <w:rFonts w:ascii="Times New Roman" w:cs="Times New Roman" w:eastAsia="Times New Roman" w:hAnsi="Times New Roman"/>
            <w:sz w:val="18"/>
            <w:szCs w:val="18"/>
            <w:u w:val="single" w:color="auto"/>
            <w:color w:val="0000EE"/>
          </w:rPr>
          <w:t>August 18,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333-259458), </w:t>
      </w:r>
      <w:hyperlink r:id="rId20">
        <w:r>
          <w:rPr>
            <w:rFonts w:ascii="Times New Roman" w:cs="Times New Roman" w:eastAsia="Times New Roman" w:hAnsi="Times New Roman"/>
            <w:sz w:val="18"/>
            <w:szCs w:val="18"/>
            <w:u w:val="single" w:color="auto"/>
            <w:color w:val="0000EE"/>
          </w:rPr>
          <w:t>May 12,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(333-264893), as amended on </w:t>
      </w:r>
      <w:hyperlink r:id="rId21">
        <w:r>
          <w:rPr>
            <w:rFonts w:ascii="Times New Roman" w:cs="Times New Roman" w:eastAsia="Times New Roman" w:hAnsi="Times New Roman"/>
            <w:sz w:val="18"/>
            <w:szCs w:val="18"/>
            <w:u w:val="single" w:color="auto"/>
            <w:color w:val="0000EE"/>
          </w:rPr>
          <w:t>August 18, 2023</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EE"/>
          </w:rPr>
          <w:t>August 18,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w:t>
      </w: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333-274092) and </w:t>
      </w:r>
      <w:hyperlink r:id="rId23">
        <w:r>
          <w:rPr>
            <w:rFonts w:ascii="Times New Roman" w:cs="Times New Roman" w:eastAsia="Times New Roman" w:hAnsi="Times New Roman"/>
            <w:sz w:val="18"/>
            <w:szCs w:val="18"/>
            <w:u w:val="single" w:color="auto"/>
            <w:color w:val="0000EE"/>
          </w:rPr>
          <w:t>January 19,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(333-276614);</w:t>
      </w:r>
    </w:p>
    <w:p>
      <w:pPr>
        <w:spacing w:after="0" w:line="112"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2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001-39692) for the fiscal year ended December 31, 2024, filed with the Commission on March 13, 2025;</w:t>
      </w:r>
    </w:p>
    <w:p>
      <w:pPr>
        <w:spacing w:after="0" w:line="67" w:lineRule="exact"/>
        <w:rPr>
          <w:rFonts w:ascii="Times New Roman" w:cs="Times New Roman" w:eastAsia="Times New Roman" w:hAnsi="Times New Roman"/>
          <w:sz w:val="18"/>
          <w:szCs w:val="18"/>
          <w:color w:val="auto"/>
        </w:rPr>
      </w:pPr>
    </w:p>
    <w:p>
      <w:pPr>
        <w:ind w:left="424" w:right="40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 No. 001-39692), filed on </w:t>
      </w:r>
      <w:hyperlink r:id="rId25">
        <w:r>
          <w:rPr>
            <w:rFonts w:ascii="Times New Roman" w:cs="Times New Roman" w:eastAsia="Times New Roman" w:hAnsi="Times New Roman"/>
            <w:sz w:val="18"/>
            <w:szCs w:val="18"/>
            <w:u w:val="single" w:color="auto"/>
            <w:color w:val="0000EE"/>
          </w:rPr>
          <w:t>February 7, 2025</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February 11,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7">
        <w:r>
          <w:rPr>
            <w:rFonts w:ascii="Times New Roman" w:cs="Times New Roman" w:eastAsia="Times New Roman" w:hAnsi="Times New Roman"/>
            <w:sz w:val="18"/>
            <w:szCs w:val="18"/>
            <w:u w:val="single" w:color="auto"/>
            <w:color w:val="0000EE"/>
          </w:rPr>
          <w:t>March 5,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extent the information in and exhibits to such reports are filed and not furnished; and</w:t>
      </w:r>
    </w:p>
    <w:p>
      <w:pPr>
        <w:spacing w:after="0" w:line="67" w:lineRule="exact"/>
        <w:rPr>
          <w:rFonts w:ascii="Times New Roman" w:cs="Times New Roman" w:eastAsia="Times New Roman" w:hAnsi="Times New Roman"/>
          <w:sz w:val="18"/>
          <w:szCs w:val="18"/>
          <w:color w:val="auto"/>
        </w:rPr>
      </w:pPr>
    </w:p>
    <w:p>
      <w:pPr>
        <w:ind w:left="424" w:right="240" w:hanging="424"/>
        <w:spacing w:after="0" w:line="266"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contained in the Registrant’s Registration Statement on </w:t>
      </w:r>
      <w:hyperlink r:id="rId2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001-39692), filed with the Commission on November 10, 2020, under Section 12(b) of the Securities Exchange Act of 1934, as amended (the “Exchange Act”), including any amendments or reports filed for the purpose of updating such description.</w:t>
      </w:r>
    </w:p>
    <w:p>
      <w:pPr>
        <w:spacing w:after="0" w:line="176" w:lineRule="exact"/>
        <w:rPr>
          <w:rFonts w:ascii="Times New Roman" w:cs="Times New Roman" w:eastAsia="Times New Roman" w:hAnsi="Times New Roman"/>
          <w:sz w:val="18"/>
          <w:szCs w:val="18"/>
          <w:color w:val="auto"/>
        </w:rPr>
      </w:pPr>
    </w:p>
    <w:p>
      <w:pPr>
        <w:ind w:left="4" w:right="80"/>
        <w:spacing w:after="0" w:line="254" w:lineRule="auto"/>
        <w:rPr>
          <w:sz w:val="20"/>
          <w:szCs w:val="20"/>
          <w:color w:val="auto"/>
        </w:rPr>
      </w:pPr>
      <w:r>
        <w:rPr>
          <w:rFonts w:ascii="Times New Roman" w:cs="Times New Roman" w:eastAsia="Times New Roman" w:hAnsi="Times New Roman"/>
          <w:sz w:val="18"/>
          <w:szCs w:val="18"/>
          <w:color w:val="auto"/>
        </w:rPr>
        <w:t>All documents filed by the Registrant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Any statement contained in a document incorporated or deemed to be incorporated by reference herein shall be deemed to be modified or superseded for purposes of this Registration Statement to the extent that a statement herein or in any subsequently filed document which also is or is deemed to be incorporated by reference herein modifies or supersedes such statement. Any such statement so modified or superseded shall not constitute a part of this Registration Statement, except as so modified or superseded.</w:t>
      </w:r>
    </w:p>
    <w:p>
      <w:pPr>
        <w:spacing w:after="0" w:line="296" w:lineRule="exact"/>
        <w:rPr>
          <w:rFonts w:ascii="Times New Roman" w:cs="Times New Roman" w:eastAsia="Times New Roman" w:hAnsi="Times New Roman"/>
          <w:sz w:val="18"/>
          <w:szCs w:val="18"/>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21" w:lineRule="exact"/>
        <w:rPr>
          <w:rFonts w:ascii="Times New Roman" w:cs="Times New Roman" w:eastAsia="Times New Roman" w:hAnsi="Times New Roman"/>
          <w:sz w:val="18"/>
          <w:szCs w:val="18"/>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984"/>
          </w:cols>
          <w:pgMar w:left="436" w:top="266"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5. Interests of Named Experts and Counsel.</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of the date hereof, partners of Cooley LLP and GC&amp;H Investments, LLC, an entity that is comprised of partners and associates of Cooley LLP, beneficially own an aggregate of 173,937 shares of the Registrant’s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The Registrant’s amended and restated certificate of incorporation provides for indemnification of the Registrant’s directors to the maximum extent permitted by the Delaware General Corporation Law, and the Registrant’s amended and restated bylaws provide for indemnification of the Registrant’s directors, officers, employees and other agents to the maximum extent permitted by law.</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the Registrant’s directors and officers, whereby the Registrant has agreed to indemnify the Registrant’s directors and officers to the fullest extent permitted by law, including advancement of expenses incurred in legal proceedings to which the director or officer was, or is threatened to be made, a party by reason of the fact that such director or officer is or was a director, officer, employee or agent of the Registrant, provided that such director or officer acted in good faith and in a manner that the director or officer reasonably believed to be in, or not opposed to, the best interest of the Registrant. At present, there is no pending litigation or proceeding involving a director or officer of the Registrant regarding which indemnification is sought, nor is the Registrant aware of any threatened litigation that may result in claims for indemnification.</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Registrant maintains insurance policies that indemnify the Registrant’s directors and officers against various liabilities arising under the Securities Act and the Exchange Act that might be incurred by any director or officer in his capacity as such.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960"/>
          </w:cols>
          <w:pgMar w:left="440" w:top="266" w:right="49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exhibits to this Registration Statement are listed below:</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20" w:type="dxa"/>
            <w:vAlign w:val="bottom"/>
            <w:gridSpan w:val="10"/>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620" w:type="dxa"/>
            <w:vAlign w:val="bottom"/>
            <w:tcBorders>
              <w:bottom w:val="single" w:sz="8" w:color="auto"/>
            </w:tcBorders>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540" w:type="dxa"/>
            <w:vAlign w:val="bottom"/>
          </w:tcPr>
          <w:p>
            <w:pPr>
              <w:spacing w:after="0"/>
              <w:rPr>
                <w:sz w:val="22"/>
                <w:szCs w:val="22"/>
                <w:color w:val="auto"/>
              </w:rPr>
            </w:pPr>
          </w:p>
        </w:tc>
        <w:tc>
          <w:tcPr>
            <w:tcW w:w="9980" w:type="dxa"/>
            <w:vAlign w:val="bottom"/>
            <w:gridSpan w:val="15"/>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Amended and Restated Certificate of Incorporation of the Registrant (incorporated herein by reference to Exhibit 3.1 to the Company’s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Current Report on Form 8-K (File No. 001-39692), filed with the Commission on August 3, 2021).</w:t>
              </w:r>
            </w:hyperlink>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540" w:type="dxa"/>
            <w:vAlign w:val="bottom"/>
          </w:tcPr>
          <w:p>
            <w:pPr>
              <w:spacing w:after="0"/>
              <w:rPr>
                <w:sz w:val="24"/>
                <w:szCs w:val="24"/>
                <w:color w:val="auto"/>
              </w:rPr>
            </w:pPr>
          </w:p>
        </w:tc>
        <w:tc>
          <w:tcPr>
            <w:tcW w:w="95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Second Amended and Restated Bylaws of the Registrant (incorporated herein by reference to Exhibit 3.1 to the Registrant’s Current</w:t>
              </w:r>
            </w:hyperlink>
          </w:p>
        </w:tc>
        <w:tc>
          <w:tcPr>
            <w:tcW w:w="4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7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Report on Form 8-K (File No. 001-39692), filed with the Commission on December 7, 2023).</w:t>
              </w:r>
            </w:hyperlink>
          </w:p>
        </w:tc>
        <w:tc>
          <w:tcPr>
            <w:tcW w:w="3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540" w:type="dxa"/>
            <w:vAlign w:val="bottom"/>
          </w:tcPr>
          <w:p>
            <w:pPr>
              <w:spacing w:after="0"/>
              <w:rPr>
                <w:sz w:val="24"/>
                <w:szCs w:val="24"/>
                <w:color w:val="auto"/>
              </w:rPr>
            </w:pPr>
          </w:p>
        </w:tc>
        <w:tc>
          <w:tcPr>
            <w:tcW w:w="17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Opinion of Cooley LLP.</w:t>
            </w:r>
          </w:p>
        </w:tc>
        <w:tc>
          <w:tcPr>
            <w:tcW w:w="82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43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Consent of Independent Registered Public Accounting Firm.</w:t>
            </w:r>
          </w:p>
        </w:tc>
        <w:tc>
          <w:tcPr>
            <w:tcW w:w="56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4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Consent of Cooley LLP (included in Exhibit 5.1).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40" w:type="dxa"/>
            <w:vAlign w:val="bottom"/>
          </w:tcPr>
          <w:p>
            <w:pPr>
              <w:spacing w:after="0"/>
              <w:rPr>
                <w:sz w:val="24"/>
                <w:szCs w:val="24"/>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 to this Registration Statement).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2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9980" w:type="dxa"/>
            <w:vAlign w:val="bottom"/>
            <w:gridSpan w:val="15"/>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Amended and Restated 2023 Equity Incentive Plan (incorporated herein by reference to Exhibit 10.1 to the Registrant’s Quarterly Report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1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on Form 10-Q (File No. 001-39692), filed with the Commission on August 10, 2023).</w:t>
              </w:r>
            </w:hyperlink>
          </w:p>
        </w:tc>
        <w:tc>
          <w:tcPr>
            <w:tcW w:w="3680" w:type="dxa"/>
            <w:vAlign w:val="bottom"/>
            <w:tcBorders>
              <w:top w:val="single" w:sz="8" w:color="0000EE"/>
            </w:tcBorders>
            <w:gridSpan w:val="7"/>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540" w:type="dxa"/>
            <w:vAlign w:val="bottom"/>
          </w:tcPr>
          <w:p>
            <w:pPr>
              <w:spacing w:after="0"/>
              <w:rPr>
                <w:sz w:val="24"/>
                <w:szCs w:val="24"/>
                <w:color w:val="auto"/>
              </w:rPr>
            </w:pPr>
          </w:p>
        </w:tc>
        <w:tc>
          <w:tcPr>
            <w:tcW w:w="98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Forms of Option Grant Notice and Option Agreement under the Amended and Restated 2023 Equity Incentive Plan (incorporated herein</w:t>
              </w:r>
            </w:hyperlink>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5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by reference to Exhibit 10.2 to the Registrant’s Quarterly Report on Form 10-Q (File No. 001-39692), filed with the Commission on</w:t>
              </w:r>
            </w:hyperlink>
          </w:p>
        </w:tc>
        <w:tc>
          <w:tcPr>
            <w:tcW w:w="4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34">
              <w:r>
                <w:rPr>
                  <w:rFonts w:ascii="Times New Roman" w:cs="Times New Roman" w:eastAsia="Times New Roman" w:hAnsi="Times New Roman"/>
                  <w:sz w:val="18"/>
                  <w:szCs w:val="18"/>
                  <w:color w:val="0000EE"/>
                  <w:w w:val="98"/>
                </w:rPr>
                <w:t>August 10, 2023).</w:t>
              </w:r>
            </w:hyperlink>
          </w:p>
        </w:tc>
        <w:tc>
          <w:tcPr>
            <w:tcW w:w="86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40" w:type="dxa"/>
            <w:vAlign w:val="bottom"/>
          </w:tcPr>
          <w:p>
            <w:pPr>
              <w:spacing w:after="0"/>
              <w:rPr>
                <w:sz w:val="24"/>
                <w:szCs w:val="24"/>
                <w:color w:val="auto"/>
              </w:rPr>
            </w:pPr>
          </w:p>
        </w:tc>
        <w:tc>
          <w:tcPr>
            <w:tcW w:w="1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87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1024"/>
          </w:cols>
          <w:pgMar w:left="436" w:top="266" w:right="43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 Undertakings.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117" w:lineRule="exact"/>
        <w:rPr>
          <w:sz w:val="20"/>
          <w:szCs w:val="20"/>
          <w:color w:val="auto"/>
        </w:rPr>
      </w:pPr>
    </w:p>
    <w:p>
      <w:pPr>
        <w:ind w:left="184" w:hanging="184"/>
        <w:spacing w:after="0"/>
        <w:tabs>
          <w:tab w:leader="none" w:pos="1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117" w:lineRule="exact"/>
        <w:rPr>
          <w:sz w:val="20"/>
          <w:szCs w:val="20"/>
          <w:color w:val="auto"/>
        </w:rPr>
      </w:pPr>
    </w:p>
    <w:p>
      <w:pPr>
        <w:ind w:left="4" w:right="100" w:hanging="4"/>
        <w:spacing w:after="0" w:line="256" w:lineRule="auto"/>
        <w:tabs>
          <w:tab w:leader="none" w:pos="26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79" w:lineRule="exact"/>
        <w:rPr>
          <w:rFonts w:ascii="Times New Roman" w:cs="Times New Roman" w:eastAsia="Times New Roman" w:hAnsi="Times New Roman"/>
          <w:sz w:val="18"/>
          <w:szCs w:val="18"/>
          <w:color w:val="auto"/>
        </w:rPr>
      </w:pPr>
    </w:p>
    <w:p>
      <w:pPr>
        <w:ind w:left="4" w:right="180" w:hanging="4"/>
        <w:spacing w:after="0" w:line="282" w:lineRule="auto"/>
        <w:tabs>
          <w:tab w:leader="none" w:pos="3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4" w:right="28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Commission by the Registrant pursuant to Section 13 or Section 15(d) of the Exchange Act that are incorporated by reference in the Registration Statement.</w:t>
      </w:r>
    </w:p>
    <w:p>
      <w:pPr>
        <w:spacing w:after="0" w:line="67" w:lineRule="exact"/>
        <w:rPr>
          <w:sz w:val="20"/>
          <w:szCs w:val="20"/>
          <w:color w:val="auto"/>
        </w:rPr>
      </w:pPr>
    </w:p>
    <w:p>
      <w:pPr>
        <w:ind w:left="4" w:right="120" w:hanging="4"/>
        <w:spacing w:after="0" w:line="266" w:lineRule="auto"/>
        <w:tabs>
          <w:tab w:leader="none" w:pos="1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67" w:lineRule="exact"/>
        <w:rPr>
          <w:rFonts w:ascii="Times New Roman" w:cs="Times New Roman" w:eastAsia="Times New Roman" w:hAnsi="Times New Roman"/>
          <w:sz w:val="18"/>
          <w:szCs w:val="18"/>
          <w:color w:val="auto"/>
        </w:rPr>
      </w:pPr>
    </w:p>
    <w:p>
      <w:pPr>
        <w:ind w:left="4" w:right="20" w:hanging="4"/>
        <w:spacing w:after="0" w:line="282" w:lineRule="auto"/>
        <w:tabs>
          <w:tab w:leader="none" w:pos="1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4"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75"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44"/>
          </w:cols>
          <w:pgMar w:left="436" w:top="266" w:right="51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March 13,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William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William Ho</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KNOW ALL PERSONS BY THESE PRESENTS, </w:t>
      </w:r>
      <w:r>
        <w:rPr>
          <w:rFonts w:ascii="Times New Roman" w:cs="Times New Roman" w:eastAsia="Times New Roman" w:hAnsi="Times New Roman"/>
          <w:sz w:val="18"/>
          <w:szCs w:val="18"/>
          <w:color w:val="auto"/>
        </w:rPr>
        <w:t>that each person whose signature appears below constitutes and appoints William Ho and Patrick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McCall, and each or any one of them,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 may lawfully do or cause to be done by virtue hereof.</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S-8 has been signed by the following persons in the capacities and on the dates indicated.</w:t>
      </w:r>
    </w:p>
    <w:p>
      <w:pPr>
        <w:sectPr>
          <w:pgSz w:w="11900" w:h="16838" w:orient="portrait"/>
          <w:cols w:equalWidth="0" w:num="1">
            <w:col w:w="10940"/>
          </w:cols>
          <w:pgMar w:left="440" w:top="266" w:right="5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0"/>
        </w:trPr>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240" w:type="dxa"/>
            <w:vAlign w:val="bottom"/>
          </w:tcPr>
          <w:p>
            <w:pPr>
              <w:jc w:val="center"/>
              <w:ind w:right="391"/>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780" w:type="dxa"/>
            <w:vAlign w:val="bottom"/>
          </w:tcPr>
          <w:p>
            <w:pPr>
              <w:jc w:val="center"/>
              <w:ind w:left="55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Ho</w:t>
            </w:r>
          </w:p>
        </w:tc>
        <w:tc>
          <w:tcPr>
            <w:tcW w:w="424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78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9"/>
              </w:rPr>
              <w:t>March 13, 2025</w:t>
            </w:r>
          </w:p>
        </w:tc>
      </w:tr>
      <w:tr>
        <w:trPr>
          <w:trHeight w:val="23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William Ho</w:t>
            </w:r>
          </w:p>
        </w:tc>
        <w:tc>
          <w:tcPr>
            <w:tcW w:w="424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780" w:type="dxa"/>
            <w:vAlign w:val="bottom"/>
          </w:tcPr>
          <w:p>
            <w:pPr>
              <w:spacing w:after="0"/>
              <w:rPr>
                <w:sz w:val="20"/>
                <w:szCs w:val="20"/>
                <w:color w:val="auto"/>
              </w:rPr>
            </w:pPr>
          </w:p>
        </w:tc>
      </w:tr>
      <w:tr>
        <w:trPr>
          <w:trHeight w:val="423"/>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Patrick McCall</w:t>
            </w:r>
          </w:p>
        </w:tc>
        <w:tc>
          <w:tcPr>
            <w:tcW w:w="424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78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9"/>
              </w:rPr>
              <w:t>March 13, 2025</w:t>
            </w:r>
          </w:p>
        </w:tc>
      </w:tr>
      <w:tr>
        <w:trPr>
          <w:trHeight w:val="178"/>
        </w:trPr>
        <w:tc>
          <w:tcPr>
            <w:tcW w:w="38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b w:val="1"/>
                <w:bCs w:val="1"/>
                <w:color w:val="auto"/>
                <w:w w:val="99"/>
              </w:rPr>
              <w:t>Patrick McCall</w:t>
            </w:r>
          </w:p>
        </w:tc>
        <w:tc>
          <w:tcPr>
            <w:tcW w:w="4240" w:type="dxa"/>
            <w:vAlign w:val="bottom"/>
          </w:tcPr>
          <w:p>
            <w:pPr>
              <w:jc w:val="center"/>
              <w:ind w:right="391"/>
              <w:spacing w:after="0" w:line="177" w:lineRule="exact"/>
              <w:rPr>
                <w:sz w:val="20"/>
                <w:szCs w:val="20"/>
                <w:color w:val="auto"/>
              </w:rPr>
            </w:pPr>
            <w:r>
              <w:rPr>
                <w:rFonts w:ascii="Times New Roman" w:cs="Times New Roman" w:eastAsia="Times New Roman" w:hAnsi="Times New Roman"/>
                <w:sz w:val="18"/>
                <w:szCs w:val="18"/>
                <w:color w:val="auto"/>
              </w:rPr>
              <w:t>(Principal Financial Officer and Principal</w:t>
            </w:r>
          </w:p>
        </w:tc>
        <w:tc>
          <w:tcPr>
            <w:tcW w:w="1780" w:type="dxa"/>
            <w:vAlign w:val="bottom"/>
          </w:tcPr>
          <w:p>
            <w:pPr>
              <w:spacing w:after="0"/>
              <w:rPr>
                <w:sz w:val="15"/>
                <w:szCs w:val="15"/>
                <w:color w:val="auto"/>
              </w:rPr>
            </w:pPr>
          </w:p>
        </w:tc>
      </w:tr>
      <w:tr>
        <w:trPr>
          <w:trHeight w:val="234"/>
        </w:trPr>
        <w:tc>
          <w:tcPr>
            <w:tcW w:w="3860" w:type="dxa"/>
            <w:vAlign w:val="bottom"/>
          </w:tcPr>
          <w:p>
            <w:pPr>
              <w:spacing w:after="0"/>
              <w:rPr>
                <w:sz w:val="20"/>
                <w:szCs w:val="20"/>
                <w:color w:val="auto"/>
              </w:rPr>
            </w:pPr>
          </w:p>
        </w:tc>
        <w:tc>
          <w:tcPr>
            <w:tcW w:w="4240" w:type="dxa"/>
            <w:vAlign w:val="bottom"/>
          </w:tcPr>
          <w:p>
            <w:pPr>
              <w:jc w:val="center"/>
              <w:ind w:right="371"/>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1780" w:type="dxa"/>
            <w:vAlign w:val="bottom"/>
          </w:tcPr>
          <w:p>
            <w:pPr>
              <w:spacing w:after="0"/>
              <w:rPr>
                <w:sz w:val="20"/>
                <w:szCs w:val="20"/>
                <w:color w:val="auto"/>
              </w:rPr>
            </w:pPr>
          </w:p>
        </w:tc>
      </w:tr>
      <w:tr>
        <w:trPr>
          <w:trHeight w:val="445"/>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Alan S. Roemer</w:t>
            </w:r>
          </w:p>
        </w:tc>
        <w:tc>
          <w:tcPr>
            <w:tcW w:w="424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178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9"/>
              </w:rPr>
              <w:t>March 13, 2025</w:t>
            </w:r>
          </w:p>
        </w:tc>
      </w:tr>
      <w:tr>
        <w:trPr>
          <w:trHeight w:val="23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Alan S. Roemer</w:t>
            </w:r>
          </w:p>
        </w:tc>
        <w:tc>
          <w:tcPr>
            <w:tcW w:w="42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23"/>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Peter Brandt</w:t>
            </w:r>
          </w:p>
        </w:tc>
        <w:tc>
          <w:tcPr>
            <w:tcW w:w="424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9"/>
              </w:rPr>
              <w:t>Director</w:t>
            </w:r>
          </w:p>
        </w:tc>
        <w:tc>
          <w:tcPr>
            <w:tcW w:w="178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9"/>
              </w:rPr>
              <w:t>March 13, 2025</w:t>
            </w:r>
          </w:p>
        </w:tc>
      </w:tr>
      <w:tr>
        <w:trPr>
          <w:trHeight w:val="23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Peter Brandt</w:t>
            </w:r>
          </w:p>
        </w:tc>
        <w:tc>
          <w:tcPr>
            <w:tcW w:w="42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23"/>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Corinne Epperly</w:t>
            </w:r>
          </w:p>
        </w:tc>
        <w:tc>
          <w:tcPr>
            <w:tcW w:w="424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9"/>
              </w:rPr>
              <w:t>Director</w:t>
            </w:r>
          </w:p>
        </w:tc>
        <w:tc>
          <w:tcPr>
            <w:tcW w:w="178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9"/>
              </w:rPr>
              <w:t>March 13, 2025</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Corinne Epperly</w:t>
            </w:r>
          </w:p>
        </w:tc>
        <w:tc>
          <w:tcPr>
            <w:tcW w:w="42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Emily T. Fairbairn</w:t>
            </w:r>
          </w:p>
        </w:tc>
        <w:tc>
          <w:tcPr>
            <w:tcW w:w="424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9"/>
              </w:rPr>
              <w:t>Director</w:t>
            </w:r>
          </w:p>
        </w:tc>
        <w:tc>
          <w:tcPr>
            <w:tcW w:w="178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9"/>
              </w:rPr>
              <w:t>March 13, 2025</w:t>
            </w:r>
          </w:p>
        </w:tc>
      </w:tr>
      <w:tr>
        <w:trPr>
          <w:trHeight w:val="23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Emily T. Fairbairn</w:t>
            </w:r>
          </w:p>
        </w:tc>
        <w:tc>
          <w:tcPr>
            <w:tcW w:w="42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23"/>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Jeremy R. Graff</w:t>
            </w:r>
          </w:p>
        </w:tc>
        <w:tc>
          <w:tcPr>
            <w:tcW w:w="424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9"/>
              </w:rPr>
              <w:t>Director</w:t>
            </w:r>
          </w:p>
        </w:tc>
        <w:tc>
          <w:tcPr>
            <w:tcW w:w="178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9"/>
              </w:rPr>
              <w:t>March 13, 2025</w:t>
            </w:r>
          </w:p>
        </w:tc>
      </w:tr>
      <w:tr>
        <w:trPr>
          <w:trHeight w:val="23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Jeremy R. Graff</w:t>
            </w:r>
          </w:p>
        </w:tc>
        <w:tc>
          <w:tcPr>
            <w:tcW w:w="42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23"/>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Luba Greenwood</w:t>
            </w:r>
          </w:p>
        </w:tc>
        <w:tc>
          <w:tcPr>
            <w:tcW w:w="424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9"/>
              </w:rPr>
              <w:t>Director</w:t>
            </w:r>
          </w:p>
        </w:tc>
        <w:tc>
          <w:tcPr>
            <w:tcW w:w="178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9"/>
              </w:rPr>
              <w:t>March 13, 2025</w:t>
            </w:r>
          </w:p>
        </w:tc>
      </w:tr>
      <w:tr>
        <w:trPr>
          <w:trHeight w:val="23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Luba Greenwood</w:t>
            </w:r>
          </w:p>
        </w:tc>
        <w:tc>
          <w:tcPr>
            <w:tcW w:w="42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23"/>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Travis Whitfill</w:t>
            </w:r>
          </w:p>
        </w:tc>
        <w:tc>
          <w:tcPr>
            <w:tcW w:w="4240" w:type="dxa"/>
            <w:vAlign w:val="bottom"/>
          </w:tcPr>
          <w:p>
            <w:pPr>
              <w:jc w:val="center"/>
              <w:ind w:right="391"/>
              <w:spacing w:after="0"/>
              <w:rPr>
                <w:sz w:val="20"/>
                <w:szCs w:val="20"/>
                <w:color w:val="auto"/>
              </w:rPr>
            </w:pPr>
            <w:r>
              <w:rPr>
                <w:rFonts w:ascii="Times New Roman" w:cs="Times New Roman" w:eastAsia="Times New Roman" w:hAnsi="Times New Roman"/>
                <w:sz w:val="18"/>
                <w:szCs w:val="18"/>
                <w:color w:val="auto"/>
                <w:w w:val="99"/>
              </w:rPr>
              <w:t>Director</w:t>
            </w:r>
          </w:p>
        </w:tc>
        <w:tc>
          <w:tcPr>
            <w:tcW w:w="178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9"/>
              </w:rPr>
              <w:t>March 13, 2025</w:t>
            </w:r>
          </w:p>
        </w:tc>
      </w:tr>
      <w:tr>
        <w:trPr>
          <w:trHeight w:val="232"/>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Travis Whitfill</w:t>
            </w:r>
          </w:p>
        </w:tc>
        <w:tc>
          <w:tcPr>
            <w:tcW w:w="4240" w:type="dxa"/>
            <w:vAlign w:val="bottom"/>
          </w:tcPr>
          <w:p>
            <w:pPr>
              <w:spacing w:after="0"/>
              <w:rPr>
                <w:sz w:val="20"/>
                <w:szCs w:val="20"/>
                <w:color w:val="auto"/>
              </w:rPr>
            </w:pPr>
          </w:p>
        </w:tc>
        <w:tc>
          <w:tcPr>
            <w:tcW w:w="178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0019"/>
          </w:cols>
          <w:pgMar w:left="440" w:top="263"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174115" cy="386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extLst>
                    </a:blip>
                    <a:srcRect/>
                    <a:stretch>
                      <a:fillRect/>
                    </a:stretch>
                  </pic:blipFill>
                  <pic:spPr bwMode="auto">
                    <a:xfrm>
                      <a:off x="0" y="0"/>
                      <a:ext cx="11741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Jaime L. Chase</w:t>
      </w:r>
    </w:p>
    <w:p>
      <w:pPr>
        <w:spacing w:after="0" w:line="27" w:lineRule="exact"/>
        <w:rPr>
          <w:sz w:val="20"/>
          <w:szCs w:val="20"/>
          <w:color w:val="auto"/>
        </w:rPr>
      </w:pPr>
    </w:p>
    <w:p>
      <w:pPr>
        <w:jc w:val="both"/>
        <w:ind w:left="4" w:right="9580" w:hanging="4"/>
        <w:spacing w:after="0" w:line="290" w:lineRule="auto"/>
        <w:tabs>
          <w:tab w:leader="none" w:pos="2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+1 202 728 7096 jchase@cooley.com</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March 13, 2025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IN8bio,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350 5th Avenue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Suite 5330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New York, New York 10118</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 w:right="140"/>
        <w:spacing w:after="0" w:line="262" w:lineRule="auto"/>
        <w:rPr>
          <w:sz w:val="20"/>
          <w:szCs w:val="20"/>
          <w:color w:val="auto"/>
        </w:rPr>
      </w:pPr>
      <w:r>
        <w:rPr>
          <w:rFonts w:ascii="Times New Roman" w:cs="Times New Roman" w:eastAsia="Times New Roman" w:hAnsi="Times New Roman"/>
          <w:sz w:val="18"/>
          <w:szCs w:val="18"/>
          <w:color w:val="auto"/>
        </w:rPr>
        <w:t>We have acted as counsel to IN8bio,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by the Company of a Registration Statement on Form S-8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covering the offering of up to 3,624,163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issuable pursuant to the Company’s Amended and Restated 2023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(i) the Registration Statement and related prospectuses, (ii) the Company’s certificate of incorporation, and bylaws, each as currently in effect, (iii) the Plan and (iv)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89"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Shares, when sold and issued in accordance with the Plan, the Registration Statement and the related prospectuses, will be validly issued, fully paid, and nonassessable (except as to shares issued pursuant to deferred payment arrangements, which will be fully paid and nonassessable when such deferred payments are made in full).</w:t>
      </w:r>
    </w:p>
    <w:p>
      <w:pPr>
        <w:spacing w:after="0" w:line="176"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This opinion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spacing w:after="0" w:line="18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Cooley LLP 1299 Pennsylvania Ave., Washington DC 20004</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 (212) 842-7800 f: (202) 842-7899 cooley.com</w:t>
      </w:r>
    </w:p>
    <w:p>
      <w:pPr>
        <w:sectPr>
          <w:pgSz w:w="11900" w:h="16838" w:orient="portrait"/>
          <w:cols w:equalWidth="0" w:num="1">
            <w:col w:w="11024"/>
          </w:cols>
          <w:pgMar w:left="436" w:top="117"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260350</wp:posOffset>
            </wp:positionV>
            <wp:extent cx="1208405" cy="420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208405" cy="420370"/>
                    </a:xfrm>
                    <a:prstGeom prst="rect">
                      <a:avLst/>
                    </a:prstGeom>
                    <a:noFill/>
                  </pic:spPr>
                </pic:pic>
              </a:graphicData>
            </a:graphic>
          </wp:anchor>
        </w:drawing>
        <w:t>March 13,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Cooley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Jaime L. 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Jaime L. Chase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Cooley LLP 1299 Pennsylvania Ave., Washington DC 20004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 (212) 842-7800 f: (202) 842-7899 cooley.com</w:t>
      </w:r>
    </w:p>
    <w:p>
      <w:pPr>
        <w:sectPr>
          <w:pgSz w:w="11900" w:h="16838" w:orient="portrait"/>
          <w:cols w:equalWidth="0" w:num="1">
            <w:col w:w="11000"/>
          </w:cols>
          <w:pgMar w:left="440" w:top="1053" w:right="45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March 13, 2025, with respect to the financial statements of IN8bio, Inc. included in the Annual Report on Form 10-K for the year ended December 31, 2024. Our audit report includes an explanatory paragraph relating to IN8bio, Inc.’s ability to continue as a going concern.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Tysons,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2025</w:t>
      </w:r>
    </w:p>
    <w:p>
      <w:pPr>
        <w:sectPr>
          <w:pgSz w:w="11900" w:h="16838" w:orient="portrait"/>
          <w:cols w:equalWidth="0" w:num="1">
            <w:col w:w="11020"/>
          </w:cols>
          <w:pgMar w:left="440" w:top="121"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0" w:lineRule="exact"/>
        <w:rPr>
          <w:sz w:val="20"/>
          <w:szCs w:val="20"/>
          <w:color w:val="auto"/>
        </w:rPr>
      </w:pPr>
    </w:p>
    <w:p>
      <w:pPr>
        <w:spacing w:after="0" w:line="2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0"/>
          <w:szCs w:val="20"/>
          <w:color w:val="auto"/>
        </w:rPr>
      </w:pPr>
    </w:p>
    <w:p>
      <w:pPr>
        <w:spacing w:after="0" w:line="2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54" w:lineRule="exact"/>
        <w:rPr>
          <w:sz w:val="20"/>
          <w:szCs w:val="20"/>
          <w:color w:val="auto"/>
        </w:rPr>
      </w:pPr>
    </w:p>
    <w:tbl>
      <w:tblPr>
        <w:tblLayout w:type="fixed"/>
        <w:tblInd w:w="1114" w:type="dxa"/>
        <w:tblCellMar>
          <w:top w:w="0" w:type="dxa"/>
          <w:left w:w="0" w:type="dxa"/>
          <w:bottom w:w="0" w:type="dxa"/>
          <w:right w:w="0" w:type="dxa"/>
        </w:tblCellMar>
      </w:tblPr>
      <w:tr>
        <w:trPr>
          <w:trHeight w:val="144"/>
        </w:trPr>
        <w:tc>
          <w:tcPr>
            <w:tcW w:w="680" w:type="dxa"/>
            <w:vAlign w:val="bottom"/>
            <w:tcBorders>
              <w:top w:val="single" w:sz="8" w:color="auto"/>
              <w:left w:val="single" w:sz="8" w:color="auto"/>
              <w:right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140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Proposed</w:t>
            </w:r>
          </w:p>
        </w:tc>
        <w:tc>
          <w:tcPr>
            <w:tcW w:w="98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r>
      <w:tr>
        <w:trPr>
          <w:trHeight w:val="135"/>
        </w:trPr>
        <w:tc>
          <w:tcPr>
            <w:tcW w:w="680" w:type="dxa"/>
            <w:vAlign w:val="bottom"/>
            <w:tcBorders>
              <w:left w:val="single" w:sz="8" w:color="auto"/>
              <w:right w:val="single" w:sz="8" w:color="auto"/>
            </w:tcBorders>
          </w:tcPr>
          <w:p>
            <w:pPr>
              <w:spacing w:after="0"/>
              <w:rPr>
                <w:sz w:val="11"/>
                <w:szCs w:val="11"/>
                <w:color w:val="auto"/>
              </w:rPr>
            </w:pPr>
          </w:p>
        </w:tc>
        <w:tc>
          <w:tcPr>
            <w:tcW w:w="168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8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r>
      <w:tr>
        <w:trPr>
          <w:trHeight w:val="135"/>
        </w:trPr>
        <w:tc>
          <w:tcPr>
            <w:tcW w:w="680" w:type="dxa"/>
            <w:vAlign w:val="bottom"/>
            <w:tcBorders>
              <w:left w:val="single" w:sz="8" w:color="auto"/>
              <w:right w:val="single" w:sz="8" w:color="auto"/>
            </w:tcBorders>
          </w:tcPr>
          <w:p>
            <w:pPr>
              <w:spacing w:after="0"/>
              <w:rPr>
                <w:sz w:val="11"/>
                <w:szCs w:val="11"/>
                <w:color w:val="auto"/>
              </w:rPr>
            </w:pPr>
          </w:p>
        </w:tc>
        <w:tc>
          <w:tcPr>
            <w:tcW w:w="1680" w:type="dxa"/>
            <w:vAlign w:val="bottom"/>
          </w:tcPr>
          <w:p>
            <w:pPr>
              <w:jc w:val="center"/>
              <w:ind w:left="822"/>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86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00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9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84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r>
      <w:tr>
        <w:trPr>
          <w:trHeight w:val="140"/>
        </w:trPr>
        <w:tc>
          <w:tcPr>
            <w:tcW w:w="680" w:type="dxa"/>
            <w:vAlign w:val="bottom"/>
            <w:tcBorders>
              <w:left w:val="single" w:sz="8" w:color="auto"/>
              <w:right w:val="single" w:sz="8" w:color="auto"/>
            </w:tcBorders>
          </w:tcPr>
          <w:p>
            <w:pPr>
              <w:jc w:val="center"/>
              <w:ind w:left="68"/>
              <w:spacing w:after="0" w:line="140" w:lineRule="exact"/>
              <w:rPr>
                <w:sz w:val="20"/>
                <w:szCs w:val="20"/>
                <w:color w:val="auto"/>
              </w:rPr>
            </w:pPr>
            <w:r>
              <w:rPr>
                <w:rFonts w:ascii="Times New Roman" w:cs="Times New Roman" w:eastAsia="Times New Roman" w:hAnsi="Times New Roman"/>
                <w:sz w:val="13"/>
                <w:szCs w:val="13"/>
                <w:color w:val="auto"/>
                <w:w w:val="96"/>
              </w:rPr>
              <w:t>Security</w:t>
            </w:r>
          </w:p>
        </w:tc>
        <w:tc>
          <w:tcPr>
            <w:tcW w:w="1680" w:type="dxa"/>
            <w:vAlign w:val="bottom"/>
          </w:tcPr>
          <w:p>
            <w:pPr>
              <w:jc w:val="center"/>
              <w:ind w:left="802"/>
              <w:spacing w:after="0" w:line="140" w:lineRule="exact"/>
              <w:rPr>
                <w:sz w:val="20"/>
                <w:szCs w:val="20"/>
                <w:color w:val="auto"/>
              </w:rPr>
            </w:pPr>
            <w:r>
              <w:rPr>
                <w:rFonts w:ascii="Times New Roman" w:cs="Times New Roman" w:eastAsia="Times New Roman" w:hAnsi="Times New Roman"/>
                <w:sz w:val="13"/>
                <w:szCs w:val="13"/>
                <w:color w:val="auto"/>
                <w:w w:val="99"/>
              </w:rPr>
              <w:t>Class</w:t>
            </w:r>
          </w:p>
        </w:tc>
        <w:tc>
          <w:tcPr>
            <w:tcW w:w="860" w:type="dxa"/>
            <w:vAlign w:val="bottom"/>
            <w:tcBorders>
              <w:right w:val="single" w:sz="8" w:color="auto"/>
            </w:tcBorders>
          </w:tcPr>
          <w:p>
            <w:pPr>
              <w:spacing w:after="0"/>
              <w:rPr>
                <w:sz w:val="12"/>
                <w:szCs w:val="12"/>
                <w:color w:val="auto"/>
              </w:rPr>
            </w:pPr>
          </w:p>
        </w:tc>
        <w:tc>
          <w:tcPr>
            <w:tcW w:w="140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6"/>
              </w:rPr>
              <w:t>Calculation</w:t>
            </w:r>
          </w:p>
        </w:tc>
        <w:tc>
          <w:tcPr>
            <w:tcW w:w="100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8"/>
              </w:rPr>
              <w:t>Amount</w:t>
            </w:r>
          </w:p>
        </w:tc>
        <w:tc>
          <w:tcPr>
            <w:tcW w:w="66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7"/>
              </w:rPr>
              <w:t>Price Per</w:t>
            </w:r>
          </w:p>
        </w:tc>
        <w:tc>
          <w:tcPr>
            <w:tcW w:w="9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3"/>
              </w:rPr>
              <w:t>Offering</w:t>
            </w:r>
          </w:p>
        </w:tc>
        <w:tc>
          <w:tcPr>
            <w:tcW w:w="8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5"/>
              </w:rPr>
              <w:t>Fee</w:t>
            </w:r>
          </w:p>
        </w:tc>
        <w:tc>
          <w:tcPr>
            <w:tcW w:w="7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3"/>
                <w:szCs w:val="13"/>
                <w:color w:val="auto"/>
                <w:w w:val="97"/>
              </w:rPr>
              <w:t>Registration</w:t>
            </w:r>
          </w:p>
        </w:tc>
      </w:tr>
      <w:tr>
        <w:trPr>
          <w:trHeight w:val="175"/>
        </w:trPr>
        <w:tc>
          <w:tcPr>
            <w:tcW w:w="680" w:type="dxa"/>
            <w:vAlign w:val="bottom"/>
            <w:tcBorders>
              <w:left w:val="single" w:sz="8" w:color="auto"/>
              <w:bottom w:val="single" w:sz="8" w:color="auto"/>
              <w:right w:val="single" w:sz="8" w:color="auto"/>
            </w:tcBorders>
          </w:tcPr>
          <w:p>
            <w:pPr>
              <w:jc w:val="center"/>
              <w:ind w:left="68"/>
              <w:spacing w:after="0"/>
              <w:rPr>
                <w:sz w:val="20"/>
                <w:szCs w:val="20"/>
                <w:color w:val="auto"/>
              </w:rPr>
            </w:pPr>
            <w:r>
              <w:rPr>
                <w:rFonts w:ascii="Times New Roman" w:cs="Times New Roman" w:eastAsia="Times New Roman" w:hAnsi="Times New Roman"/>
                <w:sz w:val="13"/>
                <w:szCs w:val="13"/>
                <w:color w:val="auto"/>
                <w:w w:val="97"/>
              </w:rPr>
              <w:t>Type</w:t>
            </w:r>
          </w:p>
        </w:tc>
        <w:tc>
          <w:tcPr>
            <w:tcW w:w="1680" w:type="dxa"/>
            <w:vAlign w:val="bottom"/>
            <w:tcBorders>
              <w:bottom w:val="single" w:sz="8" w:color="auto"/>
            </w:tcBorders>
          </w:tcPr>
          <w:p>
            <w:pPr>
              <w:jc w:val="center"/>
              <w:ind w:left="802"/>
              <w:spacing w:after="0"/>
              <w:rPr>
                <w:sz w:val="20"/>
                <w:szCs w:val="20"/>
                <w:color w:val="auto"/>
              </w:rPr>
            </w:pPr>
            <w:r>
              <w:rPr>
                <w:rFonts w:ascii="Times New Roman" w:cs="Times New Roman" w:eastAsia="Times New Roman" w:hAnsi="Times New Roman"/>
                <w:sz w:val="13"/>
                <w:szCs w:val="13"/>
                <w:color w:val="auto"/>
                <w:w w:val="97"/>
              </w:rPr>
              <w:t>Title</w:t>
            </w:r>
          </w:p>
        </w:tc>
        <w:tc>
          <w:tcPr>
            <w:tcW w:w="860" w:type="dxa"/>
            <w:vAlign w:val="bottom"/>
            <w:tcBorders>
              <w:bottom w:val="single" w:sz="8" w:color="auto"/>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00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color w:val="auto"/>
                <w:w w:val="94"/>
              </w:rPr>
              <w:t>Registered</w:t>
            </w:r>
            <w:r>
              <w:rPr>
                <w:rFonts w:ascii="Times New Roman" w:cs="Times New Roman" w:eastAsia="Times New Roman" w:hAnsi="Times New Roman"/>
                <w:sz w:val="18"/>
                <w:szCs w:val="18"/>
                <w:color w:val="auto"/>
                <w:w w:val="94"/>
                <w:vertAlign w:val="superscript"/>
              </w:rPr>
              <w:t>(1)</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Share</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r>
      <w:tr>
        <w:trPr>
          <w:trHeight w:val="205"/>
        </w:trPr>
        <w:tc>
          <w:tcPr>
            <w:tcW w:w="680" w:type="dxa"/>
            <w:vAlign w:val="bottom"/>
            <w:tcBorders>
              <w:left w:val="single" w:sz="8" w:color="auto"/>
              <w:right w:val="single" w:sz="8" w:color="auto"/>
            </w:tcBorders>
          </w:tcPr>
          <w:p>
            <w:pPr>
              <w:jc w:val="center"/>
              <w:ind w:left="48"/>
              <w:spacing w:after="0" w:line="205" w:lineRule="exact"/>
              <w:rPr>
                <w:sz w:val="20"/>
                <w:szCs w:val="20"/>
                <w:color w:val="auto"/>
              </w:rPr>
            </w:pPr>
            <w:r>
              <w:rPr>
                <w:rFonts w:ascii="Times New Roman" w:cs="Times New Roman" w:eastAsia="Times New Roman" w:hAnsi="Times New Roman"/>
                <w:sz w:val="18"/>
                <w:szCs w:val="18"/>
                <w:color w:val="auto"/>
                <w:w w:val="99"/>
              </w:rPr>
              <w:t>Equity</w:t>
            </w:r>
          </w:p>
        </w:tc>
        <w:tc>
          <w:tcPr>
            <w:tcW w:w="2540" w:type="dxa"/>
            <w:vAlign w:val="bottom"/>
            <w:tcBorders>
              <w:right w:val="single" w:sz="8" w:color="auto"/>
            </w:tcBorders>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Common stock, $0.0001 par value</w:t>
            </w:r>
          </w:p>
        </w:tc>
        <w:tc>
          <w:tcPr>
            <w:tcW w:w="14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r>
      <w:tr>
        <w:trPr>
          <w:trHeight w:val="261"/>
        </w:trPr>
        <w:tc>
          <w:tcPr>
            <w:tcW w:w="680" w:type="dxa"/>
            <w:vAlign w:val="bottom"/>
            <w:tcBorders>
              <w:left w:val="single" w:sz="8" w:color="auto"/>
              <w:bottom w:val="single" w:sz="8" w:color="auto"/>
              <w:right w:val="single" w:sz="8" w:color="auto"/>
            </w:tcBorders>
          </w:tcPr>
          <w:p>
            <w:pPr>
              <w:spacing w:after="0"/>
              <w:rPr>
                <w:sz w:val="22"/>
                <w:szCs w:val="22"/>
                <w:color w:val="auto"/>
              </w:rPr>
            </w:pPr>
          </w:p>
        </w:tc>
        <w:tc>
          <w:tcPr>
            <w:tcW w:w="1680" w:type="dxa"/>
            <w:vAlign w:val="bottom"/>
            <w:tcBorders>
              <w:bottom w:val="single" w:sz="8" w:color="auto"/>
            </w:tcBorders>
          </w:tcPr>
          <w:p>
            <w:pPr>
              <w:jc w:val="center"/>
              <w:ind w:left="802"/>
              <w:spacing w:after="0"/>
              <w:rPr>
                <w:sz w:val="20"/>
                <w:szCs w:val="20"/>
                <w:color w:val="auto"/>
              </w:rPr>
            </w:pPr>
            <w:r>
              <w:rPr>
                <w:rFonts w:ascii="Times New Roman" w:cs="Times New Roman" w:eastAsia="Times New Roman" w:hAnsi="Times New Roman"/>
                <w:sz w:val="18"/>
                <w:szCs w:val="18"/>
                <w:color w:val="auto"/>
                <w:w w:val="97"/>
              </w:rPr>
              <w:t>per share</w:t>
            </w:r>
          </w:p>
        </w:tc>
        <w:tc>
          <w:tcPr>
            <w:tcW w:w="860" w:type="dxa"/>
            <w:vAlign w:val="bottom"/>
            <w:tcBorders>
              <w:bottom w:val="single" w:sz="8" w:color="auto"/>
              <w:right w:val="single" w:sz="8" w:color="auto"/>
            </w:tcBorders>
          </w:tcPr>
          <w:p>
            <w:pPr>
              <w:spacing w:after="0"/>
              <w:rPr>
                <w:sz w:val="22"/>
                <w:szCs w:val="22"/>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457(c) and 457(h) </w:t>
            </w:r>
          </w:p>
        </w:tc>
        <w:tc>
          <w:tcPr>
            <w:tcW w:w="1000" w:type="dxa"/>
            <w:vAlign w:val="bottom"/>
            <w:tcBorders>
              <w:bottom w:val="single" w:sz="8" w:color="auto"/>
              <w:right w:val="single" w:sz="8" w:color="auto"/>
            </w:tcBorders>
          </w:tcPr>
          <w:p>
            <w:pPr>
              <w:jc w:val="center"/>
              <w:spacing w:after="0" w:line="261" w:lineRule="exact"/>
              <w:rPr>
                <w:sz w:val="20"/>
                <w:szCs w:val="20"/>
                <w:color w:val="auto"/>
              </w:rPr>
            </w:pPr>
            <w:r>
              <w:rPr>
                <w:rFonts w:ascii="Times New Roman" w:cs="Times New Roman" w:eastAsia="Times New Roman" w:hAnsi="Times New Roman"/>
                <w:sz w:val="18"/>
                <w:szCs w:val="18"/>
                <w:color w:val="auto"/>
                <w:w w:val="99"/>
              </w:rPr>
              <w:t>3,624,163</w:t>
            </w:r>
            <w:r>
              <w:rPr>
                <w:rFonts w:ascii="Times New Roman" w:cs="Times New Roman" w:eastAsia="Times New Roman" w:hAnsi="Times New Roman"/>
                <w:sz w:val="26"/>
                <w:szCs w:val="26"/>
                <w:color w:val="auto"/>
                <w:w w:val="99"/>
                <w:vertAlign w:val="superscript"/>
              </w:rPr>
              <w:t>(2)</w:t>
            </w:r>
            <w:r>
              <w:rPr>
                <w:rFonts w:ascii="Times New Roman" w:cs="Times New Roman" w:eastAsia="Times New Roman" w:hAnsi="Times New Roman"/>
                <w:sz w:val="18"/>
                <w:szCs w:val="18"/>
                <w:color w:val="auto"/>
                <w:w w:val="99"/>
              </w:rPr>
              <w:t xml:space="preserve"> </w:t>
            </w:r>
          </w:p>
        </w:tc>
        <w:tc>
          <w:tcPr>
            <w:tcW w:w="660" w:type="dxa"/>
            <w:vAlign w:val="bottom"/>
            <w:tcBorders>
              <w:bottom w:val="single" w:sz="8" w:color="auto"/>
              <w:right w:val="single" w:sz="8" w:color="auto"/>
            </w:tcBorders>
          </w:tcPr>
          <w:p>
            <w:pPr>
              <w:jc w:val="center"/>
              <w:spacing w:after="0" w:line="261" w:lineRule="exact"/>
              <w:rPr>
                <w:sz w:val="20"/>
                <w:szCs w:val="20"/>
                <w:color w:val="auto"/>
              </w:rPr>
            </w:pPr>
            <w:r>
              <w:rPr>
                <w:rFonts w:ascii="Times New Roman" w:cs="Times New Roman" w:eastAsia="Times New Roman" w:hAnsi="Times New Roman"/>
                <w:sz w:val="18"/>
                <w:szCs w:val="18"/>
                <w:color w:val="auto"/>
                <w:w w:val="98"/>
              </w:rPr>
              <w:t>$0.25</w:t>
            </w:r>
            <w:r>
              <w:rPr>
                <w:rFonts w:ascii="Times New Roman" w:cs="Times New Roman" w:eastAsia="Times New Roman" w:hAnsi="Times New Roman"/>
                <w:sz w:val="26"/>
                <w:szCs w:val="26"/>
                <w:color w:val="auto"/>
                <w:w w:val="98"/>
                <w:vertAlign w:val="superscript"/>
              </w:rPr>
              <w:t>(3)</w:t>
            </w:r>
            <w:r>
              <w:rPr>
                <w:rFonts w:ascii="Times New Roman" w:cs="Times New Roman" w:eastAsia="Times New Roman" w:hAnsi="Times New Roman"/>
                <w:sz w:val="18"/>
                <w:szCs w:val="18"/>
                <w:color w:val="auto"/>
                <w:w w:val="98"/>
              </w:rPr>
              <w:t xml:space="preserve"> </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$906,040.75</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.00015310</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$138.72</w:t>
            </w:r>
          </w:p>
        </w:tc>
      </w:tr>
      <w:tr>
        <w:trPr>
          <w:trHeight w:val="232"/>
        </w:trPr>
        <w:tc>
          <w:tcPr>
            <w:tcW w:w="680" w:type="dxa"/>
            <w:vAlign w:val="bottom"/>
            <w:tcBorders>
              <w:left w:val="single" w:sz="8" w:color="auto"/>
              <w:bottom w:val="single" w:sz="8" w:color="auto"/>
            </w:tcBorders>
          </w:tcPr>
          <w:p>
            <w:pPr>
              <w:spacing w:after="0"/>
              <w:rPr>
                <w:sz w:val="20"/>
                <w:szCs w:val="20"/>
                <w:color w:val="auto"/>
              </w:rPr>
            </w:pPr>
          </w:p>
        </w:tc>
        <w:tc>
          <w:tcPr>
            <w:tcW w:w="3940" w:type="dxa"/>
            <w:vAlign w:val="bottom"/>
            <w:tcBorders>
              <w:bottom w:val="single" w:sz="8" w:color="auto"/>
            </w:tcBorders>
            <w:gridSpan w:val="3"/>
          </w:tcPr>
          <w:p>
            <w:pPr>
              <w:jc w:val="center"/>
              <w:ind w:left="362"/>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0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$906,040.75</w:t>
            </w:r>
          </w:p>
        </w:tc>
        <w:tc>
          <w:tcPr>
            <w:tcW w:w="8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$138.72</w:t>
            </w:r>
          </w:p>
        </w:tc>
      </w:tr>
      <w:tr>
        <w:trPr>
          <w:trHeight w:val="237"/>
        </w:trPr>
        <w:tc>
          <w:tcPr>
            <w:tcW w:w="680" w:type="dxa"/>
            <w:vAlign w:val="bottom"/>
            <w:tcBorders>
              <w:left w:val="single" w:sz="8" w:color="auto"/>
              <w:bottom w:val="single" w:sz="8" w:color="auto"/>
            </w:tcBorders>
          </w:tcPr>
          <w:p>
            <w:pPr>
              <w:spacing w:after="0"/>
              <w:rPr>
                <w:sz w:val="20"/>
                <w:szCs w:val="20"/>
                <w:color w:val="auto"/>
              </w:rPr>
            </w:pPr>
          </w:p>
        </w:tc>
        <w:tc>
          <w:tcPr>
            <w:tcW w:w="3940" w:type="dxa"/>
            <w:vAlign w:val="bottom"/>
            <w:tcBorders>
              <w:bottom w:val="single" w:sz="8" w:color="auto"/>
            </w:tcBorders>
            <w:gridSpan w:val="3"/>
          </w:tcPr>
          <w:p>
            <w:pPr>
              <w:jc w:val="center"/>
              <w:ind w:left="382"/>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0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680" w:type="dxa"/>
            <w:vAlign w:val="bottom"/>
            <w:tcBorders>
              <w:left w:val="single" w:sz="8" w:color="auto"/>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2"/>
          </w:tcPr>
          <w:p>
            <w:pPr>
              <w:jc w:val="center"/>
              <w:ind w:right="1150"/>
              <w:spacing w:after="0"/>
              <w:rPr>
                <w:sz w:val="20"/>
                <w:szCs w:val="20"/>
                <w:color w:val="auto"/>
              </w:rPr>
            </w:pPr>
            <w:r>
              <w:rPr>
                <w:rFonts w:ascii="Times New Roman" w:cs="Times New Roman" w:eastAsia="Times New Roman" w:hAnsi="Times New Roman"/>
                <w:sz w:val="18"/>
                <w:szCs w:val="18"/>
                <w:color w:val="auto"/>
              </w:rPr>
              <w:t>Net Fee Due</w:t>
            </w:r>
          </w:p>
        </w:tc>
        <w:tc>
          <w:tcPr>
            <w:tcW w:w="10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$138.72</w:t>
            </w:r>
          </w:p>
        </w:tc>
      </w:tr>
    </w:tbl>
    <w:p>
      <w:pPr>
        <w:spacing w:after="0" w:line="225" w:lineRule="exact"/>
        <w:rPr>
          <w:sz w:val="20"/>
          <w:szCs w:val="20"/>
          <w:color w:val="auto"/>
        </w:rPr>
      </w:pPr>
    </w:p>
    <w:p>
      <w:pPr>
        <w:ind w:left="424" w:right="20" w:hanging="424"/>
        <w:spacing w:after="0" w:line="261"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any additional shares of common stock that become issuable under the above-named plans by reason of any stock dividend, stock split, recapitalization or any other similar transaction effected without receipt of consideration which results in an increase in the number of IN8bio, Inc.’s (the “Registrant”) outstanding shares of common stock, par value $0.0001 per share (the “Common Stock”).</w:t>
      </w:r>
    </w:p>
    <w:p>
      <w:pPr>
        <w:spacing w:after="0" w:line="85" w:lineRule="exact"/>
        <w:rPr>
          <w:rFonts w:ascii="Times New Roman" w:cs="Times New Roman" w:eastAsia="Times New Roman" w:hAnsi="Times New Roman"/>
          <w:sz w:val="18"/>
          <w:szCs w:val="18"/>
          <w:color w:val="auto"/>
        </w:rPr>
      </w:pPr>
    </w:p>
    <w:p>
      <w:pPr>
        <w:ind w:left="424" w:right="60" w:hanging="424"/>
        <w:spacing w:after="0" w:line="224"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additional shares of the Registrant’s Common Stock reserved for future grant under IN8bio, Inc. 2023 Amended and Restated Equity Incentive Plan (the “Plan”) as a result of the automatic increase in shares reserved thereunder on January 1, 2025, pursuant to the terms of the Plan. The Plan provides that an additional number of shares will automatically be added annually to the shares authorized for issuance under the Plan on January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each year, for a period of not more than 10 years, commencing on January 1, 2024 and ending on (and including) January 1, 2033, in an amount equal to the lesser of (a) 5% of the total number of shares of Common Stock outstanding on December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the preceding calendar year and (b) a number of shares of Common Stock designated by action of the Registrant’s board of directors prior to the first day of any calendar year.</w:t>
      </w:r>
    </w:p>
    <w:p>
      <w:pPr>
        <w:spacing w:after="0" w:line="109" w:lineRule="exact"/>
        <w:rPr>
          <w:rFonts w:ascii="Times New Roman" w:cs="Times New Roman" w:eastAsia="Times New Roman" w:hAnsi="Times New Roman"/>
          <w:sz w:val="18"/>
          <w:szCs w:val="18"/>
          <w:color w:val="auto"/>
        </w:rPr>
      </w:pPr>
    </w:p>
    <w:p>
      <w:pPr>
        <w:ind w:left="424" w:right="40" w:hanging="424"/>
        <w:spacing w:after="0" w:line="266"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pursuant to Rules 457(c) and 457(h) solely for the purpose of calculating the registration fee. The proposed maximum offering price per share and proposed maximum aggregate offering price are based on the average of the high and low sale prices of the Common Stock as reported on The Nasdaq Global Market on March 7, 2025.</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lowerRoman"/>
      <w:start w:val="2"/>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upperLetter"/>
      <w:start w:val="20"/>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5" Type="http://schemas.openxmlformats.org/officeDocument/2006/relationships/image" Target="media/image13.png"/><Relationship Id="rId36" Type="http://schemas.openxmlformats.org/officeDocument/2006/relationships/image" Target="media/image14.png"/><Relationship Id="rId37" Type="http://schemas.openxmlformats.org/officeDocument/2006/relationships/image" Target="media/image15.png"/><Relationship Id="rId38" Type="http://schemas.openxmlformats.org/officeDocument/2006/relationships/image" Target="media/image16.png"/><Relationship Id="rId39" Type="http://schemas.openxmlformats.org/officeDocument/2006/relationships/image" Target="media/image17.jpeg"/><Relationship Id="rId40" Type="http://schemas.openxmlformats.org/officeDocument/2006/relationships/image" Target="media/image18.png"/><Relationship Id="rId41" Type="http://schemas.openxmlformats.org/officeDocument/2006/relationships/image" Target="media/image19.jpeg"/><Relationship Id="rId42" Type="http://schemas.openxmlformats.org/officeDocument/2006/relationships/image" Target="media/image20.png"/><Relationship Id="rId18" Type="http://schemas.openxmlformats.org/officeDocument/2006/relationships/hyperlink" Target="http://www.sec.gov/Archives/edgar/data/1740279/000119312521270077/d216810ds8.htm" TargetMode="External"/><Relationship Id="rId19" Type="http://schemas.openxmlformats.org/officeDocument/2006/relationships/hyperlink" Target="http://www.sec.gov/Archives/edgar/data/1740279/000119312523216045/d387080ds8pos.htm" TargetMode="External"/><Relationship Id="rId20" Type="http://schemas.openxmlformats.org/officeDocument/2006/relationships/hyperlink" Target="http://www.sec.gov/Archives/edgar/data/1740279/000119312522148782/d313321ds8.htm" TargetMode="External"/><Relationship Id="rId21" Type="http://schemas.openxmlformats.org/officeDocument/2006/relationships/hyperlink" Target="http://www.sec.gov/Archives/edgar/data/1740279/000119312523216041/d387080ds8pos.htm" TargetMode="External"/><Relationship Id="rId22" Type="http://schemas.openxmlformats.org/officeDocument/2006/relationships/hyperlink" Target="http://www.sec.gov/Archives/edgar/data/1740279/000119312523216033/d512282ds8.htm" TargetMode="External"/><Relationship Id="rId23" Type="http://schemas.openxmlformats.org/officeDocument/2006/relationships/hyperlink" Target="http://www.sec.gov/Archives/edgar/data/1740279/000119312524011235/d691824ds8.htm" TargetMode="External"/><Relationship Id="rId24" Type="http://schemas.openxmlformats.org/officeDocument/2006/relationships/hyperlink" Target="http://www.sec.gov/ix?doc=/Archives/edgar/data/1740279/000095017025038738/inab-20241231.htm" TargetMode="External"/><Relationship Id="rId25" Type="http://schemas.openxmlformats.org/officeDocument/2006/relationships/hyperlink" Target="http://www.sec.gov/ix?doc=/Archives/edgar/data/1740279/000119312525022711/d841361d8k.htm" TargetMode="External"/><Relationship Id="rId26" Type="http://schemas.openxmlformats.org/officeDocument/2006/relationships/hyperlink" Target="http://www.sec.gov/ix?doc=/Archives/edgar/data/0001740279/000119312525024005/d905966d8k.htm" TargetMode="External"/><Relationship Id="rId27" Type="http://schemas.openxmlformats.org/officeDocument/2006/relationships/hyperlink" Target="http://www.sec.gov/ix?doc=/Archives/edgar/data/0001740279/000119312525047244/d940314d8k.htm" TargetMode="External"/><Relationship Id="rId28" Type="http://schemas.openxmlformats.org/officeDocument/2006/relationships/hyperlink" Target="http://www.sec.gov/Archives/edgar/data/1740279/000110465920123356/tm2030088d15_8a12b.htm" TargetMode="External"/><Relationship Id="rId31" Type="http://schemas.openxmlformats.org/officeDocument/2006/relationships/hyperlink" Target="http://www.sec.gov/Archives/edgar/data/1740279/000110465921099436/tm2030088d31_ex3-1.htm" TargetMode="External"/><Relationship Id="rId32" Type="http://schemas.openxmlformats.org/officeDocument/2006/relationships/hyperlink" Target="http://www.sec.gov/Archives/edgar/data/1740279/000119312523290707/d634027dex31.htm" TargetMode="External"/><Relationship Id="rId33" Type="http://schemas.openxmlformats.org/officeDocument/2006/relationships/hyperlink" Target="http://www.sec.gov/Archives/edgar/data/1740279/000095017023041482/inab-ex10_1.htm" TargetMode="External"/><Relationship Id="rId34" Type="http://schemas.openxmlformats.org/officeDocument/2006/relationships/hyperlink" Target="http://www.sec.gov/Archives/edgar/data/1740279/000095017023041482/inab-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2025-03-13T16:44:12Z</dcterms:created>
  <dcterms:modified xsi:type="dcterms:W3CDTF">2025-03-13T16:44:12Z</dcterms:modified>
</cp:coreProperties>
</file>