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-227330</wp:posOffset>
            </wp:positionV>
            <wp:extent cx="120650" cy="1206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33020</wp:posOffset>
            </wp:positionH>
            <wp:positionV relativeFrom="paragraph">
              <wp:posOffset>-568325</wp:posOffset>
            </wp:positionV>
            <wp:extent cx="120650" cy="1206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650" cy="1206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7"/>
        </w:trPr>
        <w:tc>
          <w:tcPr>
            <w:tcW w:w="6240" w:type="dxa"/>
            <w:vAlign w:val="bottom"/>
          </w:tcPr>
          <w:p>
            <w:pPr>
              <w:jc w:val="center"/>
              <w:ind w:right="2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218"/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5230495</wp:posOffset>
            </wp:positionH>
            <wp:positionV relativeFrom="paragraph">
              <wp:posOffset>-615950</wp:posOffset>
            </wp:positionV>
            <wp:extent cx="57785" cy="6292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-615950</wp:posOffset>
            </wp:positionV>
            <wp:extent cx="57785" cy="62928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29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-1675130</wp:posOffset>
            </wp:positionH>
            <wp:positionV relativeFrom="paragraph">
              <wp:posOffset>729615</wp:posOffset>
            </wp:positionV>
            <wp:extent cx="7047865" cy="64484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865" cy="64484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340"/>
            <w:col w:w="8460"/>
          </w:cols>
          <w:pgMar w:left="460" w:top="216" w:right="359" w:bottom="26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Rochlin Kate</w:t>
        </w:r>
      </w:hyperlink>
    </w:p>
    <w:p>
      <w:pPr>
        <w:spacing w:after="0" w:line="293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6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IN8BIO, INC.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350 5TH AVE. SUITE 5330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IN8BIO,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INAB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5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04/27/2025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6" w:right="680" w:hanging="6"/>
        <w:spacing w:after="0" w:line="251" w:lineRule="auto"/>
        <w:tabs>
          <w:tab w:leader="none" w:pos="147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526"/>
        <w:spacing w:after="0"/>
        <w:tabs>
          <w:tab w:leader="none" w:pos="206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786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Chief Operating Officer</w:t>
      </w:r>
    </w:p>
    <w:p>
      <w:pPr>
        <w:spacing w:after="0" w:line="39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14" w:space="720"/>
            <w:col w:w="3346"/>
          </w:cols>
          <w:pgMar w:left="460" w:top="216" w:right="359" w:bottom="26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8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NEW YORK</w:t>
            </w: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NY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10118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6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8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04/30/2025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12,295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0.1844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55,169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520" w:type="dxa"/>
            <w:vAlign w:val="bottom"/>
            <w:tcBorders>
              <w:bottom w:val="single" w:sz="8" w:color="2C2C2C"/>
            </w:tcBorders>
            <w:gridSpan w:val="9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40" w:type="dxa"/>
            <w:vAlign w:val="bottom"/>
            <w:tcBorders>
              <w:top w:val="single" w:sz="8" w:color="2C2C2C"/>
            </w:tcBorders>
            <w:gridSpan w:val="1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60" w:type="dxa"/>
            <w:vAlign w:val="bottom"/>
            <w:gridSpan w:val="10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6"/>
              </w:rPr>
              <w:t>4.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81"/>
              </w:rPr>
              <w:t>8)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 or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 w:line="2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3"/>
                <w:szCs w:val="23"/>
                <w:color w:val="0000FF"/>
                <w:w w:val="87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7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12,295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10/04/2025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12,295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(1)(3)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7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8"/>
                <w:szCs w:val="8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0.1844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89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(1)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12,295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12,295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(1)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12,295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A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0.1844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04/30/2025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12,295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05/02/2025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12,295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6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1.5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89"/>
                <w:vertAlign w:val="subscript"/>
              </w:rPr>
              <w:t>D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12,295</w:t>
            </w:r>
          </w:p>
        </w:tc>
        <w:tc>
          <w:tcPr>
            <w:tcW w:w="760" w:type="dxa"/>
            <w:vAlign w:val="bottom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12/13/2028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12,295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(3)(4)</w:t>
            </w:r>
          </w:p>
        </w:tc>
        <w:tc>
          <w:tcPr>
            <w:tcW w:w="580" w:type="dxa"/>
            <w:vAlign w:val="bottom"/>
          </w:tcPr>
          <w:p>
            <w:pPr>
              <w:jc w:val="center"/>
              <w:ind w:left="2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Series B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Warrants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0.45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04/27/2025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257"/>
              <w:spacing w:after="0" w:line="19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00FF"/>
                <w:w w:val="89"/>
                <w:vertAlign w:val="subscript"/>
              </w:rPr>
              <w:t>A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  <w:w w:val="89"/>
              </w:rPr>
              <w:t>(4)</w:t>
            </w:r>
          </w:p>
        </w:tc>
        <w:tc>
          <w:tcPr>
            <w:tcW w:w="5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12,295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2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12/13/2028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12,295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(4)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12,295</w:t>
            </w:r>
          </w:p>
        </w:tc>
        <w:tc>
          <w:tcPr>
            <w:tcW w:w="6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 w:right="160" w:hanging="1"/>
        <w:spacing w:after="0" w:line="237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an amendment of an outstanding warrant, resulting in the deemed cancellation of the "old" warrant and the grant of a "replacement" warrant. The warrant was originally granted on December 13, 2023 and later amended on October 4, 2024 with an exercise price of $0.45 per share and expiration date of October 4, 2025. On April 27, 2025, the warrant's exercise price was reduced to $0.1844 per share and the warrant expiration date was amended to May 2, 2025.</w:t>
      </w:r>
    </w:p>
    <w:p>
      <w:pPr>
        <w:spacing w:after="0" w:line="26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1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Fully vested and exercisable.</w:t>
      </w:r>
    </w:p>
    <w:p>
      <w:pPr>
        <w:spacing w:after="0" w:line="4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80" w:hanging="1"/>
        <w:spacing w:after="0" w:line="24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securities are included within 12,295 units purchased by the Reporting Person on December 13, 2023 for $1.22 per unit. Each unit consists of one share of common stock, one Series A warrant and one Series B warrant, each warrant represents the right to purchase 12,295 shares of common stock.</w:t>
      </w:r>
    </w:p>
    <w:p>
      <w:pPr>
        <w:spacing w:after="0" w:line="2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hanging="1"/>
        <w:spacing w:after="0" w:line="248" w:lineRule="auto"/>
        <w:tabs>
          <w:tab w:leader="none" w:pos="167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reported transaction involved an amendment of an outstanding warrant, resulting in the deemed cancellation of the "old" warrant and the grant of a "replacement" warrant. The warrant was originally granted on December 13, 2023 with an exercise price of $1.50 per share. The exercise price was reduced to $0.45 per share.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Jason Minio, Attorney-in-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05/07/2025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8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4"/>
              </w:rPr>
              <w:t>Fact</w:t>
            </w:r>
          </w:p>
        </w:tc>
        <w:tc>
          <w:tcPr>
            <w:tcW w:w="162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jc w:val="both"/>
        <w:ind w:left="40" w:right="3720" w:hanging="1"/>
        <w:spacing w:after="0" w:line="330" w:lineRule="auto"/>
        <w:tabs>
          <w:tab w:leader="none" w:pos="174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26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hyperlink" Target="http://www.sec.gov/cgi-bin/browse-edgar?action=getcompany&amp;CIK=0001898521" TargetMode="External"/><Relationship Id="rId14" Type="http://schemas.openxmlformats.org/officeDocument/2006/relationships/hyperlink" Target="http://www.sec.gov/cgi-bin/browse-edgar?action=getcompany&amp;CIK=000174027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2025-05-07T19:57:35Z</dcterms:created>
  <dcterms:modified xsi:type="dcterms:W3CDTF">2025-05-07T19:57:35Z</dcterms:modified>
</cp:coreProperties>
</file>