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File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Number 333-291393</w:t>
      </w:r>
    </w:p>
    <w:p>
      <w:pPr>
        <w:spacing w:after="0" w:line="14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To Prospectus dated 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941705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170180</wp:posOffset>
            </wp:positionV>
            <wp:extent cx="1388745"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874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Up to $2,800,000</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both"/>
        <w:ind w:left="120" w:right="220" w:firstLine="440"/>
        <w:spacing w:after="0" w:line="237" w:lineRule="auto"/>
        <w:rPr>
          <w:sz w:val="20"/>
          <w:szCs w:val="20"/>
          <w:color w:val="auto"/>
        </w:rPr>
      </w:pPr>
      <w:r>
        <w:rPr>
          <w:rFonts w:ascii="Times New Roman" w:cs="Times New Roman" w:eastAsia="Times New Roman" w:hAnsi="Times New Roman"/>
          <w:sz w:val="16"/>
          <w:szCs w:val="16"/>
          <w:color w:val="auto"/>
        </w:rPr>
        <w:t>We have entered into a Capital on Demand</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6"/>
          <w:szCs w:val="16"/>
          <w:color w:val="auto"/>
        </w:rPr>
        <w:t xml:space="preserve"> Sales Agreement, or the Sales Agreement, with JonesTrading Institutional Services LLC, referred to herein as the Sales Agent or Jones, relating to shares of our common stock, par value $0.0001 per share, offered by this prospectus supplement. In accordance with the terms of the Sales Agreement, we may offer and sell shares of our common stock having an aggregate offering price of up to $2,800,000 from time to time through or to the Sales Agent, acting as our agent or principal.</w:t>
      </w:r>
    </w:p>
    <w:p>
      <w:pPr>
        <w:spacing w:after="0" w:line="209" w:lineRule="exact"/>
        <w:rPr>
          <w:sz w:val="24"/>
          <w:szCs w:val="24"/>
          <w:color w:val="auto"/>
        </w:rPr>
      </w:pPr>
    </w:p>
    <w:p>
      <w:pPr>
        <w:ind w:left="120" w:right="140" w:firstLine="440"/>
        <w:spacing w:after="0" w:line="298" w:lineRule="auto"/>
        <w:rPr>
          <w:sz w:val="20"/>
          <w:szCs w:val="20"/>
          <w:color w:val="auto"/>
        </w:rPr>
      </w:pPr>
      <w:r>
        <w:rPr>
          <w:rFonts w:ascii="Times New Roman" w:cs="Times New Roman" w:eastAsia="Times New Roman" w:hAnsi="Times New Roman"/>
          <w:sz w:val="16"/>
          <w:szCs w:val="16"/>
          <w:color w:val="auto"/>
        </w:rPr>
        <w:t>Our common stock is listed on the Nasdaq Capital Market under the trading symbol “INAB.” On May 29, 2026, the last reported sale price of our common stock was $1.87 per share.</w:t>
      </w:r>
    </w:p>
    <w:p>
      <w:pPr>
        <w:spacing w:after="0" w:line="164" w:lineRule="exact"/>
        <w:rPr>
          <w:sz w:val="24"/>
          <w:szCs w:val="24"/>
          <w:color w:val="auto"/>
        </w:rPr>
      </w:pPr>
    </w:p>
    <w:p>
      <w:pPr>
        <w:ind w:left="120" w:right="100" w:firstLine="440"/>
        <w:spacing w:after="0" w:line="275" w:lineRule="auto"/>
        <w:rPr>
          <w:sz w:val="20"/>
          <w:szCs w:val="20"/>
          <w:color w:val="auto"/>
        </w:rPr>
      </w:pPr>
      <w:r>
        <w:rPr>
          <w:rFonts w:ascii="Times New Roman" w:cs="Times New Roman" w:eastAsia="Times New Roman" w:hAnsi="Times New Roman"/>
          <w:sz w:val="16"/>
          <w:szCs w:val="16"/>
          <w:color w:val="auto"/>
        </w:rPr>
        <w:t>Sales of our common stock, if any, under this prospectus supplement will be made in sales deemed to be an “at the market offering” as defined in Rule 415(a)(4) promulgated under the Securities Act of 1933, as amended, or the Securities Act. The Sales Agent is not required to sell any specific amount of securities, but will act as our sales agent using commercially reasonable efforts consistent with its normal trading and sales practices, on mutually agreed terms between the Sales Agent and us. There is no arrangement for funds to be received in any escrow, trust or similar arrangement.</w:t>
      </w:r>
    </w:p>
    <w:p>
      <w:pPr>
        <w:spacing w:after="0" w:line="183" w:lineRule="exact"/>
        <w:rPr>
          <w:sz w:val="24"/>
          <w:szCs w:val="24"/>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6"/>
          <w:szCs w:val="16"/>
          <w:color w:val="auto"/>
        </w:rPr>
        <w:t>The compensation to the Sales Agent for sales of common stock sold pursuant to the Sales Agreement will be equal to 3.0% of the gross proceeds of any shares of common stock sold under the Sales Agreement. In connection with the sale of the common stock on our behalf, the Sales Agent will be deemed to be an “underwriter” within the meaning of the Securities Act and the compensation of the Sales Agent will be deemed to be underwriting commissions or discounts. We have also agreed to provide indemnification and contribution to the Sales Agent with respect to certain liabilities, including liabilities under the Securities Act or the Exchange Act of 1934, as amended. See “</w:t>
      </w:r>
      <w:r>
        <w:rPr>
          <w:rFonts w:ascii="Times New Roman" w:cs="Times New Roman" w:eastAsia="Times New Roman" w:hAnsi="Times New Roman"/>
          <w:sz w:val="16"/>
          <w:szCs w:val="16"/>
          <w:i w:val="1"/>
          <w:iCs w:val="1"/>
          <w:color w:val="auto"/>
        </w:rPr>
        <w:t>Plan of Distribution</w:t>
      </w:r>
      <w:r>
        <w:rPr>
          <w:rFonts w:ascii="Times New Roman" w:cs="Times New Roman" w:eastAsia="Times New Roman" w:hAnsi="Times New Roman"/>
          <w:sz w:val="16"/>
          <w:szCs w:val="16"/>
          <w:color w:val="auto"/>
        </w:rPr>
        <w:t>” beginning on page 13 for additional information regarding the compensation payable to the Sales Agent.</w:t>
      </w:r>
    </w:p>
    <w:p>
      <w:pPr>
        <w:spacing w:after="0" w:line="186" w:lineRule="exact"/>
        <w:rPr>
          <w:sz w:val="24"/>
          <w:szCs w:val="24"/>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6"/>
          <w:szCs w:val="16"/>
          <w:color w:val="auto"/>
        </w:rPr>
        <w:t>We are an “emerging growth company” and a “smaller reporting company” as defined under the federal securities laws and, as such, have elected to comply with certain reduced public company reporting requirements for this prospectus supplement and the documents incorporated by reference herein and may elect to comply with reduced public company reporting requirements in future filings. See “</w:t>
      </w:r>
      <w:r>
        <w:rPr>
          <w:rFonts w:ascii="Times New Roman" w:cs="Times New Roman" w:eastAsia="Times New Roman" w:hAnsi="Times New Roman"/>
          <w:sz w:val="16"/>
          <w:szCs w:val="16"/>
          <w:i w:val="1"/>
          <w:iCs w:val="1"/>
          <w:color w:val="auto"/>
        </w:rPr>
        <w:t>Prospectus Supplement Summary–Emerging Growth Company and a Smaller Reporting 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Status</w:t>
      </w:r>
      <w:r>
        <w:rPr>
          <w:rFonts w:ascii="Times New Roman" w:cs="Times New Roman" w:eastAsia="Times New Roman" w:hAnsi="Times New Roman"/>
          <w:sz w:val="16"/>
          <w:szCs w:val="16"/>
          <w:color w:val="auto"/>
        </w:rPr>
        <w:t>.”</w:t>
      </w:r>
    </w:p>
    <w:p>
      <w:pPr>
        <w:spacing w:after="0" w:line="183" w:lineRule="exact"/>
        <w:rPr>
          <w:sz w:val="24"/>
          <w:szCs w:val="24"/>
          <w:color w:val="auto"/>
        </w:rPr>
      </w:pPr>
    </w:p>
    <w:p>
      <w:pPr>
        <w:ind w:left="120" w:right="160" w:firstLine="440"/>
        <w:spacing w:after="0" w:line="271" w:lineRule="auto"/>
        <w:rPr>
          <w:sz w:val="20"/>
          <w:szCs w:val="20"/>
          <w:color w:val="auto"/>
        </w:rPr>
      </w:pPr>
      <w:r>
        <w:rPr>
          <w:rFonts w:ascii="Times New Roman" w:cs="Times New Roman" w:eastAsia="Times New Roman" w:hAnsi="Times New Roman"/>
          <w:sz w:val="16"/>
          <w:szCs w:val="16"/>
          <w:color w:val="auto"/>
        </w:rPr>
        <w:t>The aggregate market value of our common stock held by non-affiliates as of June 1, 2026 pursuant to General Instruction I.B.6 of Form S-3 is $17,932,668, which was calculated based on 9,589,662 shares of our common stock outstanding held by non-affiliates and at a price of $1.87 per share, the closing price of our common stock on May 29, 2026. As of the date hereof, we have offered and sold $3,113,883 of securities pursuant to General Instruction I.B.6 of Form S-3 during the prior 12 calendar month period that ends on and includes the date hereof. As a result of the limitations of General Instruction I.B.6 of Form S-3, and in accordance with the terms of the Sales Agreement, we are registering the offer and sale of shares of our common stock having an aggregate offering price of up to $2,800,000 from time to time through or to the Sales Agent.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142875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120" w:right="320" w:firstLine="4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under the section titled “Risk Factors” in this prospectus supplement, the accompanying prospectus and under similar headings in the documents that are incorporated by reference herein and therein before making a decision to invest in our common stock.</w:t>
      </w:r>
    </w:p>
    <w:p>
      <w:pPr>
        <w:spacing w:after="0" w:line="187" w:lineRule="exact"/>
        <w:rPr>
          <w:sz w:val="24"/>
          <w:szCs w:val="24"/>
          <w:color w:val="auto"/>
        </w:rPr>
      </w:pPr>
    </w:p>
    <w:p>
      <w:pPr>
        <w:ind w:left="120" w:right="22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196850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385445</wp:posOffset>
            </wp:positionV>
            <wp:extent cx="1448435"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8435" cy="47180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June 1, 2026.</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14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2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4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420" w:type="dxa"/>
            <w:vAlign w:val="bottom"/>
          </w:tcPr>
          <w:p>
            <w:pPr>
              <w:spacing w:after="0"/>
              <w:rPr>
                <w:sz w:val="24"/>
                <w:szCs w:val="24"/>
                <w:color w:val="auto"/>
              </w:rPr>
            </w:pPr>
          </w:p>
        </w:tc>
      </w:tr>
      <w:tr>
        <w:trPr>
          <w:trHeight w:val="408"/>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7"/>
        </w:trPr>
        <w:tc>
          <w:tcPr>
            <w:tcW w:w="34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100" w:type="dxa"/>
            <w:vAlign w:val="bottom"/>
            <w:gridSpan w:val="4"/>
          </w:tcPr>
          <w:p>
            <w:pPr>
              <w:spacing w:after="0"/>
              <w:rPr>
                <w:sz w:val="23"/>
                <w:szCs w:val="23"/>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2"/>
          </w:tcPr>
          <w:p>
            <w:pPr>
              <w:spacing w:after="0"/>
              <w:rPr>
                <w:sz w:val="17"/>
                <w:szCs w:val="17"/>
                <w:color w:val="auto"/>
              </w:rPr>
            </w:pPr>
          </w:p>
        </w:tc>
        <w:tc>
          <w:tcPr>
            <w:tcW w:w="526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4"/>
          </w:tcPr>
          <w:p>
            <w:pPr>
              <w:spacing w:after="0"/>
              <w:rPr>
                <w:sz w:val="17"/>
                <w:szCs w:val="17"/>
                <w:color w:val="auto"/>
              </w:rPr>
            </w:pPr>
          </w:p>
        </w:tc>
        <w:tc>
          <w:tcPr>
            <w:tcW w:w="322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196"/>
        </w:trPr>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0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196"/>
        </w:trPr>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20"/>
        </w:trPr>
        <w:tc>
          <w:tcPr>
            <w:tcW w:w="760" w:type="dxa"/>
            <w:vAlign w:val="bottom"/>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3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669"/>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4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420" w:type="dxa"/>
            <w:vAlign w:val="bottom"/>
          </w:tcPr>
          <w:p>
            <w:pPr>
              <w:spacing w:after="0"/>
              <w:rPr>
                <w:sz w:val="24"/>
                <w:szCs w:val="24"/>
                <w:color w:val="auto"/>
              </w:rPr>
            </w:pPr>
          </w:p>
        </w:tc>
      </w:tr>
      <w:tr>
        <w:trPr>
          <w:trHeight w:val="373"/>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54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4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32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46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4"/>
          </w:tcPr>
          <w:p>
            <w:pPr>
              <w:spacing w:after="0"/>
              <w:rPr>
                <w:sz w:val="17"/>
                <w:szCs w:val="17"/>
                <w:color w:val="auto"/>
              </w:rPr>
            </w:pPr>
          </w:p>
        </w:tc>
        <w:tc>
          <w:tcPr>
            <w:tcW w:w="322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2020" w:type="dxa"/>
            <w:vAlign w:val="bottom"/>
            <w:gridSpan w:val="6"/>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0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2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06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1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640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2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652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552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650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760" w:type="dxa"/>
            <w:vAlign w:val="bottom"/>
            <w:shd w:val="clear" w:color="auto" w:fill="0000EE"/>
          </w:tcPr>
          <w:p>
            <w:pPr>
              <w:spacing w:after="0" w:line="20" w:lineRule="exact"/>
              <w:rPr>
                <w:sz w:val="1"/>
                <w:szCs w:val="1"/>
                <w:color w:val="auto"/>
              </w:rPr>
            </w:pPr>
          </w:p>
        </w:tc>
        <w:tc>
          <w:tcPr>
            <w:tcW w:w="7780" w:type="dxa"/>
            <w:vAlign w:val="bottom"/>
            <w:gridSpan w:val="19"/>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5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4400" w:type="dxa"/>
            <w:vAlign w:val="bottom"/>
            <w:gridSpan w:val="17"/>
            <w:shd w:val="clear" w:color="auto" w:fill="0000EE"/>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3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This prospectus supplement is part of a shelf registration statement on Form S-3 that we filed with the Securities and Exchange Commission, or the SEC. This document is in two parts. This first part is this prospectus supplement, which describes the specific terms of the common stock we are offering and also adds to and updates information contained in the accompanying prospectus and the documents incorporated by reference therein. The second part is the accompanying prospectus, which provides more general information about securities we may offer from time to time, some of which does not apply to this offering.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herein or therein filed prior to the date of this prospectus supplement, you should rely on the information in this prospectus supplement; provided that if any statement in one of these documents is inconsistent with a statement in another document having a later date, the statement in the document having the later date modifies or supersedes the earlier statement.</w:t>
      </w:r>
    </w:p>
    <w:p>
      <w:pPr>
        <w:spacing w:after="0" w:line="188"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the accompanying prospectus or in any other prospectus supplement or free writing prospectus that we may authorize for use in connection with this offering. We have not, and the Sales Agent have not, authorized any other person to provide you with different information. If anyone provides you with different or inconsistent information, you should not rely on it. We are not, and the Sales Agent is not, making an offer to sell these securities in any jurisdiction where the offer or sale is not permitted. You should assume that the information appearing in this prospectus supplement, the accompanying prospectus, the documents incorporated by reference herein and therein, and in any free writing prospectus that we may authorize for use in connection with this offering, is accurate only as of the date of those respective documents. Our business, financial condition, results of operations and prospects may have changed since that date. You should read this prospectus supplement, the accompanying prospectus, the documents incorporated by reference herein and therein,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“Incorporation of Certain Documents by Reference” and “Where You Can Find More Information.”</w:t>
      </w:r>
    </w:p>
    <w:p>
      <w:pPr>
        <w:spacing w:after="0" w:line="192"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Information contained on our website is not part of this prospectus. We are offering to sell, and seeking offers to buy, shares of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89" w:lineRule="exact"/>
        <w:rPr>
          <w:sz w:val="20"/>
          <w:szCs w:val="20"/>
          <w:color w:val="auto"/>
        </w:rPr>
      </w:pPr>
    </w:p>
    <w:p>
      <w:pPr>
        <w:ind w:left="120" w:right="760" w:firstLine="991"/>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suggests otherwise, the terms “IN8bio, Inc.,” “the company,” “we,” “us,” “our” and similar references refer to IN8bio, Inc.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4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or incorporated by reference in this prospectus and does not contain all of the information that you need to consider in making your investment decision. You should carefully read the entire prospectus, including the risks of investing in our securities discussed under the sections titled “Risk Factors” contained in this prospectus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We are a leading clinical-stage biopharmaceutical company focused on the discovery, development and commercialization of gamma-delta T cellular therapy product candidates and gamma-delta T cell engagers, or TCEs, for cancer and autoimmune diseases. We develop ex vivo expanded and activated gamma-delta T cell candidates and TCEs based upon our deep expertise in gamma-delta T cell biology, proprietary genetic engineering, and cell-type specific manufacturing capabilities, which we refer to collectively as our DeltEx platform. Our platform employs allogeneic, autologous, induced pluripotent stem cell, or iPSC, and genetically modified cell therapy approaches, as well as TCEs that are designed to effectively identify and eradicate tumor or target cells. We believe we are the most clinically advanced gamma-delta T cell-focused company and we are utilizing our suite of DeltEx platform technologies to potentially eliminate cancer cells to achieve our mission we refer to as Cancer Zero — the safe elimination of all cancer cells in every patient battling the disease. To date, we have conducted two primary investigator-sponsored Phase 1 clinical trials evaluating our gamma-delta T cell technologies in cancer patients, which have both completed primary enrollment. INB-100 is assessing our DeltEx Allogeneic gamma-delta T cell therapy in adult patients with high-risk leukemias undergoing haploidentical stem cell transplantation, INB-200, evaluated our DeltEx Drug Resistant Immunotherapy in patients with newly diagnosed glioblastoma. Most recently we introduced INB-600, our proprietary, internally developed TCE platform. This platform represents a potentially revolutionary advancement in immunotherapy, harnessing the unique power of gamma-delta T cells through a differentiated mechanism intended to optimize effector function and targeted cytotoxicity. We also have a portfolio of preclinical programs within our DeltEx pipeline that currently remain paused in development due to financial market conditions and pipeline prioritization. These include INB-300, a targeted non-signaling gamma-delta T cell based chimeric antigen receptor construct, which is applicable to both solid and liquid tumors, and INB-500, which encompasses our ability to produce gamma-delta T cells from iPSCs. iPSCs represent a significant step toward next generation approaches of cellular manufacturing for true allogeneic and potentially “off-the-shelf” innate cellular therapies.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00" w:firstLine="426"/>
        <w:spacing w:after="0" w:line="254" w:lineRule="auto"/>
        <w:rPr>
          <w:sz w:val="20"/>
          <w:szCs w:val="20"/>
          <w:color w:val="auto"/>
        </w:rPr>
      </w:pPr>
      <w:r>
        <w:rPr>
          <w:rFonts w:ascii="Times New Roman" w:cs="Times New Roman" w:eastAsia="Times New Roman" w:hAnsi="Times New Roman"/>
          <w:sz w:val="18"/>
          <w:szCs w:val="18"/>
          <w:color w:val="auto"/>
        </w:rPr>
        <w:t>Incysus, Ltd. was incorporated in Bermuda on February 8, 2016. On May 7, 2018, Incysus, Ltd. reincorporated in the United States in a domestication transaction in which Incysus, Ltd. converted into a newly formed Delaware corporation, Incysus Therapeutics, Inc. Upon the domestication, each Class A share of Incysus, Ltd. was automatically converted into one share of common stock of Incysus Therapeutics, Inc. and each Class B share of Incysus, Ltd. was automatically cancelled and did not convert into any shares of any class of capital stock of Incysus Therapeutics, Inc. In August 2020, we amended our certificate of incorporation, as amended, to change our name to IN8bio, Inc. Our principal executive offices are located at 350 5th Avenue, Suite 5330, New York, New York 10118, and our telephone number is (646) 600-6438. Our corporate website address is www.in8bio.com. Information contained on, or accessible through, our website is not a part of this prospectus. We have included our website in this prospectus solely as an inactive textual reference.</w:t>
      </w:r>
    </w:p>
    <w:p>
      <w:pPr>
        <w:spacing w:after="0" w:line="192"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“IN8BIO,” “INEIGHTBIO,” the IN8BIO logo, DeltEx and other trademarks, trade names or service marks of IN8bio, Inc. appearing in this prospectus are the property of IN8bio, Inc. All other trademarks, trade names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1733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1733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spacing w:after="0" w:line="224" w:lineRule="auto"/>
        <w:rPr>
          <w:sz w:val="20"/>
          <w:szCs w:val="20"/>
          <w:color w:val="auto"/>
        </w:rPr>
      </w:pPr>
      <w:r>
        <w:rPr>
          <w:rFonts w:ascii="Times New Roman" w:cs="Times New Roman" w:eastAsia="Times New Roman" w:hAnsi="Times New Roman"/>
          <w:sz w:val="18"/>
          <w:szCs w:val="18"/>
          <w:color w:val="auto"/>
        </w:rPr>
        <w:t xml:space="preserve">and service marks appearing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their rights thereto.</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left="300" w:right="300" w:firstLine="426"/>
        <w:spacing w:after="0" w:line="261" w:lineRule="auto"/>
        <w:rPr>
          <w:sz w:val="20"/>
          <w:szCs w:val="20"/>
          <w:color w:val="auto"/>
        </w:rPr>
      </w:pPr>
      <w:r>
        <w:rPr>
          <w:rFonts w:ascii="Times New Roman" w:cs="Times New Roman" w:eastAsia="Times New Roman" w:hAnsi="Times New Roman"/>
          <w:sz w:val="18"/>
          <w:szCs w:val="18"/>
          <w:color w:val="auto"/>
        </w:rPr>
        <w:t>We qualify as an EGC, as defined in the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180"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until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spacing w:after="0" w:line="189" w:lineRule="exact"/>
        <w:rPr>
          <w:sz w:val="20"/>
          <w:szCs w:val="20"/>
          <w:color w:val="auto"/>
        </w:rPr>
      </w:pPr>
    </w:p>
    <w:p>
      <w:pPr>
        <w:ind w:left="300" w:right="60" w:firstLine="426"/>
        <w:spacing w:after="0" w:line="255" w:lineRule="auto"/>
        <w:rPr>
          <w:sz w:val="20"/>
          <w:szCs w:val="20"/>
          <w:color w:val="auto"/>
        </w:rPr>
      </w:pPr>
      <w:r>
        <w:rPr>
          <w:rFonts w:ascii="Times New Roman" w:cs="Times New Roman" w:eastAsia="Times New Roman" w:hAnsi="Times New Roman"/>
          <w:sz w:val="18"/>
          <w:szCs w:val="18"/>
          <w:color w:val="auto"/>
        </w:rPr>
        <w:t>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financial statements may not be directly comparable to those of other public companies.</w:t>
      </w:r>
    </w:p>
    <w:p>
      <w:pPr>
        <w:spacing w:after="0" w:line="189"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was less than $700 million at the closing of the IPO and our annual revenue for 2021 was less than $100 million.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80"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and, similar to EGCs, smaller reporting companies have reduced disclosure obligations regarding executive compensation.</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66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766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41"/>
        </w:trPr>
        <w:tc>
          <w:tcPr>
            <w:tcW w:w="3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766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9"/>
              </w:rPr>
              <w:t>Shares of our common stock, par value $0.0001 per share, with an aggregate sale price of up</w:t>
            </w:r>
          </w:p>
        </w:tc>
      </w:tr>
      <w:tr>
        <w:trPr>
          <w:trHeight w:val="234"/>
        </w:trPr>
        <w:tc>
          <w:tcPr>
            <w:tcW w:w="1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6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 $2,800,000.</w:t>
            </w:r>
          </w:p>
        </w:tc>
      </w:tr>
    </w:tbl>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Common stock to be outstanding after this offering</w:t>
      </w:r>
      <w:r>
        <w:rPr>
          <w:sz w:val="20"/>
          <w:szCs w:val="20"/>
          <w:color w:val="auto"/>
        </w:rPr>
        <w:tab/>
      </w:r>
      <w:r>
        <w:rPr>
          <w:rFonts w:ascii="Times New Roman" w:cs="Times New Roman" w:eastAsia="Times New Roman" w:hAnsi="Times New Roman"/>
          <w:sz w:val="18"/>
          <w:szCs w:val="18"/>
          <w:color w:val="auto"/>
        </w:rPr>
        <w:t>Up to 11,344,415 shares, assuming the sale of 1,497,326 shares of our common stock in this</w:t>
      </w:r>
    </w:p>
    <w:p>
      <w:pPr>
        <w:spacing w:after="0" w:line="31" w:lineRule="exact"/>
        <w:rPr>
          <w:sz w:val="20"/>
          <w:szCs w:val="20"/>
          <w:color w:val="auto"/>
        </w:rPr>
      </w:pPr>
    </w:p>
    <w:p>
      <w:pPr>
        <w:ind w:left="4300" w:right="100"/>
        <w:spacing w:after="0" w:line="255" w:lineRule="auto"/>
        <w:rPr>
          <w:sz w:val="20"/>
          <w:szCs w:val="20"/>
          <w:color w:val="auto"/>
        </w:rPr>
      </w:pPr>
      <w:r>
        <w:rPr>
          <w:rFonts w:ascii="Times New Roman" w:cs="Times New Roman" w:eastAsia="Times New Roman" w:hAnsi="Times New Roman"/>
          <w:sz w:val="18"/>
          <w:szCs w:val="18"/>
          <w:color w:val="auto"/>
        </w:rPr>
        <w:t>offering at a public offering price of $1.87 per share, which was the last reported sale price of our common stock on the Nasdaq Capital Market on May 29, 2026. The actual number of shares issued will vary depending on the sales price under this offering.</w:t>
      </w:r>
    </w:p>
    <w:p>
      <w:pPr>
        <w:sectPr>
          <w:pgSz w:w="11900" w:h="16838" w:orient="portrait"/>
          <w:cols w:equalWidth="0" w:num="1">
            <w:col w:w="11120"/>
          </w:cols>
          <w:pgMar w:left="320" w:top="446" w:right="459" w:bottom="1440" w:gutter="0" w:footer="0" w:header="0"/>
        </w:sectPr>
      </w:pPr>
    </w:p>
    <w:p>
      <w:pPr>
        <w:spacing w:after="0" w:line="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 market offering” that may be made from time to time through or to the Sales Agent.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on page 13.</w:t>
      </w:r>
    </w:p>
    <w:p>
      <w:pPr>
        <w:spacing w:after="0" w:line="108" w:lineRule="exact"/>
        <w:rPr>
          <w:sz w:val="20"/>
          <w:szCs w:val="20"/>
          <w:color w:val="auto"/>
        </w:rPr>
      </w:pPr>
    </w:p>
    <w:p>
      <w:pPr>
        <w:sectPr>
          <w:pgSz w:w="11900" w:h="16838" w:orient="portrait"/>
          <w:cols w:equalWidth="0" w:num="2">
            <w:col w:w="3580" w:space="720"/>
            <w:col w:w="6820"/>
          </w:cols>
          <w:pgMar w:left="320" w:top="446"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60"/>
        <w:spacing w:after="0" w:line="284" w:lineRule="auto"/>
        <w:rPr>
          <w:sz w:val="20"/>
          <w:szCs w:val="20"/>
          <w:color w:val="auto"/>
        </w:rPr>
      </w:pPr>
      <w:r>
        <w:rPr>
          <w:rFonts w:ascii="Times New Roman" w:cs="Times New Roman" w:eastAsia="Times New Roman" w:hAnsi="Times New Roman"/>
          <w:sz w:val="18"/>
          <w:szCs w:val="18"/>
          <w:color w:val="auto"/>
        </w:rPr>
        <w:t>We intend to use the net proceeds from this offering, if any, as described in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on page 11.</w:t>
      </w:r>
    </w:p>
    <w:p>
      <w:pPr>
        <w:spacing w:after="0" w:line="62" w:lineRule="exact"/>
        <w:rPr>
          <w:sz w:val="20"/>
          <w:szCs w:val="20"/>
          <w:color w:val="auto"/>
        </w:rPr>
      </w:pPr>
    </w:p>
    <w:p>
      <w:pPr>
        <w:sectPr>
          <w:pgSz w:w="11900" w:h="16838" w:orient="portrait"/>
          <w:cols w:equalWidth="0" w:num="2">
            <w:col w:w="3580" w:space="720"/>
            <w:col w:w="6820"/>
          </w:cols>
          <w:pgMar w:left="320" w:top="446"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8"/>
          <w:szCs w:val="18"/>
          <w:color w:val="auto"/>
        </w:rPr>
        <w:t>Investment in our securities involves a high degree of risk. You should read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prospectus supplement, the accompanying prospectus and in the documents incorporated by reference herein and therein for a discussion of factors to consider before deciding to purchase shares of our common stock.</w:t>
      </w:r>
    </w:p>
    <w:p>
      <w:pPr>
        <w:spacing w:after="0" w:line="83" w:lineRule="exact"/>
        <w:rPr>
          <w:sz w:val="20"/>
          <w:szCs w:val="20"/>
          <w:color w:val="auto"/>
        </w:rPr>
      </w:pPr>
    </w:p>
    <w:p>
      <w:pPr>
        <w:sectPr>
          <w:pgSz w:w="11900" w:h="16838" w:orient="portrait"/>
          <w:cols w:equalWidth="0" w:num="2">
            <w:col w:w="3580" w:space="720"/>
            <w:col w:w="6820"/>
          </w:cols>
          <w:pgMar w:left="320" w:top="446"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Nasdaq Capital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“INAB”</w:t>
      </w:r>
    </w:p>
    <w:p>
      <w:pPr>
        <w:spacing w:after="0" w:line="200" w:lineRule="exact"/>
        <w:rPr>
          <w:sz w:val="20"/>
          <w:szCs w:val="20"/>
          <w:color w:val="auto"/>
        </w:rPr>
      </w:pPr>
    </w:p>
    <w:p>
      <w:pPr>
        <w:sectPr>
          <w:pgSz w:w="11900" w:h="16838" w:orient="portrait"/>
          <w:cols w:equalWidth="0" w:num="2">
            <w:col w:w="3580" w:space="720"/>
            <w:col w:w="6820"/>
          </w:cols>
          <w:pgMar w:left="320" w:top="446" w:right="459" w:bottom="1440" w:gutter="0" w:footer="0" w:header="0"/>
          <w:type w:val="continuous"/>
        </w:sectPr>
      </w:pPr>
    </w:p>
    <w:p>
      <w:pPr>
        <w:spacing w:after="0" w:line="3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number of our shares of common stock outstanding after this offering is based on 9,847,089 shares of common stock outstanding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31, 2026, and excludes:</w:t>
      </w:r>
    </w:p>
    <w:p>
      <w:pPr>
        <w:spacing w:after="0" w:line="112" w:lineRule="exact"/>
        <w:rPr>
          <w:sz w:val="20"/>
          <w:szCs w:val="20"/>
          <w:color w:val="auto"/>
        </w:rPr>
      </w:pPr>
    </w:p>
    <w:p>
      <w:pPr>
        <w:ind w:left="1080" w:right="4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988,267 shares of our common stock issuable upon the exercise of outstanding stock options as of March 31, 2026, with a weighted-average exercise price of $26.56 per share;</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9,620,002 shares of our common stock issuable upon the exercise of outstanding pre-funded warrants as of March 31, 2026, with a weighted-average exercise price of $0.0001 per share;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995,827 shares of our common stock issuable upon the exercise of outstanding Series B warrants and Series C warrants as of March 31, 2026, with a weighted-average exercise price of $9.01 per share;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2,473,512 shares of our common stock reserved for future issuance under our Amended and Restated 2026 Equity Incentive Plan, plus any future increases in the number of shares of common stock reserved for issuance;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312" w:lineRule="auto"/>
        <w:tabs>
          <w:tab w:leader="none" w:pos="10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26,260 shares of our common stock reserved for future issuance under our 2020 Employee Stock Purchase Plan, plus any future increases, including annual automatic evergreen increases, in the number of shares of common stock reserved for issuance under our ESPP.</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20"/>
          </w:cols>
          <w:pgMar w:left="320" w:top="446" w:right="4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described below and discussed under the section titled “Risk Factors” contained in our most recent Annual Report on Form 10-K and in our most recent Quarterly Report on Form 10-Q, as updated by our subsequent filings under the Securities Exchange Act of 1934, as amended, or the Exchange Act, each of which is incorporated by reference in this prospectus supplement in their entirety, together with other information in this prospectus supplement, the accompanying prospectus, the documents incorporated by reference herein and therein, and any free writing prospectus that we have authorized for use in connection with this offering before you make a decision to invest in our common stock.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common stock to decline, resulting in a loss of all or part of your investment.</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Please also read carefully the section below titled “Special Note Regarding Forward-Looking Statements.”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Risks Relating to the Offering</w:t>
      </w:r>
    </w:p>
    <w:p>
      <w:pPr>
        <w:spacing w:after="0" w:line="11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this offering. We intend to use the net proceeds from this offering, if any, for clinical development of our product candidates and for working capital and other general corporate purposes. We may also use a portion of the net proceeds from this offering to in-license, acquire or invest in complementary businesses, technologies, products or assets. Although we currently have no agreements, commitments or obligations to do so, we evaluate such opportunities and engage in related discussions with third parties from time to time.</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the sales agreement, or the gross proceeds resulting from those sales.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instruction to the Sales Agent to sell shares of our common stock at any time throughout the term of the sales agreement. The number of shares that are sold through or to the Sales Agent, if any, after our</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60"/>
          </w:cols>
          <w:pgMar w:left="320" w:top="455"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instruction will fluctuate based on a number of factors, including the market price of our common stock during the sales period, the limits we set with the Sales Agent in any instruction to sell shares, and the demand for our common stock during the sales period. Because the price per share of each share sold will fluctuate during this offering, it is not currently possible to predict the number of shares that will be sold or the gross proceeds to be raised in connection with those sales.</w:t>
      </w:r>
    </w:p>
    <w:p>
      <w:pPr>
        <w:spacing w:after="0" w:line="28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they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the documents incorporated by reference herein and therein, and any free writing prospectus that we have authorized for use in connection with this offering, contain “forward-looking statements” within the meaning of Section 27A of the Securities Act of 1933, as amended, or the Securities Act, and Section 21E of the Securities Exchange Act of 1934, as amended, or the Exchange Act.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94"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the substantial doubt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our research and development programs;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advantage of abbreviated regulatory pathways for any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or in-license additional product candidates on reasonable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or obtain additional funding;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of our current and future product candidates, including our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file investigational new drug applications to commence additional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rate and degree of market acceptance of such product candidates;</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clinical trials of our product candidates, and for the manufacture of our product candidates for preclinical studies and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the duration of our patent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payor coverage and reimbursement;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markets we serve;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operations, laws and regulations and liabilities thereunder;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hire additional personnel and our ability to attract and retain such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current government shutdown, international tariffs, public health crises and geopolitical tensions, such as the Russia-Ukraine and Israel-Hamas wars, on our business, our industry and the economy;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contribute to eliminate cancer and achieve cancer-free status in any or all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impact our financial results;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this offering.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All statements other than statements of historical facts contained in this prospectus, including statements regarding our future financial condition, business strategy and plans, and objectives of management for future operations, are forward-looking statements. In some cases, you can identify forward-looking statements by words such as “anticipate,” “believe,” “continue,” “could,” “design,” “estimate,” “expect,” “intend,” “may,” “plan,” “potentially,” “predict,” “should,” “will” or the negative of these terms or other similar expressions. These statements reflect our current views with respect to future events and are based on assumptions and are subject to risks and uncertainties. Given these uncertainties, you should not place undue reliance on these forward-looking statements.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discuss in greater detail many of these risks under the section titled “Risk Factors” contained in this prospectus, in any free writing prospectuses we may authorize for use in connection with a specific offering, and in our most recent Annual Report on Form 10-K and in our most recent Quarterly Report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evaluating such forward-looking statements, you should consider various factors, including specifically the risks outlined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this prospectus supplement, the accompanying prospectus supplement, the documents incorporated by reference herein or therein and any related free writing prospectus, and in our most recent Annual Report on Form 10-K and any Quarterly Report on Form 10-Q or Current Report on Form 8-K we subsequently file with the SEC. The discussion of risks and uncertainties set forth in those filings is not necessarily a complete or exhaustive list of all risks facing us at any particular point in time. As a result of these factors, we cannot assure you that the forward-looking statements contained in or incorporated by reference into these documents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Forward-looking statements represent our estimates and assumptions only as of the date such forward-looking statements are made.</w:t>
      </w:r>
    </w:p>
    <w:p>
      <w:pPr>
        <w:spacing w:after="0" w:line="192"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the documents incorporated by reference herein or therein and any free writing prospectus prepared by or on behalf of us or to which we have referred you completely and with the understanding that our actual future results may be materially different from what we expect. We qualify all of the forward-looking statements in the foregoing documents by these cautionary statements.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amount of proceeds from this offering will depend upon the number of shares of our common stock sold and the market price at which they are sold. There can be no assurance that we will be able to sell any shares under or fully utilize the Sales Agreement with the Sales Agent as a source of financing.</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if any, for clinical development of our product candidates and for working capital and other general corporate purposes. We may also use a portion of the net proceeds from this offering to in-license, acquire or invest in complementary businesses, technologies, products or assets. Although we currently have no agreements, commitments or obligations to do so, we evaluate such opportunities and engage in related discussions with third parties from time to time.</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40"/>
          </w:cols>
          <w:pgMar w:left="320" w:top="455" w:right="5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the Sales Agreement with Jones, under which we may issue and sell from time to time up to $2,800,000 of our common stock. Upon delivery of a placement notice and subject to the terms and conditions of the Sales Agreement, the Sales Agent may offer and sell shares of our common stock by any method permitted by law deemed to be an “at the market offering” as defined in Rule 415(a)(4) promulgated under the Securities Act. We may instruct the Sales Agent not to sell common stock if the sales cannot be effected at or above the price designated by us from time to time. We or the Sales Agent may suspend the offering of common stock upon notice and subject to other conditions.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will pay the Sales Agent commissions, in cash, for their services in acting as agents or principals in the sale of our common stock. The Sales Agent are entitled to compensation at a commission rate of 3.0% of the gross sales price per share sold under the Sales Agreement. Because there is no minimum offering amount required as a condition to close this offering, the actual total public offering amount, commissions and proceeds to us, if any, are not determinable at this time. We have also agreed to reimburse the Sales Agent for certain specified expenses, including the reasonable and documented fees and disbursements of its legal counsel in an amount not to exceed $75,000 in connection with the filing of the Sales Agreement with the SEC and $15,000 per calendar quarter thereafter in connection with any updates at the time of certain filings as described in the Sales Agreement. We estimate that the total expenses for the offering under this prospectus, excluding compensation and reimbursements payable to the Sales Agent under the terms of the Sales Agreement, will be approximately $200,000.</w:t>
      </w:r>
    </w:p>
    <w:p>
      <w:pPr>
        <w:spacing w:after="0" w:line="19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Settlement for sales of shares of common stock will occur on the second business day following the date on which any sales are made, or on some other date that is agreed upon by us and the Sales Agent in connection with a particular transaction, in return for payment of the net proceeds to us. Sales of our common stock as contemplated in this prospectus supplement will be settled through the facilities of The Depository Trust Company or by such other means as we and the Sales Agent may agree upon. There is no arrangement for funds to be received in an escrow, trust or similar arrangement.</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Sales Agent will use its commercially reasonable efforts, consistent with its sales and trading practices, to solicit offers to purchase the shares of common stock under the terms and subject to the conditions set forth in the Sales Agreement. In connection with the sale of the shares of common stock on our behalf, the Sales Agent will be deemed to be an “underwriter” within the meaning of the Securities Act and the compensation of the Sales Agent will be deemed to be underwriting commissions or discounts. We have agreed to provide indemnification and contribution to the Sales Agent (and its partners, members, directors, officers, employees and agents) against certain civil liabilities, including liabilities under the Securities Act.</w:t>
      </w:r>
    </w:p>
    <w:p>
      <w:pPr>
        <w:spacing w:after="0" w:line="183"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This offering of shares of our common stock pursuant to the Sales Agreement will terminate upon the termination or expiration of the Sales Agreement as permitted therein.</w:t>
      </w:r>
    </w:p>
    <w:p>
      <w:pPr>
        <w:spacing w:after="0" w:line="162" w:lineRule="exact"/>
        <w:rPr>
          <w:sz w:val="20"/>
          <w:szCs w:val="20"/>
          <w:color w:val="auto"/>
        </w:rPr>
      </w:pPr>
    </w:p>
    <w:p>
      <w:pPr>
        <w:jc w:val="both"/>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The Sales Agent and its affiliates may in the future provide various investment banking, commercial banking and other financial services for us, our subsidiaries and our affiliates, for which services they may in the future receive customary fees. To the extent required by Regulation M, the Sales Agent will not engage in any market making activities involving our common stock while the offering is ongoing under this prospectus supplement.</w:t>
      </w:r>
    </w:p>
    <w:p>
      <w:pPr>
        <w:spacing w:after="0" w:line="158"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in electronic format may be made available on a website maintained by the Sales Agent and the Sales Agent may distribute this prospectus supplement electronically.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Cooley LLP will pass upon the validity of the shares of common stock offered hereby. As of the date of this prospectus supplement, partners of Cooley LLP and GC&amp;H Investments and GC&amp;H Investments, LLC, each an entity that is comprised of partners and associates of Cooley LLP, beneficially own an aggregate of 5,797 shares of our common stock. Jones is being represented in connection with this offering by Duane Morris LLP, New York, New York.</w:t>
      </w:r>
    </w:p>
    <w:p>
      <w:pPr>
        <w:spacing w:after="0" w:line="39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IN8bio, Inc. for the two years ended December 31, 2025 have been audited by CohnReznick LLP, independent registered public accounting firm, as set forth in their report thereon appearing in IN8bio, Inc’s Annual Report on Form 10-K for the year ended December 31, 2025, and incorporated by reference herein. Such financial statements are incorporated by reference herein in reliance upon such report, which includes an explanatory paragraph on IN8bio, Inc’s ability to continue as a going concern, given on the authority of such firm as experts in accounting and auditing.</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940"/>
          </w:cols>
          <w:pgMar w:left="320" w:top="455" w:right="6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We have filed with the SEC a registration statement on Form S-3 under the Securities Act with respect to the common stock we are offering under this prospectus supplement. This prospectus supplement does not contain all of the information set forth or incorporated by reference in the registration statement and the exhibits to the registration statement. For further information with respect to us and the securities we are offering under this prospectus supplement, we refer you to the registration statement and the exhibits and schedules filed as a part of the registration statement. 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the Investor Relations section of our website. These filings will be available as soon as reasonably practicable after we electronically file such material with, or furnish it to, the SEC. Our website address is </w:t>
      </w:r>
      <w:r>
        <w:rPr>
          <w:rFonts w:ascii="Times New Roman" w:cs="Times New Roman" w:eastAsia="Times New Roman" w:hAnsi="Times New Roman"/>
          <w:sz w:val="18"/>
          <w:szCs w:val="18"/>
          <w:i w:val="1"/>
          <w:iCs w:val="1"/>
          <w:color w:val="auto"/>
        </w:rPr>
        <w:t>www.in8bio.com</w:t>
      </w:r>
      <w:r>
        <w:rPr>
          <w:rFonts w:ascii="Times New Roman" w:cs="Times New Roman" w:eastAsia="Times New Roman" w:hAnsi="Times New Roman"/>
          <w:sz w:val="18"/>
          <w:szCs w:val="18"/>
          <w:color w:val="auto"/>
        </w:rPr>
        <w:t>. Information contained on or accessible through our website is not a part of this prospectus supplement and is not incorporated by reference herein, and the inclusion of our website address in this prospectus supplement is an inactive textual reference only.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the information or documents listed below that we have filed with the SEC (Commission File No. 001-39692):</w:t>
      </w:r>
    </w:p>
    <w:p>
      <w:pPr>
        <w:spacing w:after="0" w:line="93"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12, 2026;</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31">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filed with the SEC on March 26, 2026 (excluding those portions that are not incorporated by reference into our Annual Report on Form 10-K for the fiscal year ended December 31, 2025);</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7,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33">
        <w:r>
          <w:rPr>
            <w:rFonts w:ascii="Times New Roman" w:cs="Times New Roman" w:eastAsia="Times New Roman" w:hAnsi="Times New Roman"/>
            <w:sz w:val="18"/>
            <w:szCs w:val="18"/>
            <w:u w:val="single" w:color="auto"/>
            <w:color w:val="0000EE"/>
          </w:rPr>
          <w:t>February 9, 2026</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February 27,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5">
        <w:r>
          <w:rPr>
            <w:rFonts w:ascii="Times New Roman" w:cs="Times New Roman" w:eastAsia="Times New Roman" w:hAnsi="Times New Roman"/>
            <w:sz w:val="18"/>
            <w:szCs w:val="18"/>
            <w:u w:val="single" w:color="auto"/>
            <w:color w:val="0000EE"/>
          </w:rPr>
          <w:t>May 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as described in </w:t>
      </w:r>
      <w:hyperlink r:id="rId36">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12, 2026, including any amendments or reports filed for the purpose of updating this description.</w:t>
      </w:r>
    </w:p>
    <w:p>
      <w:pPr>
        <w:spacing w:after="0" w:line="162" w:lineRule="exact"/>
        <w:rPr>
          <w:rFonts w:ascii="Times New Roman" w:cs="Times New Roman" w:eastAsia="Times New Roman" w:hAnsi="Times New Roman"/>
          <w:sz w:val="18"/>
          <w:szCs w:val="18"/>
          <w:color w:val="auto"/>
        </w:rPr>
      </w:pPr>
    </w:p>
    <w:p>
      <w:pPr>
        <w:jc w:val="both"/>
        <w:ind w:left="120" w:right="440" w:firstLine="440"/>
        <w:spacing w:after="0" w:line="312" w:lineRule="auto"/>
        <w:rPr>
          <w:sz w:val="20"/>
          <w:szCs w:val="20"/>
          <w:color w:val="auto"/>
        </w:rPr>
      </w:pPr>
      <w:r>
        <w:rPr>
          <w:rFonts w:ascii="Times New Roman" w:cs="Times New Roman" w:eastAsia="Times New Roman" w:hAnsi="Times New Roman"/>
          <w:sz w:val="17"/>
          <w:szCs w:val="17"/>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 supplement.</w:t>
      </w:r>
    </w:p>
    <w:p>
      <w:pPr>
        <w:spacing w:after="0" w:line="140" w:lineRule="exact"/>
        <w:rPr>
          <w:rFonts w:ascii="Times New Roman" w:cs="Times New Roman" w:eastAsia="Times New Roman" w:hAnsi="Times New Roman"/>
          <w:sz w:val="18"/>
          <w:szCs w:val="18"/>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all documents (other than current reports furnished under Item 2.02 or Item 7.01 of Form 8-K and exhibits filed on such form that are related to such items) that are filed by us with the SEC pursuant to Sections 13(a), 13(c), 14 or 15(d) of the Exchange Act, including those made after the date</w:t>
      </w:r>
    </w:p>
    <w:p>
      <w:pPr>
        <w:spacing w:after="0" w:line="176" w:lineRule="exact"/>
        <w:rPr>
          <w:rFonts w:ascii="Times New Roman" w:cs="Times New Roman" w:eastAsia="Times New Roman" w:hAnsi="Times New Roman"/>
          <w:sz w:val="18"/>
          <w:szCs w:val="18"/>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supplement is delivered, without charge upon written or oral request, a copy of any or all of the documents that are incorporated by reference into this prospectus supplement but not delivered with the prospectus supplement, including exhibits that are specifically incorporated by reference into such documents. You should direct any requests for documents to IN8bio, Inc., Attn: Patrick McCall, Corporate Secretary, 350 5th Avenue, Suite 5330, New York, New York 10118; telephone: (646) 600-6438.</w:t>
      </w:r>
    </w:p>
    <w:p>
      <w:pPr>
        <w:spacing w:after="0" w:line="116"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739140</wp:posOffset>
            </wp:positionV>
            <wp:extent cx="1474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104775</wp:posOffset>
            </wp:positionV>
            <wp:extent cx="1234440" cy="488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3444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Rights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74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3" w:lineRule="exact"/>
        <w:rPr>
          <w:sz w:val="20"/>
          <w:szCs w:val="20"/>
          <w:color w:val="auto"/>
        </w:rPr>
      </w:pPr>
    </w:p>
    <w:p>
      <w:pPr>
        <w:ind w:left="120" w:right="20"/>
        <w:spacing w:after="0" w:line="241" w:lineRule="auto"/>
        <w:rPr>
          <w:sz w:val="20"/>
          <w:szCs w:val="20"/>
          <w:color w:val="auto"/>
        </w:rPr>
      </w:pPr>
      <w:r>
        <w:rPr>
          <w:rFonts w:ascii="Times New Roman" w:cs="Times New Roman" w:eastAsia="Times New Roman" w:hAnsi="Times New Roman"/>
          <w:sz w:val="14"/>
          <w:szCs w:val="14"/>
          <w:color w:val="auto"/>
        </w:rPr>
        <w:t>From time to time, we may offer and sell up to an aggregate amount of $200,000,000 of any combination of the securities described in this prospectus, either individually or in combination, at prices and on terms described in one or more supplements to this prospectus. We may also offer common stock or preferred stock upon conversion of debt securities, or common stock upon conversion of preferred stock, or common stock, preferred stock or debt securities upon exercise of warrants.</w:t>
      </w:r>
    </w:p>
    <w:p>
      <w:pPr>
        <w:spacing w:after="0" w:line="69" w:lineRule="exact"/>
        <w:rPr>
          <w:sz w:val="20"/>
          <w:szCs w:val="20"/>
          <w:color w:val="auto"/>
        </w:rPr>
      </w:pPr>
    </w:p>
    <w:p>
      <w:pPr>
        <w:ind w:left="120" w:right="140"/>
        <w:spacing w:after="0" w:line="236" w:lineRule="auto"/>
        <w:rPr>
          <w:sz w:val="20"/>
          <w:szCs w:val="20"/>
          <w:color w:val="auto"/>
        </w:rPr>
      </w:pPr>
      <w:r>
        <w:rPr>
          <w:rFonts w:ascii="Times New Roman" w:cs="Times New Roman" w:eastAsia="Times New Roman" w:hAnsi="Times New Roman"/>
          <w:sz w:val="14"/>
          <w:szCs w:val="14"/>
          <w:color w:val="auto"/>
        </w:rPr>
        <w:t>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spacing w:after="0" w:line="69" w:lineRule="exact"/>
        <w:rPr>
          <w:sz w:val="20"/>
          <w:szCs w:val="20"/>
          <w:color w:val="auto"/>
        </w:rPr>
      </w:pPr>
    </w:p>
    <w:p>
      <w:pPr>
        <w:ind w:left="120" w:right="40"/>
        <w:spacing w:after="0" w:line="236" w:lineRule="auto"/>
        <w:rPr>
          <w:sz w:val="20"/>
          <w:szCs w:val="20"/>
          <w:color w:val="auto"/>
        </w:rPr>
      </w:pPr>
      <w:r>
        <w:rPr>
          <w:rFonts w:ascii="Times New Roman" w:cs="Times New Roman" w:eastAsia="Times New Roman" w:hAnsi="Times New Roman"/>
          <w:sz w:val="14"/>
          <w:szCs w:val="14"/>
          <w:color w:val="auto"/>
        </w:rPr>
        <w:t>The securities may be sold directly by us to investors, through agents designated from time to time or to or through underwriters or dealers, on a continuous or delayed basis. For additional information on the methods of sale, you should refer to the section titled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in this prospectus. If any agents or underwriters are involved in the sale of any shares of our securities with respect to which this prospectus is being delivered, the names of such agents or underwriters and any applicable fees, commissions, discounts and overallotment options will be set forth in a prospectus supplement. The price to the public of such securities and the net proceeds we expect to receive from such sale will also be set forth in a prospectus supplement.</w:t>
      </w:r>
    </w:p>
    <w:p>
      <w:pPr>
        <w:spacing w:after="0" w:line="69" w:lineRule="exact"/>
        <w:rPr>
          <w:sz w:val="20"/>
          <w:szCs w:val="20"/>
          <w:color w:val="auto"/>
        </w:rPr>
      </w:pPr>
    </w:p>
    <w:p>
      <w:pPr>
        <w:ind w:left="120" w:right="280"/>
        <w:spacing w:after="0" w:line="241" w:lineRule="auto"/>
        <w:rPr>
          <w:sz w:val="20"/>
          <w:szCs w:val="20"/>
          <w:color w:val="auto"/>
        </w:rPr>
      </w:pPr>
      <w:r>
        <w:rPr>
          <w:rFonts w:ascii="Times New Roman" w:cs="Times New Roman" w:eastAsia="Times New Roman" w:hAnsi="Times New Roman"/>
          <w:sz w:val="14"/>
          <w:szCs w:val="14"/>
          <w:color w:val="auto"/>
        </w:rPr>
        <w:t>Our common stock is listed on the Nasdaq Capital Market under the trading symbol “INAB.” On May 15, 2026, the last reported sale price of our common stock was $1.49 per share. The applicable prospectus supplement will contain information, where applicable, as to other listings, if any, on the Nasdaq Capital Market or any securities market or other exchange of the securities covered by the applicable prospectus supplement.</w:t>
      </w:r>
    </w:p>
    <w:p>
      <w:pPr>
        <w:spacing w:after="0" w:line="69"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4"/>
          <w:szCs w:val="14"/>
          <w:color w:val="auto"/>
        </w:rPr>
        <w:t>The aggregate market value of our common stock held by non-affiliates as of May 15, 2026 pursuant to General Instruction I.B.6 of Form S-3 is $17,631,022, which was calculated based on 8,815,511 shares of our common stock outstanding held by non-affiliates and at a price of $2.00 per share, the closing price of our common stock on March 20, 2026. As of the date hereof, we have offered and sold $4,959,074 of securities pursuant to General Instruction I.B.6 of Form S-3 during the prior 12 calendar month period that ends on and includes the date hereof. Pursuant to General Instruction I.B.6 of Form S-3, in no event will we sell securities registered on the registration statement of which this prospectus is a part in a public primary offering with a value exceeding more than one-third of our public float in any 12-month period so long as our public float remains below $75.0 million.</w:t>
      </w:r>
    </w:p>
    <w:p>
      <w:pPr>
        <w:spacing w:after="0" w:line="69" w:lineRule="exact"/>
        <w:rPr>
          <w:sz w:val="20"/>
          <w:szCs w:val="20"/>
          <w:color w:val="auto"/>
        </w:rPr>
      </w:pPr>
    </w:p>
    <w:p>
      <w:pPr>
        <w:ind w:left="120" w:right="300"/>
        <w:spacing w:after="0" w:line="236" w:lineRule="auto"/>
        <w:rPr>
          <w:sz w:val="20"/>
          <w:szCs w:val="20"/>
          <w:color w:val="auto"/>
        </w:rPr>
      </w:pPr>
      <w:r>
        <w:rPr>
          <w:rFonts w:ascii="Times New Roman" w:cs="Times New Roman" w:eastAsia="Times New Roman" w:hAnsi="Times New Roman"/>
          <w:sz w:val="14"/>
          <w:szCs w:val="14"/>
          <w:color w:val="auto"/>
        </w:rPr>
        <w:t>We are an “emerging growth company” and a “smaller reporting company” as defined under the federal securities laws and, as such, have elected to comply with certain reduced public company reporting requirements for this prospectus and the documents incorporated by reference herein and may elect to comply with reduced public company reporting requirements in future filings. For additional information, you should refer to the section titled “</w:t>
      </w:r>
      <w:r>
        <w:rPr>
          <w:rFonts w:ascii="Times New Roman" w:cs="Times New Roman" w:eastAsia="Times New Roman" w:hAnsi="Times New Roman"/>
          <w:sz w:val="14"/>
          <w:szCs w:val="14"/>
          <w:i w:val="1"/>
          <w:iCs w:val="1"/>
          <w:color w:val="auto"/>
        </w:rPr>
        <w:t>Summary—Implications of Being an Emerging Growth Company and Smaller Reporting Company</w:t>
      </w:r>
      <w:r>
        <w:rPr>
          <w:rFonts w:ascii="Times New Roman" w:cs="Times New Roman" w:eastAsia="Times New Roman" w:hAnsi="Times New Roman"/>
          <w:sz w:val="14"/>
          <w:szCs w:val="14"/>
          <w:color w:val="auto"/>
        </w:rPr>
        <w:t>”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0"/>
          <w:szCs w:val="20"/>
          <w:color w:val="auto"/>
        </w:rPr>
      </w:pPr>
    </w:p>
    <w:p>
      <w:pPr>
        <w:ind w:left="120" w:right="200"/>
        <w:spacing w:after="0" w:line="250" w:lineRule="auto"/>
        <w:rPr>
          <w:sz w:val="20"/>
          <w:szCs w:val="20"/>
          <w:color w:val="auto"/>
        </w:rPr>
      </w:pPr>
      <w:r>
        <w:rPr>
          <w:rFonts w:ascii="Times New Roman" w:cs="Times New Roman" w:eastAsia="Times New Roman" w:hAnsi="Times New Roman"/>
          <w:sz w:val="20"/>
          <w:szCs w:val="20"/>
          <w:b w:val="1"/>
          <w:bCs w:val="1"/>
          <w:color w:val="auto"/>
        </w:rPr>
        <w:t>Investing in our securities involves a high degree of risk. You should review carefully the risks and uncertainties described under the section titled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on page 5 of this prospectus and any similar section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a sale of securities unless accompanied by a prospectus supplement.</w:t>
      </w:r>
    </w:p>
    <w:p>
      <w:pPr>
        <w:spacing w:after="0" w:line="96" w:lineRule="exact"/>
        <w:rPr>
          <w:sz w:val="20"/>
          <w:szCs w:val="20"/>
          <w:color w:val="auto"/>
        </w:rPr>
      </w:pPr>
    </w:p>
    <w:p>
      <w:pPr>
        <w:ind w:left="120" w:right="4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The date of this prospectus is May 19, 2026.</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00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57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92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12"/>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6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2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1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RIGHTS</w:t>
            </w:r>
          </w:p>
        </w:tc>
        <w:tc>
          <w:tcPr>
            <w:tcW w:w="586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20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5980" w:type="dxa"/>
            <w:vAlign w:val="bottom"/>
            <w:gridSpan w:val="1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30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5960" w:type="dxa"/>
            <w:vAlign w:val="bottom"/>
            <w:gridSpan w:val="1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4400" w:type="dxa"/>
            <w:vAlign w:val="bottom"/>
            <w:gridSpan w:val="14"/>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filed with the Securities and Exchange Commission, or the SEC, using a “shelf” registration process under the Securities Act of 1933, as amended, or the Securities Act. Under this shelf registration statement, we may, from time to time, offer and sell in one or more offerings common stock and preferred stock, various series of debt securities and/or warrants to purchase any of such securities, either individually or in combination with other securities, in one or more offerings, up to a total dollar amount of $200,000,000 of any combination of the securities described in this prospectus. This prospectus provides you with a general description of the securities we may offer.</w:t>
      </w:r>
    </w:p>
    <w:p>
      <w:pPr>
        <w:spacing w:after="0" w:line="16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time we offer any type or series of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We urge you to read carefully this prospectus, any applicable prospectus supplement and any related free writing prospectuses we have authorized for use in connection with a specific offering, together with the information incorporated herein by reference as described under the section titled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buying any of the securities being offered.</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You must not rely upon any information or representation not contained or incorporated by reference in this prospectus, the accompanying prospectus supplement or in any related free writing prospectus that we may authorize to be provided to you.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securities. Our business, financial condition, results of operations and prospects may have changed since those dates.</w:t>
      </w:r>
    </w:p>
    <w:p>
      <w:pPr>
        <w:spacing w:after="0" w:line="180"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This prospectus contains and incorporates by reference market data and industry statistics and forecasts that are based on independent industry publications and other publicly available information. Although we believe that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t>
      </w:r>
      <w:r>
        <w:rPr>
          <w:rFonts w:ascii="Times New Roman" w:cs="Times New Roman" w:eastAsia="Times New Roman" w:hAnsi="Times New Roman"/>
          <w:sz w:val="17"/>
          <w:szCs w:val="17"/>
          <w:i w:val="1"/>
          <w:iCs w:val="1"/>
          <w:color w:val="auto"/>
        </w:rPr>
        <w:t>Where You Can Find Additional Information</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suggests otherwise, the terms “IN8bio, Inc.,” “the company,” “we,” “us,” “our” and similar references refer to IN8bio, Inc.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30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We are a leading clinical-stage biopharmaceutical company focused on the discovery, development and commercialization of gamma-delta T cellular therapy product candidates and gamma-delta T cell engagers, or TCEs, for cancer and autoimmune diseases. We develop ex vivo expanded and activated gamma-delta T cell candidates and TCEs based upon our deep expertise in gamma-delta T cell biology, proprietary genetic engineering, and cell-type specific manufacturing capabilities, which we refer to collectively as our DeltEx platform. Our platform employs allogeneic, autologous, induced pluripotent stem cell, or iPSC, and genetically modified cell therapy approaches, as well as TCEs that are designed to effectively identify and eradicate tumor or target cells. We believe we are the most clinically advanced gamma-delta T cell-focused company and we are utilizing our suite of DeltEx platform technologies to potentially eliminate cancer cells to achieve our mission we refer to as Cancer Zero — the safe elimination of all cancer cells in every patient battling the disease.</w:t>
      </w:r>
    </w:p>
    <w:p>
      <w:pPr>
        <w:spacing w:after="0" w:line="192"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To date, we have conducted two primary investigator-sponsored Phase 1 clinical trials evaluating our gamma-delta T cell technologies in cancer patients, which have both completed primary enrollment. INB-100 is assessing our DeltEx Allogeneic gamma-delta T cell therapy in adult patients with high-risk leukemias undergoing haploidentical stem cell transplantation, INB-200, evaluated our DeltEx Drug Resistant Immunotherapy in patients with newly diagnosed glioblastoma. Most recently we introduced INB-600, our proprietary, internally developed TCE platform. This platform represents a potentially revolutionary advancement in immunotherapy, harnessing the unique power of gamma-delta T cells through a differentiated mechanism intended to optimize effector function and targeted cytotoxicity. We also have a portfolio of preclinical programs within our DeltEx pipeline that currently remain paused in development due to financial market conditions and pipeline prioritization. These include INB-300, a targeted non-signaling gamma-delta T cell based chimeric antigen receptor construct, which is applicable to both solid and liquid tumors, and INB-500, which encompasses our ability to produce gamma-delta T cells from iPSCs. iPSCs represent a significant step toward next generation approaches of cellular manufacturing for true allogeneic and potentially “off-the-shelf” innate cellular therapies.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20" w:firstLine="426"/>
        <w:spacing w:after="0" w:line="254" w:lineRule="auto"/>
        <w:rPr>
          <w:sz w:val="20"/>
          <w:szCs w:val="20"/>
          <w:color w:val="auto"/>
        </w:rPr>
      </w:pPr>
      <w:r>
        <w:rPr>
          <w:rFonts w:ascii="Times New Roman" w:cs="Times New Roman" w:eastAsia="Times New Roman" w:hAnsi="Times New Roman"/>
          <w:sz w:val="18"/>
          <w:szCs w:val="18"/>
          <w:color w:val="auto"/>
        </w:rPr>
        <w:t>Incysus, Ltd. was incorporated in Bermuda on February 8, 2016. On May 7, 2018, Incysus, Ltd. reincorporated in the United States in a domestication transaction in which Incysus, Ltd. converted into a newly formed Delaware corporation, Incysus Therapeutics, Inc. Upon the domestication, each Class A share of Incysus, Ltd. was automatically converted into one share of common stock of Incysus Therapeutics, Inc. and each Class B share of Incysus, Ltd. was automatically cancelled and did not convert into any shares of any class of capital stock of Incysus Therapeutics, Inc. In August 2020, we amended our certificate of incorporation, as amended, to change our name to IN8bio, Inc. Our principal executive offices are located at 350 5th Avenue, Suite 5330, New York, New York 10118, and our telephone number is (646) 600-6438. Our corporate website address is www.in8bio.com. Information contained on, or accessible through, our website is not a part of this prospectus. We have included our website in this prospectus solely as an inactive textual reference.</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30" w:lineRule="auto"/>
        <w:rPr>
          <w:sz w:val="20"/>
          <w:szCs w:val="20"/>
          <w:color w:val="auto"/>
        </w:rPr>
      </w:pPr>
      <w:r>
        <w:rPr>
          <w:rFonts w:ascii="Times New Roman" w:cs="Times New Roman" w:eastAsia="Times New Roman" w:hAnsi="Times New Roman"/>
          <w:sz w:val="18"/>
          <w:szCs w:val="18"/>
          <w:color w:val="auto"/>
        </w:rPr>
        <w:t xml:space="preserve">“IN8BIO,” “INEIGHTBIO,” the IN8BIO logo, DeltEx and other trademarks, trade names or service marks of IN8bio, Inc. appearing in this prospectus are the property of IN8bio, Inc. All other trademarks, trade names and service marks appearing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their rights thereto.</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183"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until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spacing w:after="0" w:line="189"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Therefore, the reported results of operations contained in our financial statements may not be directly comparable to those of other public companies.</w:t>
      </w:r>
    </w:p>
    <w:p>
      <w:pPr>
        <w:spacing w:after="0" w:line="18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was less than $700 million as of the last business day of the second fiscal quarter of our most recently completed fiscal year and our annual revenue was less than $100 million during our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83"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121"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We may offer any of the securities described in this prospectus, either individually or in combination with other securities, up to a total dollar amount of $200,000,000, from time to time under this prospectus, together with the applicable prospectus supplement and any related free writing prospectus, at prices and on terms to be determined by market conditions at the time of any offering. We may also offer common stock, preferred stock and/or debt securities upon the exercise of warrants.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93" w:lineRule="exact"/>
        <w:rPr>
          <w:sz w:val="20"/>
          <w:szCs w:val="20"/>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if applicable;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or dividends,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or sinking fund terms, if any;</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if 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 if any;</w:t>
      </w:r>
    </w:p>
    <w:p>
      <w:pPr>
        <w:spacing w:after="0" w:line="130"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or special U.S. federal income tax considerations, if any.</w:t>
      </w:r>
    </w:p>
    <w:p>
      <w:pPr>
        <w:spacing w:after="0" w:line="225" w:lineRule="exact"/>
        <w:rPr>
          <w:sz w:val="20"/>
          <w:szCs w:val="20"/>
          <w:color w:val="auto"/>
        </w:rPr>
      </w:pPr>
    </w:p>
    <w:p>
      <w:pPr>
        <w:ind w:left="300" w:right="360" w:firstLine="426"/>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 However, no prospectus supplement or free writing prospectuses will offer a security that is not registered and described in this prospectus at the time of the effectiveness of the registration statement of which this prospectus is a part.</w:t>
      </w:r>
    </w:p>
    <w:p>
      <w:pPr>
        <w:spacing w:after="0" w:line="180"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may sell the securities directly to investors or to or through agents, underwriters or dealers. We and our agents or underwriters, reserve the right to accept or reject all or part of any proposed purchase of securities. If we do offer securities to or through agents or underwriters, we will include in the applicable prospectus supplement:</w:t>
      </w:r>
    </w:p>
    <w:p>
      <w:pPr>
        <w:spacing w:after="0" w:line="81"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those agents or underwriters;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fees, discounts and commissions to be paid to them;</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if 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to us.</w:t>
      </w: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292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6998970" cy="2292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right="400"/>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CONSUMMATE A SALE OF SECURITIES UNLESS IT IS ACCOMPANIED BY A PROSPECTUS SUPPLEMENT.</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from the sale of the securities offered by us hereunder, if any, for working capital and general corporate purposes. We will set forth in the applicable prospectus supplement or free writing prospectus our intended use for the net proceeds received from the sale of any securities sold pursuant to the prospectus supplement or free writing prospectus.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121"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“INAB.” The applicable prospectus supplement will contain information, where applicable, as to other listings, if any, on the Nasdaq Capital Market or any other securities market or other exchange of the securities covered by the applicable prospectus supplement.</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consider carefully the risks and uncertainties described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the applicable prospectus supplement and any related free writing prospectus, and discussed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securities to decline, resulting in a loss of all or part of your investment. Please also read carefully the section above titled </w:t>
      </w:r>
      <w:r>
        <w:rPr>
          <w:rFonts w:ascii="Times New Roman" w:cs="Times New Roman" w:eastAsia="Times New Roman" w:hAnsi="Times New Roman"/>
          <w:sz w:val="18"/>
          <w:szCs w:val="18"/>
          <w:i w:val="1"/>
          <w:iCs w:val="1"/>
          <w:color w:val="auto"/>
        </w:rPr>
        <w:t>“Special Note Regarding Forward-Looking Statements.”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as amended, or the Exchange Act.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93"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the substantial doubt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our research and development programs;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advantage of abbreviated regulatory pathways for any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or in-license additional product candidates on reasonable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or obtain additional funding;</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of our current and future product candidates, including our ability to file investigational new drug applications to commence additional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rate and degree of market acceptance of such product candidates;</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clinical trials of our product candidates, and for the manufacture of our product candidates for preclinical studies and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the duration of our patent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government and third-party payor coverage and reimbursement;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markets we intend to serve;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operations, laws and regulations and liabilities thereunder;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hire additional personnel and our ability to attract and retain such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current government shutdown, international tariffs, public health crises and geopolitical tensions, such as the Russia-Ukraine and Israel-Hamas wars, on our business, our industry and the economy;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contribute to eliminate cancer and achieve cancer-free status in any or all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impact our financial results;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any offering of securities.</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All statements other than statements of historical facts contained in this prospectus, including statements regarding our future financial condition, business strategy and plans, and objectives of management for future operations, are forward-looking statements. In some cases, you can identify forward-looking statements by words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such as “anticipate,” “believe,” “continue,” “could,” “design,” “estimate,” “expect,” “intend,” “may,” “plan,” “potentially,” “predict,” “should,” “will” or the negative of these terms or other similar expressions. These statements reflect our current views with respect to future events and are based on assumptions and are subject to risks and uncertainties. Given these uncertainties, you should not place undue reliance on these forward-looking statements.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evaluating such forward-looking statements, you should consider various factors, including specifically the risks outlined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this prospectus, any accompanying prospectus supplement and any related free writing prospectus, and in our most recent Annual Report on Form 10-K and any Quarterly Report on Form 10-Q or Current Report on Form 8-K we subsequently file with the SEC. The discussion of risks and uncertainties set forth in those filings is not necessarily a complete or exhaustive list of all risks facing us at any particular point in time. As a result of these factors, we cannot assure you that the forward-looking statements contained in or incorporated by reference into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Forward-looking statements represent our estimates and assumptions only as of the date such forward-looking statements are made.</w:t>
      </w:r>
    </w:p>
    <w:p>
      <w:pPr>
        <w:spacing w:after="0" w:line="194"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any applicable prospectus supplement, together with the documents we have filed with the SEC that are incorporated by reference and any free writing prospectus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320" w:top="455" w:right="5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Except as described in any applicable prospectus supplement or in any free writing prospectuses we have authorized for use in connection with a specific offering, we currently intend to use the net proceeds for working capital and general corporate purposes. We will set forth in the applicable prospectus supplement or free writing prospectus our intended use for the net proceeds received from the sale of any securities sold pursuant to the prospectus supplement or free writing prospectus.</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320" w:top="455" w:right="5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jc w:val="both"/>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Additional Information” and “Incorporation of Certain Information by Reference.”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490,000,000 shares of common stock, par value $0.0001 per share, and 10,000,000 shares of preferred stock, par value $0.0001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on all matters submitted to a vote of the stockholders. The affirmative vote of holders of at least 66 2∕3% of the voting power of all of the then-outstanding shares of capital stock, voting as a single class, is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apply to any outstanding preferred stock, holders of our common stock are entitled to receive ratably any dividends that our board of directors may declare out of funds legally available for that purpose on a non-cumulative basis.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board of directors may, without further action by our stockholders, fix the rights, preferences, privileges and restrictions of up to an aggregate of 10,000,000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and payments on liquidation. In addition, the issuance of preferred stock could have the effect of delaying, deterring or preventing a change of control or other corporate action.</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fix the designations, voting powers, preferences and rights of the preferred stock of each series we issue under this prospectus,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contains the terms of the series of preferred stock we are offering. We will describe in the applicable prospectus supplement the terms of the series of preferred stock being offered, including, to the extent applicable:</w:t>
      </w:r>
    </w:p>
    <w:p>
      <w:pPr>
        <w:spacing w:after="0" w:line="89"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applicable;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applicable;</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stock ranking senior to or on a parity with the series of preferred stock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General Corporation Law of the State of Delaware, or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Charter Documents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Among other things, our amended and restated certificate of incorporation and amended and restated bylaws:</w:t>
      </w:r>
    </w:p>
    <w:p>
      <w:pPr>
        <w:spacing w:after="0" w:line="131" w:lineRule="exact"/>
        <w:rPr>
          <w:sz w:val="20"/>
          <w:szCs w:val="20"/>
          <w:color w:val="auto"/>
        </w:rPr>
      </w:pPr>
    </w:p>
    <w:p>
      <w:pPr>
        <w:ind w:left="1080" w:right="1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10,000,000 shares of preferred stock, with any rights, preferences and privileges as they may designate, including the right to approve an acquisition or other change in control;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will be classified into three classes of directors;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the chairman of our board of directors, our chief executive officer or president or by our board of directors pursuant to a resolution adopted by a majority of the total number of authorized directors;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amendment of any of these provisions requires approval by the holders of at least 66 2/3% of the voting power of all of our then-outstanding common stock entitled to vote generally in the election of directors, voting together as a single class.</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60"/>
          </w:cols>
          <w:pgMar w:left="320" w:top="455"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21" w:lineRule="exact"/>
        <w:rPr>
          <w:sz w:val="20"/>
          <w:szCs w:val="20"/>
          <w:color w:val="auto"/>
        </w:rPr>
      </w:pPr>
    </w:p>
    <w:p>
      <w:pPr>
        <w:ind w:left="120" w:right="240" w:firstLine="440"/>
        <w:spacing w:after="0" w:line="312" w:lineRule="auto"/>
        <w:rPr>
          <w:sz w:val="20"/>
          <w:szCs w:val="20"/>
          <w:color w:val="auto"/>
        </w:rPr>
      </w:pPr>
      <w:r>
        <w:rPr>
          <w:rFonts w:ascii="Times New Roman" w:cs="Times New Roman" w:eastAsia="Times New Roman" w:hAnsi="Times New Roman"/>
          <w:sz w:val="17"/>
          <w:szCs w:val="17"/>
          <w:color w:val="auto"/>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45" w:lineRule="exact"/>
        <w:rPr>
          <w:sz w:val="20"/>
          <w:szCs w:val="20"/>
          <w:color w:val="auto"/>
        </w:rPr>
      </w:pPr>
    </w:p>
    <w:p>
      <w:pPr>
        <w:ind w:left="1080" w:right="1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certificate of incorporation. We have not opted out of these provisions, which may, as a result, discourage or prevent mergers or other takeover or change of control attempts of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brought under Delaware statutory 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common law: (1) any derivative claim or action brought on our behalf; (2) any claim or cause of action asserting a breach of fiduciary duty by any of our current or former director, officer or other employee; (3) any claim or cause of action asserting a claim against us arising out of, or pursuant to, the DGCL, our amended and restated certificate of incorporation or our amended and restated bylaws; (4) any claim or cause of action seeking to interpret, apply, enforce or determine the validity of our amended and restated certificate of incorporation or our amended and restated bylaws (including any right, obligation, or remedy thereunder); (5) any claim or cause of action as to which the DGCL confers jurisdiction to the Court of Chancery of the State of Delaware; or (6) any claim or cause of action asserting a claim against us or any of our directors, officers or other employees, that is governed by the internal affairs doctrine, in all cases to the fullest extent permitted by law and subject to the court having personal jurisdiction over the indispensable parties named as defendants. The aforementioned provision will not apply to claims or causes of action brought to enforce a duty or liability created by the Securities Act, the Exchange Act or any other claim for which the federal courts have exclusive jurisdiction.</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further provides that, unless we consent writing to the selection of an alternative forum, the federal district courts of the United States of America will be the exclusive forum, to the fullest extent permitted by law,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7"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enforceability of similar choice of forum provisions in other companies’ certificates of incorporation has been challenged in legal proceedings, and it is possible that, in connection with one or more actions or proceedings described above, a court could find the choice of forum provisions contained in our amended and restated certificate of incorporation to be inapplicable or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“INAB.” The applicable prospectus supplement will contain information, where applicable, as to any other listing, if any, on the Nasdaq Capital Market or any securities market or other exchange of the preferred stock covered by such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is 150 Royall Street, Canton, Massachusetts 02021.</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6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rank as senior debt, senior subordinated debt, subordinated debt or any combination thereof, and the terms of any subordination;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85"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46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debt securities of the series which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covenants applicable to the particular debt securities being issued, including, among others, the consolidation, merger or sale covenant;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or deletions of the provisions relating to covenant defeasance and legal defeasance;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satisfaction and discharge of the indenture;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provisions relating to the modification of the indenture both with and without the consent of holders of debt securities issued under the indenture;</w:t>
      </w:r>
    </w:p>
    <w:p>
      <w:pPr>
        <w:spacing w:after="0" w:line="67" w:lineRule="exact"/>
        <w:rPr>
          <w:rFonts w:ascii="Times New Roman" w:cs="Times New Roman" w:eastAsia="Times New Roman" w:hAnsi="Times New Roman"/>
          <w:sz w:val="18"/>
          <w:szCs w:val="18"/>
          <w:color w:val="auto"/>
        </w:rPr>
      </w:pPr>
    </w:p>
    <w:p>
      <w:pPr>
        <w:ind w:left="5540" w:right="140" w:hanging="4884"/>
        <w:spacing w:after="0" w:line="454" w:lineRule="auto"/>
        <w:tabs>
          <w:tab w:leader="none" w:pos="109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15</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debt securities at our or the holders’ option and the terms and conditions upon which the election may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debt securities of the series;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89" w:lineRule="exact"/>
        <w:rPr>
          <w:sz w:val="20"/>
          <w:szCs w:val="20"/>
          <w:color w:val="auto"/>
        </w:rPr>
      </w:pPr>
    </w:p>
    <w:p>
      <w:pPr>
        <w:ind w:left="1540" w:hanging="331"/>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 or to appoint a receiver or trustee, or to seek other remedies only if:</w:t>
      </w:r>
    </w:p>
    <w:p>
      <w:pPr>
        <w:spacing w:after="0" w:line="67" w:lineRule="exact"/>
        <w:rPr>
          <w:sz w:val="20"/>
          <w:szCs w:val="20"/>
          <w:color w:val="auto"/>
        </w:rPr>
      </w:pPr>
    </w:p>
    <w:p>
      <w:pPr>
        <w:ind w:left="1540" w:hanging="331"/>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w:t>
      </w:r>
    </w:p>
    <w:p>
      <w:pPr>
        <w:spacing w:after="0" w:line="130"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to the trustee indemnity satisfactory to it against the costs, expenses and liabilities to be incurred by the trustee in compliance with the request; and</w:t>
      </w:r>
    </w:p>
    <w:p>
      <w:pPr>
        <w:spacing w:after="0" w:line="67"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change an indenture without the consent of any holders with respect to specific matters:</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the debt securities of any series;</w:t>
      </w:r>
    </w:p>
    <w:p>
      <w:pPr>
        <w:spacing w:after="0" w:line="130" w:lineRule="exact"/>
        <w:rPr>
          <w:rFonts w:ascii="Times New Roman" w:cs="Times New Roman" w:eastAsia="Times New Roman" w:hAnsi="Times New Roman"/>
          <w:sz w:val="18"/>
          <w:szCs w:val="18"/>
          <w:color w:val="auto"/>
        </w:rPr>
      </w:pPr>
    </w:p>
    <w:p>
      <w:pPr>
        <w:ind w:left="5540" w:right="1420" w:hanging="4884"/>
        <w:spacing w:after="0" w:line="454" w:lineRule="auto"/>
        <w:tabs>
          <w:tab w:leader="none" w:pos="10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“Description of Debt Securities—Consolidation, Merger or Sale;” 17</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85"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interests of any holder of debt securities of any series in any material respect;</w:t>
      </w:r>
    </w:p>
    <w:p>
      <w:pPr>
        <w:spacing w:after="0" w:line="130"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any indenture by a successor trustee;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85"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any debt securities of any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of any series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specified obligations, including obligations to:</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principal of and premium and interest on any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83"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debt securities of any series, we will not be required to:</w:t>
      </w:r>
    </w:p>
    <w:p>
      <w:pPr>
        <w:spacing w:after="0" w:line="131" w:lineRule="exact"/>
        <w:rPr>
          <w:sz w:val="20"/>
          <w:szCs w:val="20"/>
          <w:color w:val="auto"/>
        </w:rPr>
      </w:pPr>
    </w:p>
    <w:p>
      <w:pPr>
        <w:jc w:val="both"/>
        <w:ind w:left="1080" w:right="26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 except to the extent that the Trust Indenture Act of 1939 is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19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being offered, including:</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agreements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of holding or exercising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right to receive dividends, if any, or payments upon our liquidation, dissolution or winding up or to exercise voting rights, if 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the warrants and any warrant agreements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supplements summarizes the material terms and provisions of the rights that we may offer under this prospectus and the related rights agreements. While the terms we have summarized below will apply generally to any rights that we may offer under this prospectus, we will describe the particular terms of any rights in more detail in the applicable prospectus supplement. The terms of any rights offered under a prospectus supplement may differ from the terms described below.</w:t>
      </w:r>
    </w:p>
    <w:p>
      <w:pPr>
        <w:spacing w:after="0" w:line="183"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any rights certificate or rights agreement that describes the terms of the rights we are offering, and any supplemental agreements, before the issuance of the related rights. The following summaries of material terms and provisions of the rights are subject to, and qualified in their entirety by reference to, all the provisions of any rights certificate or rights agreement and any supplemental agreements applicable to particular rights. We urge you to read the applicable prospectus supplements related to the particular rights that we may offer under this prospectus, as well as any related free writing prospectuses and the complete rights certificate or rights agreement and any supplemental agreements that contain the terms of the rights.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rights to purchase our equity or debt securities described in this prospectus. We may offer rights separately or together with one or more securities offered hereby and may or may not be transferable by the shareholder receiving the rights in such offering, as described in the applicable prospectus supplement. In connection with any offering of rights, we may enter into a standby agreement with one or more underwriters or other purchasers pursuant to which the underwriter or other purchasers may be required to purchase any securities remaining unsubscribed for after such offering.</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the applicable prospectus supplement the specific terms of any offering of rights for which this prospectus is being delivered, including the following:</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equity or debt securities upon the exercise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rights issued to each shareholder;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our equity or debt securities that may be purchased per each right;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are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the terms, procedures and limitations relating to the exchange and exercise of the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shall commence, and the date on which the rights shall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rights may include an over-subscription privilege with respect to unsubscribed securities;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entered into by us in connection with the offering of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Agent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rights agent, if any, for any rights we offer will be set forth in the applicable prospectus supplement.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that we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related to the particular series of units that we may offer under this prospectus, as well as any related free writing prospectuses and the complete unit agreement and any supplemental agreements that contain the terms of the units.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2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 U.S. federal income tax considerations and material U.K. tax considerations relevant to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set forth in any prospectus supplement or as described under the sections entitled “Description of Capital Stock,” “Description of Debt Securities,” “Description of Warrants” and “Description of Rights” will apply to each unit, as applicable, and to any shares of capital stock, debt security, warrant or right included in each unit, as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and address of the unit agent, if any,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320" w:top="455" w:right="5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55"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or in street name, you should check with your own institution to find out:</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service providers;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that represents one or any other number of individual securities held by a depositary. Generally, all securities represented by the same global securities will have the same terms.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the section titled “</w:t>
      </w:r>
      <w:r>
        <w:rPr>
          <w:rFonts w:ascii="Times New Roman" w:cs="Times New Roman" w:eastAsia="Times New Roman" w:hAnsi="Times New Roman"/>
          <w:sz w:val="18"/>
          <w:szCs w:val="18"/>
          <w:i w:val="1"/>
          <w:iCs w:val="1"/>
          <w:color w:val="auto"/>
        </w:rPr>
        <w:t>—Special Situations When a Global Security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 Terminated</w:t>
      </w:r>
      <w:r>
        <w:rPr>
          <w:rFonts w:ascii="Times New Roman" w:cs="Times New Roman" w:eastAsia="Times New Roman" w:hAnsi="Times New Roman"/>
          <w:sz w:val="18"/>
          <w:szCs w:val="18"/>
          <w:color w:val="auto"/>
        </w:rPr>
        <w:t>” in this prospectus. As a result of these arrangements, the depositary, or its nominee, will be the sole registered owner and holder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131" w:lineRule="exact"/>
        <w:rPr>
          <w:sz w:val="20"/>
          <w:szCs w:val="20"/>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above;</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the global security will terminate when the following special situations occur:</w:t>
      </w:r>
    </w:p>
    <w:p>
      <w:pPr>
        <w:spacing w:after="0" w:line="67" w:lineRule="exact"/>
        <w:rPr>
          <w:sz w:val="20"/>
          <w:szCs w:val="20"/>
          <w:color w:val="auto"/>
        </w:rPr>
      </w:pPr>
    </w:p>
    <w:p>
      <w:pPr>
        <w:ind w:left="1080" w:right="2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320" w:top="455" w:right="6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direct sales to the public, “at-the-market” offerings, negotiated transactions, block trades or a combination of these methods. We may sell the securities to or through one or more underwriters or dealers (acting as principal or agent), through agents, or directly to one or more purchasers. We may distribute the securities from time to time in one or more transactions:</w:t>
      </w:r>
    </w:p>
    <w:p>
      <w:pPr>
        <w:spacing w:after="0" w:line="85"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will describe the terms of the offering of the securities and the specific plan of distribution in a prospectus supplement or supplements to this prospectus, any related free writing prospectus that we may authorize to be provided to you, an amendment to the registration statement of which this prospectus is a part or other filings we make with the SEC under the Exchange Act that are incorporated by reference. Such description may include, to the extent applicable:</w:t>
      </w:r>
    </w:p>
    <w:p>
      <w:pPr>
        <w:spacing w:after="0" w:line="85"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agents or other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or other consideration therefor, and the proceeds, if any, we will receive from the sale;</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to purchase additional shares or other options under which underwriters, dealers, agents or other purchasers may purchase additional securities from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We may use underwriters, dealers or agents with whom we have 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material relationship. We will describe in the prospectus supplement, naming the underwriter, dealer or agent, the nature of any such relationship.</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may provide agents, dealers and underwriters with indemnification against civil liabilities, including liabilities under the Securities Act, or contribution with respect to payments that the agents or dealers or underwriters may make with respect to these liabilities. Agents, dealers and underwriters or their affiliates may engage in transactions with, or perform services for us in the ordinary course of business.</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92"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Any underwriters, dealers or agents that are qualified market makers on the Nasdaq Capital Market may engage in passive market making transactions in our common stock on the Nasdaq Capital Market in accordance with Regulation M under the Exchange Act,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Cooley LLP, Washington, D.C., will pass upon the validity of the securities offered by this prospectus and any supplement thereto. As of the date of this prospectus, partners of Cooley LLP and GC&amp;H Investments and GC&amp;H Investments, LLC, each an entity that is comprised of partners and associates of Cooley LLP, beneficially own an aggregate of 5,797 shares of our common stock. Additional legal matters may be passed upon for us or any underwriters, dealers or agents, by counsel that we name in the applicable prospectus supplement.</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financial statements of IN8Bio, Inc. for the years ended December 31, 2025 and 2024 have been audited by CohnReznick LLP, independent registered public accounting firm, as set forth in their report thereon appearing in IN8bio, Inc’s Annual Report on Form 10-K for the year ended December 31, 2025, and incorporated by reference herein. Such financial statements are incorporated by reference herein in reliance upon such report, which includes an explanatory paragraph on IN8bio, Inc’s ability to continue as a going concern, given on the authority of such firm as experts in accounting and auditing.</w:t>
      </w:r>
    </w:p>
    <w:p>
      <w:pPr>
        <w:spacing w:after="0" w:line="3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the Investor Relations section of our website. These filings will be available as soon as reasonably practicable after we electronically file such material with, or furnish it to, the SEC. Our website address is </w:t>
      </w:r>
      <w:r>
        <w:rPr>
          <w:rFonts w:ascii="Times New Roman" w:cs="Times New Roman" w:eastAsia="Times New Roman" w:hAnsi="Times New Roman"/>
          <w:sz w:val="18"/>
          <w:szCs w:val="18"/>
          <w:i w:val="1"/>
          <w:iCs w:val="1"/>
          <w:color w:val="auto"/>
        </w:rPr>
        <w:t>www.in8bio.com</w:t>
      </w:r>
      <w:r>
        <w:rPr>
          <w:rFonts w:ascii="Times New Roman" w:cs="Times New Roman" w:eastAsia="Times New Roman" w:hAnsi="Times New Roman"/>
          <w:sz w:val="18"/>
          <w:szCs w:val="18"/>
          <w:color w:val="auto"/>
        </w:rPr>
        <w:t>. Information contained on or accessible through our website is not a part of this prospectus and is not incorporated by reference herein, and the inclusion of our website address in this prospectus is an inactive textual reference only.</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001-39692):</w:t>
      </w:r>
    </w:p>
    <w:p>
      <w:pPr>
        <w:spacing w:after="0" w:line="93"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12, 2026;</w:t>
      </w:r>
    </w:p>
    <w:p>
      <w:pPr>
        <w:spacing w:after="0" w:line="130" w:lineRule="exact"/>
        <w:rPr>
          <w:rFonts w:ascii="Times New Roman" w:cs="Times New Roman" w:eastAsia="Times New Roman" w:hAnsi="Times New Roman"/>
          <w:sz w:val="18"/>
          <w:szCs w:val="18"/>
          <w:color w:val="auto"/>
        </w:rPr>
      </w:pPr>
    </w:p>
    <w:p>
      <w:pPr>
        <w:ind w:left="1080" w:right="8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82">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March 26, 2026 (excluding those portions that are not incorporated by reference into our Annual Report on </w:t>
      </w:r>
      <w:hyperlink r:id="rId3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7,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33">
        <w:r>
          <w:rPr>
            <w:rFonts w:ascii="Times New Roman" w:cs="Times New Roman" w:eastAsia="Times New Roman" w:hAnsi="Times New Roman"/>
            <w:sz w:val="18"/>
            <w:szCs w:val="18"/>
            <w:u w:val="single" w:color="auto"/>
            <w:color w:val="0000EE"/>
          </w:rPr>
          <w:t>February 9, 2026</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February 27,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5">
        <w:r>
          <w:rPr>
            <w:rFonts w:ascii="Times New Roman" w:cs="Times New Roman" w:eastAsia="Times New Roman" w:hAnsi="Times New Roman"/>
            <w:sz w:val="18"/>
            <w:szCs w:val="18"/>
            <w:u w:val="single" w:color="auto"/>
            <w:color w:val="0000EE"/>
          </w:rPr>
          <w:t>May 7, 2026</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as described in </w:t>
      </w:r>
      <w:hyperlink r:id="rId36">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filed with the SEC on March 12, 2026, including any amendments or reports filed for the purpose of updating this description.</w:t>
      </w:r>
    </w:p>
    <w:p>
      <w:pPr>
        <w:spacing w:after="0" w:line="162" w:lineRule="exact"/>
        <w:rPr>
          <w:rFonts w:ascii="Times New Roman" w:cs="Times New Roman" w:eastAsia="Times New Roman" w:hAnsi="Times New Roman"/>
          <w:sz w:val="18"/>
          <w:szCs w:val="18"/>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ind w:left="120" w:right="60" w:firstLine="440"/>
        <w:spacing w:after="0" w:line="264"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IN8bio, Inc., Attn: Patrick McCall, Corporate Secretary, 350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Suite 5330, New York, New York 10118; telephone: (646) 600-6438.</w:t>
      </w:r>
    </w:p>
    <w:p>
      <w:pPr>
        <w:spacing w:after="0" w:line="1"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652780</wp:posOffset>
            </wp:positionV>
            <wp:extent cx="2554605" cy="9944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2554605" cy="99441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5"/>
          <w:szCs w:val="25"/>
          <w:b w:val="1"/>
          <w:bCs w:val="1"/>
          <w:color w:val="auto"/>
        </w:rPr>
        <w:t>$2,800,000</w:t>
      </w:r>
    </w:p>
    <w:p>
      <w:pPr>
        <w:spacing w:after="0" w:line="200" w:lineRule="exact"/>
        <w:rPr>
          <w:sz w:val="20"/>
          <w:szCs w:val="20"/>
          <w:color w:val="auto"/>
        </w:rPr>
      </w:pPr>
    </w:p>
    <w:p>
      <w:pPr>
        <w:spacing w:after="0" w:line="24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243840</wp:posOffset>
            </wp:positionV>
            <wp:extent cx="1474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1615440</wp:posOffset>
            </wp:positionV>
            <wp:extent cx="1474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594995</wp:posOffset>
            </wp:positionV>
            <wp:extent cx="1440180" cy="4800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14401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jpe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jpe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jpeg"/><Relationship Id="rId91" Type="http://schemas.openxmlformats.org/officeDocument/2006/relationships/image" Target="media/image76.png"/><Relationship Id="rId92" Type="http://schemas.openxmlformats.org/officeDocument/2006/relationships/image" Target="media/image77.png"/><Relationship Id="rId30" Type="http://schemas.openxmlformats.org/officeDocument/2006/relationships/hyperlink" Target="http://www.sec.gov/ix?doc=/Archives/edgar/data/1740279/000119312526104181/inab-20251231.htm" TargetMode="External"/><Relationship Id="rId31" Type="http://schemas.openxmlformats.org/officeDocument/2006/relationships/hyperlink" Target="http://www.sec.gov/ix?doc=/Archives/edgar/data/0001740279/000119312526126208/d26327ddef14a.htm" TargetMode="External"/><Relationship Id="rId32" Type="http://schemas.openxmlformats.org/officeDocument/2006/relationships/hyperlink" Target="http://www.sec.gov/ix?doc=/Archives/edgar/data/1740279/000119312526212135/inab-20260331.htm" TargetMode="External"/><Relationship Id="rId33" Type="http://schemas.openxmlformats.org/officeDocument/2006/relationships/hyperlink" Target="http://www.sec.gov/ix?doc=/Archives/edgar/data/1740279/000119312526041975/d50284d8k.htm" TargetMode="External"/><Relationship Id="rId34" Type="http://schemas.openxmlformats.org/officeDocument/2006/relationships/hyperlink" Target="http://www.sec.gov/ix?doc=/Archives/edgar/data/1740279/000119312526082539/d915471d8k.htm" TargetMode="External"/><Relationship Id="rId35" Type="http://schemas.openxmlformats.org/officeDocument/2006/relationships/hyperlink" Target="http://www.sec.gov/ix?doc=/Archives/edgar/data/1740279/000119312526212128/inab-20260507.htm" TargetMode="External"/><Relationship Id="rId36" Type="http://schemas.openxmlformats.org/officeDocument/2006/relationships/hyperlink" Target="http://www.sec.gov/Archives/edgar/data/1740279/000119312526104181/inab-ex4_2.htm" TargetMode="External"/><Relationship Id="rId82" Type="http://schemas.openxmlformats.org/officeDocument/2006/relationships/hyperlink" Target="http://www.sec.gov/ix?doc=/Archives/edgar/data/1740279/000119312526126208/d26327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2026-06-01T05:50:43Z</dcterms:created>
  <dcterms:modified xsi:type="dcterms:W3CDTF">2026-06-01T05:50:43Z</dcterms:modified>
</cp:coreProperties>
</file>