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pPr>
      <w:bookmarkStart w:id="0" w:name="inab-20260930.htm"/>
      <w:bookmarkStart w:id="1" w:name="ksinab20260930"/>
      <w:bookmarkEnd w:id="0"/>
      <w:bookmarkEnd w:id="1"/>
      <w: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pPr>
      <w: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pPr>
      <w:r>
        <w:t> </w:t>
      </w:r>
    </w:p>
    <w:p>
      <w:pPr>
        <w:pStyle w:val="TextBody"/>
        <w:bidi w:val="0"/>
        <w:spacing w:before="60" w:after="283"/>
        <w:jc w:val="both"/>
        <w:rPr>
          <w:rFonts w:ascii="Times New Roman" w:hAnsi="Times New Roman"/>
          <w:sz w:val="18"/>
        </w:rPr>
      </w:pPr>
      <w:r>
        <w:rPr>
          <w:rFonts w:ascii="Times New Roman" w:hAnsi="Times New Roman"/>
          <w:b/>
          <w:color w:val="000000"/>
          <w:sz w:val="18"/>
        </w:rPr>
        <w:t>(Mark One)</w:t>
      </w:r>
      <w:r>
        <w:rPr>
          <w:rFonts w:ascii="Times New Roman" w:hAnsi="Times New Roman"/>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001-39692</w:t>
      </w:r>
    </w:p>
    <w:p>
      <w:pPr>
        <w:pStyle w:val="TextBody"/>
        <w:pBdr>
          <w:bottom w:val="single" w:sz="4" w:space="1" w:color="000000"/>
        </w:pBdr>
        <w:bidi w:val="0"/>
        <w:jc w:val="center"/>
      </w:pPr>
      <w:r>
        <w:t> </w:t>
      </w:r>
    </w:p>
    <w:p>
      <w:pPr>
        <w:pStyle w:val="TextBody"/>
        <w:bidi w:val="0"/>
        <w:jc w:val="center"/>
        <w:rPr>
          <w:rFonts w:ascii="Times New Roman" w:hAnsi="Times New Roman"/>
          <w:b/>
          <w:color w:val="000000"/>
          <w:sz w:val="36"/>
        </w:rPr>
      </w:pPr>
      <w:r>
        <w:rPr>
          <w:rFonts w:ascii="Times New Roman" w:hAnsi="Times New Roman"/>
          <w:b/>
          <w:color w:val="000000"/>
          <w:sz w:val="36"/>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pPr>
      <w:r>
        <w:t> </w:t>
      </w:r>
    </w:p>
    <w:tbl>
      <w:tblPr>
        <w:tblW w:w="4412" w:type="dxa"/>
        <w:jc w:val="left"/>
        <w:tblInd w:w="0" w:type="dxa"/>
        <w:tblLayout w:type="fixed"/>
        <w:tblCellMar>
          <w:top w:w="28" w:type="dxa"/>
          <w:left w:w="28" w:type="dxa"/>
          <w:bottom w:w="28" w:type="dxa"/>
          <w:right w:w="28" w:type="dxa"/>
        </w:tblCellMar>
      </w:tblPr>
      <w:tblGrid>
        <w:gridCol w:w="2926"/>
        <w:gridCol w:w="1486"/>
      </w:tblGrid>
      <w:t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82-5462585</w:t>
            </w:r>
          </w:p>
        </w:tc>
      </w:tr>
      <w:t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c>
          <w:tcPr>
            <w:tcW w:w="2926" w:type="dxa"/>
            <w:tcBorders/>
            <w:tcMar>
              <w:top w:w="0" w:type="dxa"/>
              <w:left w:w="0" w:type="dxa"/>
              <w:bottom w:w="0" w:type="dxa"/>
              <w:right w:w="0" w:type="dxa"/>
            </w:tcMar>
            <w:vAlign w:val="center"/>
          </w:tcPr>
          <w:p>
            <w:pPr>
              <w:pStyle w:val="TableContents"/>
              <w:bidi w:val="0"/>
              <w:spacing w:before="0" w:after="283"/>
              <w:jc w:val="center"/>
            </w:pPr>
            <w:r>
              <w:t> </w:t>
            </w:r>
          </w:p>
        </w:tc>
        <w:tc>
          <w:tcPr>
            <w:tcW w:w="1486" w:type="dxa"/>
            <w:tcBorders/>
            <w:tcMar>
              <w:top w:w="0" w:type="dxa"/>
              <w:left w:w="0" w:type="dxa"/>
              <w:bottom w:w="0" w:type="dxa"/>
              <w:right w:w="0" w:type="dxa"/>
            </w:tcMar>
            <w:vAlign w:val="center"/>
          </w:tcPr>
          <w:p>
            <w:pPr>
              <w:pStyle w:val="TableContents"/>
              <w:bidi w:val="0"/>
              <w:spacing w:before="0" w:after="283"/>
              <w:jc w:val="center"/>
            </w:pPr>
            <w:r>
              <w:t> </w:t>
            </w:r>
          </w:p>
        </w:tc>
      </w:tr>
      <w:t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350 5th Avenue, Suite 5330</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10118</w:t>
            </w:r>
          </w:p>
        </w:tc>
      </w:tr>
      <w:t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(646) 600-6438</w:t>
      </w:r>
    </w:p>
    <w:p>
      <w:pPr>
        <w:pStyle w:val="TextBody"/>
        <w:pBdr>
          <w:bottom w:val="single" w:sz="4" w:space="1" w:color="000000"/>
        </w:pBdr>
        <w:bidi w:val="0"/>
        <w:jc w:val="center"/>
      </w:pPr>
      <w: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pPr>
      <w: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INAB</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pPr>
      <w:r>
        <w:t> </w:t>
      </w:r>
    </w:p>
    <w:p>
      <w:pPr>
        <w:pStyle w:val="TextBody"/>
        <w:bidi w:val="0"/>
        <w:jc w:val="both"/>
        <w:rPr>
          <w:rFonts w:ascii="Times New Roman" w:hAnsi="Times New Roman"/>
          <w:sz w:val="18"/>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18"/>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18"/>
        </w:rPr>
        <w:t xml:space="preserve"> ☐</w:t>
      </w:r>
    </w:p>
    <w:p>
      <w:pPr>
        <w:pStyle w:val="TextBody"/>
        <w:bidi w:val="0"/>
        <w:spacing w:before="60" w:after="283"/>
        <w:jc w:val="both"/>
        <w:rPr>
          <w:rFonts w:ascii="Times New Roman" w:hAnsi="Times New Roman"/>
          <w:sz w:val="18"/>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18"/>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18"/>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pPr>
      <w: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pPr>
      <w: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sz w:val="18"/>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18"/>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18"/>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The number of shares of Registrant’s Common Stock outstanding as of November 2, 2026 was 10,808,292.</w:t>
      </w:r>
    </w:p>
    <w:p>
      <w:pPr>
        <w:pStyle w:val="TextBody"/>
        <w:pBdr>
          <w:bottom w:val="double" w:sz="4" w:space="1" w:color="000000"/>
        </w:pBdr>
        <w:bidi w:val="0"/>
        <w:jc w:val="left"/>
      </w:pPr>
      <w:r>
        <w:t> </w:t>
      </w:r>
    </w:p>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_unaudited">
              <w:r>
                <w:rPr>
                  <w:rStyle w:val="InternetLink"/>
                  <w:rFonts w:ascii="Times New Roman" w:hAnsi="Times New Roman"/>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balance_sheet">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operat">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conver">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cash_f">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_financial_statement_sche">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c>
          <w:tcPr>
            <w:tcW w:w="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both"/>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7192"/>
        <w:gridCol w:w="146"/>
        <w:gridCol w:w="216"/>
        <w:gridCol w:w="862"/>
        <w:gridCol w:w="166"/>
        <w:gridCol w:w="146"/>
        <w:gridCol w:w="213"/>
        <w:gridCol w:w="851"/>
        <w:gridCol w:w="413"/>
      </w:tblGrid>
      <w:tr>
        <w:tc>
          <w:tcPr>
            <w:tcW w:w="7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(Note 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September 30, 2026 and December 31, 2025, respectively;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September 30, 2026 and December 31, 2025; 9,858,383 and 9,766,132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pPr>
      <w:r>
        <w:t> </w:t>
      </w:r>
    </w:p>
    <w:p>
      <w:pPr>
        <w:pStyle w:val="TextBody"/>
        <w:bidi w:val="0"/>
        <w:jc w:val="left"/>
      </w:pPr>
      <w: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614"/>
        <w:gridCol w:w="346"/>
        <w:gridCol w:w="211"/>
        <w:gridCol w:w="1036"/>
        <w:gridCol w:w="346"/>
        <w:gridCol w:w="346"/>
        <w:gridCol w:w="211"/>
        <w:gridCol w:w="931"/>
        <w:gridCol w:w="346"/>
        <w:gridCol w:w="346"/>
        <w:gridCol w:w="211"/>
        <w:gridCol w:w="1036"/>
        <w:gridCol w:w="346"/>
        <w:gridCol w:w="346"/>
        <w:gridCol w:w="211"/>
        <w:gridCol w:w="931"/>
        <w:gridCol w:w="391"/>
      </w:tblGrid>
      <w:tr>
        <w:tc>
          <w:tcPr>
            <w:tcW w:w="26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6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19,473,123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19,471,400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pPr>
      <w:r>
        <w:t> </w:t>
      </w:r>
    </w:p>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529"/>
        <w:gridCol w:w="146"/>
        <w:gridCol w:w="146"/>
        <w:gridCol w:w="826"/>
        <w:gridCol w:w="146"/>
        <w:gridCol w:w="146"/>
        <w:gridCol w:w="249"/>
        <w:gridCol w:w="442"/>
        <w:gridCol w:w="146"/>
        <w:gridCol w:w="146"/>
        <w:gridCol w:w="196"/>
        <w:gridCol w:w="691"/>
        <w:gridCol w:w="166"/>
        <w:gridCol w:w="146"/>
        <w:gridCol w:w="217"/>
        <w:gridCol w:w="834"/>
        <w:gridCol w:w="166"/>
        <w:gridCol w:w="146"/>
        <w:gridCol w:w="320"/>
        <w:gridCol w:w="989"/>
        <w:gridCol w:w="412"/>
      </w:tblGrid>
      <w:tr>
        <w:tc>
          <w:tcPr>
            <w:tcW w:w="3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Common Stock</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C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A &amp; B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9,766,132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issuance costs from December 2025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9,847,089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9,853,121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9,858,383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spacing w:lineRule="auto" w:line="360"/>
        <w:jc w:val="both"/>
        <w:rPr>
          <w:rFonts w:ascii="Times New Roman" w:hAnsi="Times New Roman"/>
          <w:sz w:val="7"/>
        </w:rPr>
      </w:pPr>
      <w:r>
        <w:rPr>
          <w:rFonts w:ascii="Times New Roman" w:hAnsi="Times New Roman"/>
          <w:color w:val="000000"/>
          <w:sz w:val="7"/>
        </w:rPr>
        <w:t xml:space="preserve">(1) </w:t>
      </w:r>
      <w:r>
        <w:rPr>
          <w:rFonts w:ascii="Times New Roman" w:hAnsi="Times New Roman"/>
          <w:color w:val="000000"/>
          <w:sz w:val="16"/>
        </w:rPr>
        <w:t>All share amounts and per share amounts disclosed in this Quarterly Report on Form 10-Q have been restated to reflect a one-for-thirty reverse stock split effected in June 2025. See Note 1, Organization and Nature of Operations, for details.</w:t>
      </w:r>
    </w:p>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tbl>
      <w:tblPr>
        <w:tblW w:w="9687" w:type="dxa"/>
        <w:jc w:val="left"/>
        <w:tblInd w:w="0" w:type="dxa"/>
        <w:tblLayout w:type="fixed"/>
        <w:tblCellMar>
          <w:top w:w="28" w:type="dxa"/>
          <w:left w:w="28" w:type="dxa"/>
          <w:bottom w:w="28" w:type="dxa"/>
          <w:right w:w="28" w:type="dxa"/>
        </w:tblCellMar>
      </w:tblPr>
      <w:tblGrid>
        <w:gridCol w:w="6336"/>
        <w:gridCol w:w="146"/>
        <w:gridCol w:w="248"/>
        <w:gridCol w:w="866"/>
        <w:gridCol w:w="195"/>
        <w:gridCol w:w="171"/>
        <w:gridCol w:w="248"/>
        <w:gridCol w:w="866"/>
        <w:gridCol w:w="611"/>
      </w:tblGrid>
      <w:tr>
        <w:tc>
          <w:tcPr>
            <w:tcW w:w="6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from December 2025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A &amp; B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C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pPr>
            <w:r>
              <w:t> </w:t>
            </w:r>
          </w:p>
        </w:tc>
      </w:tr>
      <w:t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modification of 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
      <w:bookmarkEnd w:id="8"/>
      <w:r>
        <w:rPr>
          <w:rFonts w:ascii="Times New Roman" w:hAnsi="Times New Roman"/>
          <w:b/>
          <w:caps/>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IN8bio, Inc. (the "Company") is a leading clinical-stage biopharmaceutical company focused on the discovery, development and commercialization of gamma-delta ("γδ") T cell product candidates and T cell engagers for cancer and autoimmune diseases. The Company’s pipeline is anchored by INB-600, its proprietary, internally developed γδ T cell engager ("TCE") platform, which has potential applications across oncology and autoimmune indications. The Company’s most advanced product candidates are INB-100, currently in an ongoing investigator-sponsored Phase 1 clinical trial of acute myeloid leukemia ("AML"), and INB-200/400, evaluating its DeltEx Drug Resistant Immunotherapy ("DRI") in patients with newly diagnosed glioblastoma ("GBM"). In addition, the Company’s DeltEx platform has yielded a broad portfolio of preclinical programs, including INB-300 and INB-500, focused on addressing a range of potential applications, from solid tumors and hematological cancers to autoimmune diseases.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5, 2025, the Company effected a reverse stock split at a ratio of one-for-thirty (the "Reverse Stock Split"). Pursuant to their terms, a proportionate adjustment was made to the per share exercise price and the number of shares issuable upon the exercise or vesting of all outstanding stock options and warrants, and the number of shares of the Company’s common stock authorized for issuance pursuant to the Company’s equity incentive plans was reduced proportionally. The Reverse Stock Split did not reduce the number of authorized shares of common stock and did not alter the par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$14.5 million and $14.5 million for the nine months ended September 30, 2026 and 2025, respectively. As of September 30, 2026, the Company had an accumulated deficit of $155.6 million. The Company continues to deploy cash preservation measures to defer or reduce costs in the near term in order to preserve capital and increase financial flexibility. These cash preservation measures may impact the Company's ability and the timing to execute its strategy. This includes the Company's ability to achieve the anticipated milestones and the timing of data releases and/or regulatory filings for its preclinical and clinical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yet generated product sales and as a result has experienced operating losses since inception. The Company expects to incur additional losses in the future as it advances its product candidates through clinical trials, grows its clinical, regulatory and quality capabilities, and incurs costs associated with operating as a public company. The actual amount of cash that the Company will need to operate is subject to many factors. Based on the Company’s business strategy, its existing cash of $14.0 million as of September 30, 2026 is not anticipated to fund the Company’s projected operating expenses and capital expenditure requirements for a period of at least 12 months from the date of issuance of these condensed financial statements, and accordingly, there is substantial doubt about the Company’s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continues to maintain cash preservation measures to defer or reduce costs in the near term in order to preserve capital and increase financial flexibility. To continue to fund the operations of the Company beyond this time period, management has developed plans, which primarily consist of pipeline prioritization,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Company’s private placement completed in December 2025, the Company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the Company's CD19 targeting INB-619 product candidate. In addition, the Company may receive up to an aggregate of $2.3 million of proceeds from the exercise of its outstanding Series B ordinary warrants ("Series B warrants") if not otherwise redeemed by the Company and up to $6.7 million from the exercise of its outstanding Series C common stock purchase warrants ("Series C warrants"). See Note 7, Warrants, for additional information. There is no assurance, however, that the Company will receive any additional proceeds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the Company's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financial statements. These actions may cause the Company’s stockholders to lose all or part of their investment in the Company’s common stock. The accompanying condensed financial statements have been prepared on the basis that the Company will continue as a going concern and do not include adjustments that might result from the outcome of this uncertainty.</w:t>
      </w:r>
    </w:p>
    <w:p>
      <w:pPr>
        <w:pStyle w:val="TextBody"/>
        <w:bidi w:val="0"/>
        <w:spacing w:before="24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which are disclosed in the audited financial statements for the year ended December 31, 2025 and the notes thereto, are included in the Company’s Annual Report on Form 10-K (the "Annual Report") that was filed with the Securities and Exchange Commission ("SEC") on March 12, 2026. Since the date of that filing, there have been no material changes to the Company’s significant accounting policies.</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prepared the accompanying condensed financial statements in conformity with generally accepted accounting principles in the United States ("U.S. GAAP").</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pStyle w:val="TextBody"/>
        <w:bidi w:val="0"/>
        <w:spacing w:before="24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expose the Company to significant concentrations of credit risk consist primarily of cash and restricted cash. All of the Company’s cash and restricted cash is deposited in accounts with major financial institutions. Such deposits are in excess of the federally insured limits.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Property and equipment are stated at cost, less accumulated depreciation.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92" w:type="dxa"/>
            <w:tcBorders/>
            <w:tcMar>
              <w:top w:w="0" w:type="dxa"/>
              <w:left w:w="0" w:type="dxa"/>
              <w:bottom w:w="0" w:type="dxa"/>
              <w:right w:w="0" w:type="dxa"/>
            </w:tcMar>
            <w:vAlign w:val="center"/>
          </w:tcPr>
          <w:p>
            <w:pPr>
              <w:pStyle w:val="TableContents"/>
              <w:bidi w:val="0"/>
              <w:spacing w:before="0" w:after="283"/>
              <w:jc w:val="left"/>
            </w:pPr>
            <w:r>
              <w:t> </w:t>
            </w:r>
          </w:p>
        </w:tc>
      </w:tr>
      <w:t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shorter of the useful life of the leasehold improvement or the remaining term of the lease </w:t>
            </w:r>
          </w:p>
        </w:tc>
        <w:tc>
          <w:tcPr>
            <w:tcW w:w="192"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condensed balance sheets and any gain or loss is reflected in the condensed statements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capitalizes the application development phase costs of internal use software in accordance with Accounting Standard Codification ("ASC") Topic 350-40, </w:t>
      </w:r>
      <w:r>
        <w:rPr>
          <w:rFonts w:ascii="Times New Roman" w:hAnsi="Times New Roman"/>
          <w:i/>
          <w:color w:val="000000"/>
          <w:sz w:val="20"/>
        </w:rPr>
        <w:t>Intangibles-Goodwill and Other-Internal Use Software</w:t>
      </w:r>
      <w:r>
        <w:rPr>
          <w:rFonts w:ascii="Times New Roman" w:hAnsi="Times New Roman"/>
          <w:color w:val="000000"/>
          <w:sz w:val="20"/>
        </w:rPr>
        <w:t>. Capitalized costs will be amortized on a straight-line basis over the estimated useful life of the asset upon completion.</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for which separate and discrete information is available for evaluation by the chief operating decision-maker ("CODM") in deciding how to allocate resources and assess performance. The Company has one operating segment, which is the business focused on the discovery, development and commercialization of gamma-delta T cell product candidates and TCEs for cancer and autoimmune diseases. The CODM is the Company’s Chief Executive Officer ("CEO"). The CEO manages the Company’s operations, assesses performance for the operating segment and decides how to allocate resources based on net loss, which is reported on the condensed statements of operations. All of the Company’s long-lived assets are held in the United States. For additional segment information, see Note 13, Segments.</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Issued Accounting Standards Updates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all issued and unadopted Accounting Standards Updates issued by the Financial Accounting Standards Board, and believes the adoption of these standards will not have a material impact on the condensed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Prepaid expenses and other current assets consist of the following (in thousands): </w:t>
      </w:r>
    </w:p>
    <w:p>
      <w:pPr>
        <w:pStyle w:val="TextBody"/>
        <w:bidi w:val="0"/>
        <w:jc w:val="both"/>
      </w:pPr>
      <w:r>
        <w:t> </w:t>
      </w:r>
    </w:p>
    <w:tbl>
      <w:tblPr>
        <w:tblW w:w="6315" w:type="dxa"/>
        <w:jc w:val="left"/>
        <w:tblInd w:w="0" w:type="dxa"/>
        <w:tblLayout w:type="fixed"/>
        <w:tblCellMar>
          <w:top w:w="28" w:type="dxa"/>
          <w:left w:w="28" w:type="dxa"/>
          <w:bottom w:w="28" w:type="dxa"/>
          <w:right w:w="28" w:type="dxa"/>
        </w:tblCellMar>
      </w:tblPr>
      <w:tblGrid>
        <w:gridCol w:w="3451"/>
        <w:gridCol w:w="146"/>
        <w:gridCol w:w="307"/>
        <w:gridCol w:w="833"/>
        <w:gridCol w:w="146"/>
        <w:gridCol w:w="146"/>
        <w:gridCol w:w="364"/>
        <w:gridCol w:w="731"/>
        <w:gridCol w:w="191"/>
      </w:tblGrid>
      <w:t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both"/>
      </w:pPr>
      <w:r>
        <w:t> </w:t>
      </w:r>
    </w:p>
    <w:tbl>
      <w:tblPr>
        <w:tblW w:w="6955" w:type="dxa"/>
        <w:jc w:val="left"/>
        <w:tblInd w:w="0" w:type="dxa"/>
        <w:tblLayout w:type="fixed"/>
        <w:tblCellMar>
          <w:top w:w="28" w:type="dxa"/>
          <w:left w:w="28" w:type="dxa"/>
          <w:bottom w:w="28" w:type="dxa"/>
          <w:right w:w="28" w:type="dxa"/>
        </w:tblCellMar>
      </w:tblPr>
      <w:tblGrid>
        <w:gridCol w:w="4051"/>
        <w:gridCol w:w="146"/>
        <w:gridCol w:w="285"/>
        <w:gridCol w:w="855"/>
        <w:gridCol w:w="166"/>
        <w:gridCol w:w="146"/>
        <w:gridCol w:w="274"/>
        <w:gridCol w:w="821"/>
        <w:gridCol w:w="211"/>
      </w:tblGrid>
      <w:t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$0.5 million and $0.2 million for the three months ended September 30, 2026 and 2025, respectively, and was $0.8 million and $0.8 million for the nine months ended September 30, 2026 and 2025, respectively.</w:t>
      </w:r>
    </w:p>
    <w:p>
      <w:pPr>
        <w:pStyle w:val="TextBody"/>
        <w:bidi w:val="0"/>
        <w:spacing w:before="240" w:after="283"/>
        <w:jc w:val="both"/>
        <w:rPr>
          <w:rFonts w:ascii="Times New Roman" w:hAnsi="Times New Roman"/>
          <w:sz w:val="20"/>
        </w:rPr>
      </w:pPr>
      <w:r>
        <w:rPr>
          <w:rFonts w:ascii="Times New Roman" w:hAnsi="Times New Roman"/>
          <w:b/>
          <w:caps/>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both"/>
      </w:pPr>
      <w:r>
        <w:t> </w:t>
      </w:r>
    </w:p>
    <w:tbl>
      <w:tblPr>
        <w:tblW w:w="6690" w:type="dxa"/>
        <w:jc w:val="left"/>
        <w:tblInd w:w="0" w:type="dxa"/>
        <w:tblLayout w:type="fixed"/>
        <w:tblCellMar>
          <w:top w:w="28" w:type="dxa"/>
          <w:left w:w="28" w:type="dxa"/>
          <w:bottom w:w="28" w:type="dxa"/>
          <w:right w:w="28" w:type="dxa"/>
        </w:tblCellMar>
      </w:tblPr>
      <w:tblGrid>
        <w:gridCol w:w="3826"/>
        <w:gridCol w:w="146"/>
        <w:gridCol w:w="307"/>
        <w:gridCol w:w="833"/>
        <w:gridCol w:w="146"/>
        <w:gridCol w:w="146"/>
        <w:gridCol w:w="294"/>
        <w:gridCol w:w="801"/>
        <w:gridCol w:w="191"/>
      </w:tblGrid>
      <w:t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b/>
          <w:caps/>
          <w:color w:val="000000"/>
          <w:sz w:val="20"/>
        </w:rPr>
      </w:pPr>
      <w:r>
        <w:rPr>
          <w:rFonts w:ascii="Times New Roman" w:hAnsi="Times New Roman"/>
          <w:b/>
          <w:caps/>
          <w:color w:val="000000"/>
          <w:sz w:val="20"/>
        </w:rPr>
        <w:t>6.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authorized capital stock consists of 500,000,000 shares, all with a par value of $0.0001 per share, of which 490,000,000 shares are designated as common stock and 10,000,000 shares are designated as preferred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 November 2022, the Company entered into a Controlled Equity Offering</w:t>
      </w:r>
      <w:r>
        <w:rPr>
          <w:rFonts w:ascii="Times New Roman" w:hAnsi="Times New Roman"/>
          <w:color w:val="000000"/>
          <w:sz w:val="13"/>
        </w:rPr>
        <w:t xml:space="preserve">SM </w:t>
      </w:r>
      <w:r>
        <w:rPr>
          <w:rFonts w:ascii="Times New Roman" w:hAnsi="Times New Roman"/>
          <w:color w:val="000000"/>
          <w:sz w:val="20"/>
        </w:rPr>
        <w:t>sales agreement with Cantor Fitzgerald &amp; Co. ("Cantor Fitzgerald") and Truist Securities, Inc. ("Truist") under which Cantor Fitzgerald and Truist agreed to act as sales agents to sell shares of the Company’s common stock, from time to time, in an at-the-market offering program. In March 2024, the Company delivered a termination notice to Truist, removing them as sales agent under the sales agreement, and on May 29, 2026, the Company and Cantor Fitzgerald mutually agreed to terminate the sales agreement effective at the close of business on May 29, 2026.</w:t>
      </w:r>
      <w:r>
        <w:rPr>
          <w:rFonts w:ascii="Times New Roman" w:hAnsi="Times New Roman"/>
          <w:color w:val="000000"/>
          <w:sz w:val="13"/>
        </w:rPr>
        <w:t xml:space="preserve"> </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 November 2025, the Company filed a shelf registration statement on Form S-3 (File No. 333-291393) (the "Shelf Registration Statement") with the SEC, which became effective on May 20, 2026, which permits the issuance and sale by the Company of up to a maximum aggregate offering price of $200.0</w:t>
      </w:r>
      <w:r>
        <w:rPr>
          <w:rFonts w:ascii="Times New Roman" w:hAnsi="Times New Roman"/>
          <w:color w:val="000000"/>
          <w:sz w:val="13"/>
        </w:rPr>
        <w:t xml:space="preserve"> </w:t>
      </w:r>
      <w:r>
        <w:rPr>
          <w:rFonts w:ascii="Times New Roman" w:hAnsi="Times New Roman"/>
          <w:color w:val="000000"/>
          <w:sz w:val="20"/>
        </w:rPr>
        <w:t>million of its common stock, preferred stock, various series of debt securities, warrants to purchase common stock, preferred stock or debt securities, rights to purchase equity or debt securities, and/or units to purchase any combination of such securities. On June 1, 2026, the Company entered into a Capital on Demand</w:t>
      </w:r>
      <w:r>
        <w:rPr>
          <w:rFonts w:ascii="Times New Roman" w:hAnsi="Times New Roman"/>
          <w:color w:val="000000"/>
          <w:sz w:val="13"/>
        </w:rPr>
        <w:t xml:space="preserve">TM </w:t>
      </w:r>
      <w:r>
        <w:rPr>
          <w:rFonts w:ascii="Times New Roman" w:hAnsi="Times New Roman"/>
          <w:color w:val="000000"/>
          <w:sz w:val="20"/>
        </w:rPr>
        <w:t>Sales Agreement, (the "Sales Agreement") with JonesTrading Institutional Services LLC ("JonesTrading") with respect to an at-the-market offering program under which the Company may issue and sell, from time to time at its sole discretion, shares of its common stock, through or to JonesTrading (the "ATM Program") pursuant to the Shelf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September 30, 2026, the Company's calculated public float was less than $75.0 million. During the year ended December 31, 2025, the Company sold an aggregate of 1,865,253 shares of its common stock under the ATM Program, resulting in net proceeds of $8.6 million, after deducting underwriting discounts. For the nine months ended September 30, 2026, the Company sold an aggregate of 11,294 shares of its common stock under the ATM Program, resulting in net proceeds of approximately $17,000 after deducting sales agent fees and other offering expenses. As of September 30, 2026, $2.8 million remained available for the sale of common stock under the ATM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7.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Company issued pre-funded warrants to purchase up to an aggregate of 19,141 shares of common stock ("2023 Pre-Funded Warrants"), 394,118 Series A warrants and 394,118 Series B warrants in a private placement. The 2023 Pre-Funded Warrants have an exercise price of $0.003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 according to a formula set forth in the 2023 Pre-Funded Warrants terms. The 2023 Pre-Funded Warrants meet the criteria for permanent equity classification. As of September 30, 2026, there were no 2023 Pre-Funded warrants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warrants were issued with an exercise price of $37.50 per share. The Series A warrants were exercisable immediately. The Series A warrants meet the criteria for permanent equity classification.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closing of the Company's private placement in October 2024, the Company amended certain of the Company’s outstanding Series A warrants, representing 390,462 shares of the Company’s common stock, to reduce the exercise price from $37.50 to $13.50 per share and (ii) extend the termination date of such Series A warrants to October 4, 2025. As of September 30, 2026, all Series A warrants have expired and there are no Series A warrants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B warrants have an exercise price of $45.00 per share. The Series B warrants are exercisable immediately and will expire on December 13, 2028. The Series B warrants allow the Company to redeem such warrants at a price of $0.30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$45.00 per share prior to such redemption. The Series B warrants meet the criteria for permanent equity classification. In April 2025, the Company entered into Amendment No. 1 to Securities Purchase Agreement (the "SPA Amendment") to amend the restrictions on certain equity sales by the Company set forth in the Securities Purchase Agreement, dated September 30, 2024, by and among the Company and the investors party thereto. In consideration for the SPA Amendment, the Company amended the Company's outstanding Series B warrants, representing 303,574 shares of the Company's common stock, to (i) reduce the exercise price from $45.00 to $13.50 per share. As of September 30, 2026, 166,964 Series B warrants were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the Company issued pre-funded warrants to purchase up to an aggregate of 188,227 ("2024 Pre-Funded Warrants") and 1,044,726 Series C warrants in a private placement. The 2024 Pre-Funded Warrants have an exercise price of $0.003 per share, were exercisable immediately and are exercisable until the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September 30, 2026, 164,593 2024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C warrants have an exercise price of $8.10 per share. The Series C warrants are exercisable immediately and will expire on October 4, 2027. The Series C warrants meet the criteria for permanent equity classification. As of September 30, 2026, 828,863 Series C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and (ii) exchange certain Series A warrants and Series B warrants for 41,014 pre-funded warrants (the "Exchanged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Exchanged Pre-Funded Warrants issued in connection with the Warrant Exchanges have an exercise price of $0.003 per share. Each Exchanged Pre-Funded Warrant is exercisable immediately and will be exercisable until such Exchanged Pre-Funded Warrant is exercised in full. In lieu of a cash payment to the Company in payment of the aggregate exercise price upon exercise of an Exchanged Pre-Funded Warrant, the holder may elect instead to receive upon such exercise (either in whole or in part) the net number of shares of common stock determined according to a formula set forth in the Exchanged Pre-Funded Warrants. Under the terms of the Exchanged Pre-Funded Warrants, the Company shall not effect the exercise of any portion of any Exchanged Pre-Funded Warrant, and a holder shall not have the right to exercise any portion of any Exchanged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provided that any increase or decrease in such percentage will not be effective until 61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days after such notice is delivered to the Company. The Exchanged Pre-Funded Warrants meet the criteria for permanent equity classification. As of September 30, 2026, 2,732 of these Exchanged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Company issued pre-funded warrants to purchase up to an aggregate of 9,452,677 shares of common stock (the "2025 Pre-Funded Warrants") in a private placement. The 2025 Pre-Funded Warrants have an exercise price of $0.0001 per share, were exercisable immediately and are exercisable until the 2025 Pre-Funded Warrant is exercised in full. In lieu of making the cash payment otherwise contemplated to be made to the Company upon exercise of a 2025 Pre-Funded Warrant in payment of the aggregate exercise price, the holder may elect instead to receive upon such exercise (either in whole or in part) the net number of shares of common stock determined according to a formula set forth in the 2025 Pre-Funded Warrants terms. The 2025 Pre-Funded Warrants meet the criteria for permanent equity classification. As of September 30, 2026, 9,452,677 2025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we had 9,620,002 pre-funded warrants, 166,964 Series B warrants, and 828,863 Series C warrants outstanding. Of these, 9,452,677 pre-funded warrants have an exercise price of $0.0001 per share and 167,325 pre-funded warrants have an exercise price of $0.003 per share. The Series B warrants have an exercise price of $13.50 per share and will expire on December 13, 2028. The Series C warrants have an exercise price of $8.10 per share and will expire on October 4, 2027.</w:t>
      </w:r>
    </w:p>
    <w:p>
      <w:pPr>
        <w:pStyle w:val="TextBody"/>
        <w:bidi w:val="0"/>
        <w:spacing w:before="240" w:after="283"/>
        <w:jc w:val="both"/>
        <w:rPr>
          <w:rFonts w:ascii="Times New Roman" w:hAnsi="Times New Roman"/>
          <w:sz w:val="20"/>
        </w:rPr>
      </w:pPr>
      <w:r>
        <w:rPr>
          <w:rFonts w:ascii="Times New Roman" w:hAnsi="Times New Roman"/>
          <w:b/>
          <w:caps/>
          <w:color w:val="000000"/>
          <w:sz w:val="20"/>
        </w:rPr>
        <w:t>8.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Amended and Restated 2023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2023 Equity Incentive Plan (the "2023 Plan") was approved by the Company's Board of Directors and the Company’s stockholders and became effective on June 15, 2023. Upon the effectiveness of the 2026 Plan (as defined below), the 2023 Plan was terminated and no further issuances were made under the 2023 Plan, although it continues to govern the terms of any equity grants that remain outstanding under the 2023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Amended and Restated 2026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2026 Equity Incentive Plan (the "2026 Plan") was approved by the Company's Board of Directors and the Company’s stockholders and became effective on May 7, 2026. The Board of Directors, or a committee thereof, is authorized to administer the 2026 Plan. The 2026 Plan provides for the grant of Incentive Stock Options ("ISO") within the meaning of Section 422 of the Internal Revenue Code of 1986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2026 Plan was 4,054,937, which automatically increases on January 1 of each year for a period of 10 years commencing on January 1, 2027 and ending on (and including) January 1, 2037, in an amount equal to 5% of the total number of shares of common stock, plus the total number of shares of common stock issuable upon settlement of pre-funded warrants (if any), in each case, outstanding on December 31 of the preceding year, or a lesser number of shares determined by the Board of Directors no later than the last day of the immediately preceding year. The maximum number of shares of common stock that may be issued upon the exercise of ISOs under the 2026 Plan is 20,000,000 shares. As of September 30, 2026, 2,491,148 shares were available for grant pursuant to the 2026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Inducement Equity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2026 Inducement Plan (the "2026 Inducement Plan") was approved by the Company's Board of Directors and became effective on July 31, 2026. The Board of Directors, or a committee thereof, is authorized to administer the 2026 Inducement Plan. The 2026 Inducement Plan was adopted by the Company’s Board of Directors without stockholder approval pursuant to Nasdaq Marketplace Rule 5635(c)(4), or Rule 5635(c)(4). In accordance with Rule 5635(c)(4), awards made under the 2026 Inducement Plan may only be granted to newly hired employees as an inducement material to the employees entering into employment with the Company. Awards granted under the 2026 Inducement Plan expire no later than ten years from the date of grant. An aggregate of 511,800 shares of common stock were reserved for issuance under the 2026 Inducement Plan. As of September 30, 2026, there were 489,600 shares of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available for issuance under the 2026 Inducement Plan and together with the 2026 Plan (the "Plans"), there were 2,980,748 shares of common stock available for issuance.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Employee Stock Purchase Plan (the "2020 ESPP") was approved by the Board of Directors and the Company’s stockholders and became effective on July 29, 2021. A total of 6,666 shares of common stock were initially reserved for issuance under this plan, which automatically increases on January 1 of each year by the lesser of (i) 1% of the outstanding number of shares of common stock on the immediately preceding December 31; and (ii) 13,333, or such lesser number of shares as determined by the Board of Directors. As of September 30, 2026, no shares of common stock had been issued under the ESPP and 26,260 shares remained available for future issuance under the ESPP. The Board of Directors or designated committee has not set an offering period and the Board of Directors elected not to increase the number of shares of common stock reserved for future issuance under the ESPP as of January 1,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stock option award activity under the Plans during the nine months ended September 30, 2026: </w:t>
      </w:r>
    </w:p>
    <w:p>
      <w:pPr>
        <w:pStyle w:val="TextBody"/>
        <w:bidi w:val="0"/>
        <w:jc w:val="both"/>
      </w:pPr>
      <w:r>
        <w:t> </w:t>
      </w:r>
    </w:p>
    <w:tbl>
      <w:tblPr>
        <w:tblW w:w="9698" w:type="dxa"/>
        <w:jc w:val="left"/>
        <w:tblInd w:w="0" w:type="dxa"/>
        <w:tblLayout w:type="fixed"/>
        <w:tblCellMar>
          <w:top w:w="28" w:type="dxa"/>
          <w:left w:w="28" w:type="dxa"/>
          <w:bottom w:w="28" w:type="dxa"/>
          <w:right w:w="28" w:type="dxa"/>
        </w:tblCellMar>
      </w:tblPr>
      <w:tblGrid>
        <w:gridCol w:w="4216"/>
        <w:gridCol w:w="146"/>
        <w:gridCol w:w="146"/>
        <w:gridCol w:w="931"/>
        <w:gridCol w:w="166"/>
        <w:gridCol w:w="146"/>
        <w:gridCol w:w="230"/>
        <w:gridCol w:w="626"/>
        <w:gridCol w:w="146"/>
        <w:gridCol w:w="146"/>
        <w:gridCol w:w="236"/>
        <w:gridCol w:w="755"/>
        <w:gridCol w:w="146"/>
        <w:gridCol w:w="146"/>
        <w:gridCol w:w="425"/>
        <w:gridCol w:w="700"/>
        <w:gridCol w:w="391"/>
      </w:tblGrid>
      <w:t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options granted during the nine months ended September 30, 2026 and 2025 was $1.41 and $6.70, respectively. The aggregate intrinsic value is calculated as the difference between the exercise price and the market price of the Company’s common stock at September 30, 2026 and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nine months ended September 30, 2026 and 2025,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both"/>
      </w:pPr>
      <w:r>
        <w:t> </w:t>
      </w:r>
    </w:p>
    <w:tbl>
      <w:tblPr>
        <w:tblW w:w="5425" w:type="dxa"/>
        <w:jc w:val="left"/>
        <w:tblInd w:w="0" w:type="dxa"/>
        <w:tblLayout w:type="fixed"/>
        <w:tblCellMar>
          <w:top w:w="28" w:type="dxa"/>
          <w:left w:w="28" w:type="dxa"/>
          <w:bottom w:w="28" w:type="dxa"/>
          <w:right w:w="28" w:type="dxa"/>
        </w:tblCellMar>
      </w:tblPr>
      <w:tblGrid>
        <w:gridCol w:w="1846"/>
        <w:gridCol w:w="146"/>
        <w:gridCol w:w="1726"/>
        <w:gridCol w:w="146"/>
        <w:gridCol w:w="1561"/>
      </w:tblGrid>
      <w:t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101.73% - 102.98%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96.66% - 99.24%</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r>
      <w:t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3.83% - 4.61%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- 4.24%</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pPr>
      <w: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condensed statements of operations for the three and nine months ended September 30, 2026 and 2025 (in thousands): </w:t>
      </w:r>
    </w:p>
    <w:p>
      <w:pPr>
        <w:pStyle w:val="TextBody"/>
        <w:bidi w:val="0"/>
        <w:jc w:val="both"/>
      </w:pPr>
      <w:r>
        <w:t> </w:t>
      </w:r>
    </w:p>
    <w:tbl>
      <w:tblPr>
        <w:tblW w:w="7538" w:type="dxa"/>
        <w:jc w:val="left"/>
        <w:tblInd w:w="0" w:type="dxa"/>
        <w:tblLayout w:type="fixed"/>
        <w:tblCellMar>
          <w:top w:w="28" w:type="dxa"/>
          <w:left w:w="28" w:type="dxa"/>
          <w:bottom w:w="28" w:type="dxa"/>
          <w:right w:w="28" w:type="dxa"/>
        </w:tblCellMar>
      </w:tblPr>
      <w:tblGrid>
        <w:gridCol w:w="3451"/>
        <w:gridCol w:w="146"/>
        <w:gridCol w:w="217"/>
        <w:gridCol w:w="434"/>
        <w:gridCol w:w="150"/>
        <w:gridCol w:w="150"/>
        <w:gridCol w:w="217"/>
        <w:gridCol w:w="434"/>
        <w:gridCol w:w="146"/>
        <w:gridCol w:w="146"/>
        <w:gridCol w:w="211"/>
        <w:gridCol w:w="571"/>
        <w:gridCol w:w="146"/>
        <w:gridCol w:w="146"/>
        <w:gridCol w:w="211"/>
        <w:gridCol w:w="571"/>
        <w:gridCol w:w="191"/>
      </w:tblGrid>
      <w:t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No related tax benefits from stock-based compensation expense were recognized for the three and nine months ended September 30, 2026 and 2025. As of September 30, 2026, there was $2.3 million in unrecognized stock-based compensation expense, which is expected to be recognized over a weighted-average period of 2.08 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LICENSE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Emory License Agreement, the Company paid Emory University a nominal upfront payment. Between March 2017 and August 2020, the Company issued UABRF an additional 5,046 shares of common stock in satisfaction of these antidilution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UABRF License Agreement, the Company paid UABRF a nominal upfront payment and issued 3,041 shares of common stock to UABRF, which were subject to certain antidilution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UABRF License Agreement, the Company is required to use good faith reasonable commercial efforts to develop, manufacture and commercialize the licensed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pStyle w:val="TextBody"/>
        <w:bidi w:val="0"/>
        <w:spacing w:before="240" w:after="283"/>
        <w:jc w:val="both"/>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during the period, including 9.6 million shares of pre-funded warrants to purchase shares of common stock.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net loss per share is calculated as follows (in thousands, except share and per share amounts):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4134"/>
        <w:gridCol w:w="146"/>
        <w:gridCol w:w="211"/>
        <w:gridCol w:w="1036"/>
        <w:gridCol w:w="166"/>
        <w:gridCol w:w="146"/>
        <w:gridCol w:w="211"/>
        <w:gridCol w:w="931"/>
        <w:gridCol w:w="166"/>
        <w:gridCol w:w="146"/>
        <w:gridCol w:w="211"/>
        <w:gridCol w:w="1036"/>
        <w:gridCol w:w="166"/>
        <w:gridCol w:w="146"/>
        <w:gridCol w:w="211"/>
        <w:gridCol w:w="931"/>
        <w:gridCol w:w="211"/>
      </w:tblGrid>
      <w:tr>
        <w:tc>
          <w:tcPr>
            <w:tcW w:w="4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13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3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p>
      <w:pPr>
        <w:pStyle w:val="TextBody"/>
        <w:bidi w:val="0"/>
        <w:jc w:val="both"/>
      </w:pPr>
      <w:r>
        <w:t> </w:t>
      </w:r>
    </w:p>
    <w:tbl>
      <w:tblPr>
        <w:tblW w:w="8972"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146"/>
        <w:gridCol w:w="146"/>
        <w:gridCol w:w="146"/>
        <w:gridCol w:w="931"/>
        <w:gridCol w:w="146"/>
        <w:gridCol w:w="146"/>
        <w:gridCol w:w="146"/>
        <w:gridCol w:w="931"/>
        <w:gridCol w:w="191"/>
      </w:tblGrid>
      <w:t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2,085,065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both"/>
        <w:rPr>
          <w:rFonts w:ascii="Times New Roman" w:hAnsi="Times New Roman"/>
          <w:sz w:val="20"/>
        </w:rPr>
      </w:pPr>
      <w:r>
        <w:rPr>
          <w:rFonts w:ascii="Times New Roman" w:hAnsi="Times New Roman"/>
          <w:b/>
          <w:caps/>
          <w:color w:val="000000"/>
          <w:sz w:val="20"/>
        </w:rPr>
        <w:t>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both"/>
        <w:rPr>
          <w:rFonts w:ascii="Times New Roman" w:hAnsi="Times New Roman"/>
          <w:sz w:val="20"/>
        </w:rPr>
      </w:pPr>
      <w:r>
        <w:rPr>
          <w:rFonts w:ascii="Times New Roman" w:hAnsi="Times New Roman"/>
          <w:b/>
          <w:caps/>
          <w:color w:val="000000"/>
          <w:sz w:val="20"/>
        </w:rPr>
        <w:t>12. EQUIPMENT AND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lease arrangements for its facilities. As of September 30, 2026,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 equipment leasing company in 2018, which provided up to $2.5 million for equipment purchases in the form of sale and leasebacks or direct leases. As of September 30, 2026, the Company had two active leases with the leasing company. The initial term of each lease is three years and afterwards provides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another equipment leasing company in the second quarter of 2023. As of September 30, 2026, the Company had one active lease from this leasing company. In June 2024, the Company entered into two new finance lease agreements with another leasing company. The terms of these leases are each three years and afterwards provide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equipment leases require three advance rental payments to be held as security deposits. The security deposits held amounted to approximately $0.1 million as of each of September 30, 2026 and December 31, 2025, and are included in other non-current assets on the condensed balance sheets.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Birmingham, Alabama, which was modified and extended in March 2024 for an additional 60-month term ending in March 2029, with an option to extend for five additional years, resulting in an increase to both the right-of-use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paid five monthly payments of $20,000, beginning on June 1, 2025. As of October 1, 2026, there were no payments remaining.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New York, New York, with a term that commenced on September 15, 2021, and continues through March 2027. This lease was modified and extended in August 2026 for an additional 60-month term ending in July 2032, resulting in an increase to both the right-of-use assets and operating lease liabilities.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operating leases required security deposits at the inception of each lease. The security deposits amounted to $0.2 million as of September 30, 2026 and December 31, 2025. As of September 30, 2026 and December 31, 2025, $0.2 million was included in restricted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and other information pertaining to the Company’s finance and operating leases for the three and nine months ended September 30, 2026 and 2025 (in thousands):</w:t>
      </w:r>
    </w:p>
    <w:p>
      <w:pPr>
        <w:pStyle w:val="TextBody"/>
        <w:bidi w:val="0"/>
        <w:jc w:val="both"/>
      </w:pPr>
      <w:r>
        <w:t> </w:t>
      </w:r>
    </w:p>
    <w:tbl>
      <w:tblPr>
        <w:tblW w:w="8393" w:type="dxa"/>
        <w:jc w:val="left"/>
        <w:tblInd w:w="0" w:type="dxa"/>
        <w:tblLayout w:type="fixed"/>
        <w:tblCellMar>
          <w:top w:w="28" w:type="dxa"/>
          <w:left w:w="28" w:type="dxa"/>
          <w:bottom w:w="28" w:type="dxa"/>
          <w:right w:w="28" w:type="dxa"/>
        </w:tblCellMar>
      </w:tblPr>
      <w:tblGrid>
        <w:gridCol w:w="4106"/>
        <w:gridCol w:w="146"/>
        <w:gridCol w:w="217"/>
        <w:gridCol w:w="434"/>
        <w:gridCol w:w="150"/>
        <w:gridCol w:w="150"/>
        <w:gridCol w:w="217"/>
        <w:gridCol w:w="434"/>
        <w:gridCol w:w="146"/>
        <w:gridCol w:w="146"/>
        <w:gridCol w:w="211"/>
        <w:gridCol w:w="571"/>
        <w:gridCol w:w="146"/>
        <w:gridCol w:w="146"/>
        <w:gridCol w:w="211"/>
        <w:gridCol w:w="571"/>
        <w:gridCol w:w="391"/>
      </w:tblGrid>
      <w:t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1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tbl>
      <w:tblPr>
        <w:tblW w:w="8788" w:type="dxa"/>
        <w:jc w:val="left"/>
        <w:tblInd w:w="0" w:type="dxa"/>
        <w:tblLayout w:type="fixed"/>
        <w:tblCellMar>
          <w:top w:w="28" w:type="dxa"/>
          <w:left w:w="28" w:type="dxa"/>
          <w:bottom w:w="28" w:type="dxa"/>
          <w:right w:w="28" w:type="dxa"/>
        </w:tblCellMar>
      </w:tblPr>
      <w:tblGrid>
        <w:gridCol w:w="7186"/>
        <w:gridCol w:w="146"/>
        <w:gridCol w:w="355"/>
        <w:gridCol w:w="785"/>
        <w:gridCol w:w="316"/>
      </w:tblGrid>
      <w:t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71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undiscounted cash flows to the operating and finance lease liabilities at September 30, 2026 (in thousands):</w:t>
      </w:r>
    </w:p>
    <w:p>
      <w:pPr>
        <w:pStyle w:val="TextBody"/>
        <w:bidi w:val="0"/>
        <w:jc w:val="left"/>
      </w:pPr>
      <w:r>
        <w:t> </w:t>
      </w:r>
    </w:p>
    <w:tbl>
      <w:tblPr>
        <w:tblW w:w="5845" w:type="dxa"/>
        <w:jc w:val="left"/>
        <w:tblInd w:w="0" w:type="dxa"/>
        <w:tblLayout w:type="fixed"/>
        <w:tblCellMar>
          <w:top w:w="28" w:type="dxa"/>
          <w:left w:w="28" w:type="dxa"/>
          <w:bottom w:w="28" w:type="dxa"/>
          <w:right w:w="28" w:type="dxa"/>
        </w:tblCellMar>
      </w:tblPr>
      <w:tblGrid>
        <w:gridCol w:w="2566"/>
        <w:gridCol w:w="146"/>
        <w:gridCol w:w="449"/>
        <w:gridCol w:w="736"/>
        <w:gridCol w:w="146"/>
        <w:gridCol w:w="146"/>
        <w:gridCol w:w="367"/>
        <w:gridCol w:w="998"/>
        <w:gridCol w:w="291"/>
      </w:tblGrid>
      <w:t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sz w:val="20"/>
        </w:rPr>
      </w:pPr>
      <w:r>
        <w:rPr>
          <w:rFonts w:ascii="Times New Roman" w:hAnsi="Times New Roman"/>
          <w:b/>
          <w:caps/>
          <w:color w:val="000000"/>
          <w:sz w:val="20"/>
        </w:rPr>
        <w:t>13. SEGMENTS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CODM or decision making group in making decisions on how to allocate resources and assess performance. The Company has one operating segment focused on the discovery, development and commercialization of gamma-delta T cell product candidates and TCEs for cancer and autoimmune disease. The CODM is the Company’s CEO. The CEO manages the Company’s operations, assesses performance for the operating segment and decides how to allocate resources based on net loss, which is reported on the condensed statements of operations. Depreciation expense, amortization expense, stock-based compensation expense, and non-cash lease expense are significant noncash items included in net loss reviewed by the CFO and CEO and are reported on the condensed statements of cash flows. The measure of segment assets is reported on the condensed balance sheets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certain financial data for the Company’s reportable segment: </w:t>
      </w:r>
    </w:p>
    <w:p>
      <w:pPr>
        <w:pStyle w:val="TextBody"/>
        <w:bidi w:val="0"/>
        <w:jc w:val="left"/>
      </w:pPr>
      <w:r>
        <w:t> </w:t>
      </w:r>
    </w:p>
    <w:tbl>
      <w:tblPr>
        <w:tblW w:w="9697" w:type="dxa"/>
        <w:jc w:val="left"/>
        <w:tblInd w:w="0" w:type="dxa"/>
        <w:tblLayout w:type="fixed"/>
        <w:tblCellMar>
          <w:top w:w="28" w:type="dxa"/>
          <w:left w:w="28" w:type="dxa"/>
          <w:bottom w:w="28" w:type="dxa"/>
          <w:right w:w="28" w:type="dxa"/>
        </w:tblCellMar>
      </w:tblPr>
      <w:tblGrid>
        <w:gridCol w:w="5146"/>
        <w:gridCol w:w="146"/>
        <w:gridCol w:w="211"/>
        <w:gridCol w:w="571"/>
        <w:gridCol w:w="146"/>
        <w:gridCol w:w="146"/>
        <w:gridCol w:w="211"/>
        <w:gridCol w:w="571"/>
        <w:gridCol w:w="146"/>
        <w:gridCol w:w="146"/>
        <w:gridCol w:w="211"/>
        <w:gridCol w:w="676"/>
        <w:gridCol w:w="146"/>
        <w:gridCol w:w="146"/>
        <w:gridCol w:w="211"/>
        <w:gridCol w:w="676"/>
        <w:gridCol w:w="191"/>
      </w:tblGrid>
      <w:t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INB-100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INB-200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INB-400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Other segment items include preclinical expenses, interest income and other income. </w:t>
      </w:r>
    </w:p>
    <w:p>
      <w:pPr>
        <w:pStyle w:val="TextBody"/>
        <w:bidi w:val="0"/>
        <w:spacing w:before="240" w:after="283"/>
        <w:jc w:val="both"/>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(this "Quarterly Report") contains statements that may constitute "forward-looking statements" within the meaning of Section 27A of the Securities Act of 1933, as amended, (the "Securities Act"), and Section 21E of the Securities Exchange Act of 1934, as amended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2025 in our Annual Report on Form 10-K for the fiscal year ended December 31, 2025 (the "Annual Report"). Unless otherwise indicated, all information in this Quarterly Report on Form 10-Q gives effect to a 1-for-30 reverse stock split of our common stock that became effective on June 5, 2025, and all references to shares of common stock outstanding and per share amounts give effect to the reverse stock split.</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We are a leading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w:t>
      </w:r>
      <w:r>
        <w:rPr>
          <w:rFonts w:ascii="Times New Roman" w:hAnsi="Times New Roman"/>
          <w:color w:val="000000"/>
          <w:sz w:val="13"/>
        </w:rPr>
        <w:t xml:space="preserve">TM — </w:t>
      </w:r>
      <w:r>
        <w:rPr>
          <w:rFonts w:ascii="Times New Roman" w:hAnsi="Times New Roman"/>
          <w:color w:val="000000"/>
          <w:sz w:val="20"/>
        </w:rPr>
        <w:t xml:space="preserve">the safe elimination of all cancer and target cells in every patient battling disease. We develop TCEs, along with </w:t>
      </w:r>
      <w:r>
        <w:rPr>
          <w:rFonts w:ascii="Times New Roman" w:hAnsi="Times New Roman"/>
          <w:i/>
          <w:color w:val="000000"/>
          <w:sz w:val="20"/>
        </w:rPr>
        <w:t>ex vivo</w:t>
      </w:r>
      <w:r>
        <w:rPr>
          <w:rFonts w:ascii="Times New Roman" w:hAnsi="Times New Roman"/>
          <w:color w:val="000000"/>
          <w:sz w:val="13"/>
        </w:rPr>
        <w:t xml:space="preserve"> </w:t>
      </w:r>
      <w:r>
        <w:rPr>
          <w:rFonts w:ascii="Times New Roman" w:hAnsi="Times New Roman"/>
          <w:color w:val="000000"/>
          <w:sz w:val="20"/>
        </w:rPr>
        <w:t>expanded and activated gamma-delta T cell candidates based upon our deep expertise in gamma-delta T cell biology, proprietary genetic engineering, and cell-type specific manufacturing capabilities, which we refer to collectively as our DeltEx platform. Our platform employs TCEs, allogeneic, autologous, induced pluripotent stem cell ("iPSC"), and genetically modified cell therapy approaches that are designed to effectively identify and eradicate tumor or target cells. To date, we have conducted two primary investigator-sponsored Phase 1 clinical trials evaluating our gamma-delta T cell technologies in cancer patients, which have both completed primary enrollment. INB-100 is assessing our DeltEx Allogeneic ("Allo") gamma-delta T cell therapy in adult patients with high-risk leukemias undergoing haploidentical stem cell transplantation ("HSCT"). INB-200 evaluated our DeltEx Drug Resistant Immunotherapy ("DRI") in patients with newly diagnosed glioblastoma ("GBM"). Both trials have demonstrated encouraging clinical activity, including long-term durable remissions, with patients remaining alive and in remission or progression-free for more than four years.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Most recently we introduced INB-600, our proprietary, internally developed TCE platform. We have demonstrated that INB-619, a CD19 targeted gamma-delta TCE can efficiently and completely eliminate targeted B cells in a dose-dependent manner. Data presented at The American College of Rheumatology Convergence 2025 meeting ("ACR Convergence 2025") highlighted the potential of INB-619 in B cell-driven autoimmune diseases such as systemic lupus erythematosus ("SLE") and demonstrated deep B cell depletion through selective activation and expansion of gamma-delta T cells. We expect to report initial </w:t>
      </w:r>
      <w:r>
        <w:rPr>
          <w:rFonts w:ascii="Times New Roman" w:hAnsi="Times New Roman"/>
          <w:i/>
          <w:color w:val="000000"/>
          <w:sz w:val="20"/>
        </w:rPr>
        <w:t>in vivo</w:t>
      </w:r>
      <w:r>
        <w:rPr>
          <w:rFonts w:ascii="Times New Roman" w:hAnsi="Times New Roman"/>
          <w:color w:val="000000"/>
          <w:sz w:val="20"/>
        </w:rPr>
        <w:t xml:space="preserve"> data for INB-619 by year-end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INB-100, our first DeltEx allogeneic product candidate, was developed to assess the safety and tolerability of donor-derived manufactured expanded and activated gamma-delta T cells that do not undergo additional genetic modification. The Phase 1 trial of INB-100 has completed primary enrollment and a recommended Phase 2 dose ("RP2D") has been determined. We are currently enrolling an expansion cohort at the RP2D, with a target of up to an additional 15 patients (for a minimum of 25 total patients in the INB-100 Phase 1 trial), to confirm the improvements in relapse free and OS observed to date. We expect to complete the treatment of all patients and present a clinical update at the American Society of Hematology (ASH) Annual Meeting in December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DeltEx DRI product candidate, INB-200, is being developed for newly diagnosed GBM. Patient dosing in the investigator-sponsored Phase 1 trial of INB-200 (NCT04165941) has been completed and we continue to follow patients for progression-free survival ("PFS") and overall survival ("OS"). In July 2026 we announced the publication of peer-reviewed clinical data from our Phase 1 trial of INB-200 in The Journal of Clinical Oncology ("JCO"), titled: “Intracranial injection of ex vivo expanded and activated gamma-delta T cells engineered with a MGMT-expressing lentivector in patients with primary glioblastoma.”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INB-400 is our corporate-sponsored investigational new drug application ("IND") for the Phase 2, multi-center clinical trial evaluating our DeltEx DRI technology in newly diagnosed GBM. Treatment of any enrolled patients has been completed and the IND remains open. In September 2024, following a pipeline prioritization review, we suspended further enrollment in the Phase 2 trial of INB-400 to conserve capital. The trial was designed to further evaluate genetically modified, DRI gamma-delta T cells in newly diagnosed GBM patients across multiple centers in the United States. In June 2026, we presented longer-term follow-up data at the American Society of Clinical Oncology ("ASCO")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data was updated through May 15, 2026, and patients who received repeated doses (three or six) of DeltEx DRI gamma-delta T cells reported a median progression-free survival ("mPFS") of 13.0 months and an OS exceeding 19.5 months, with median overall survival ("mOS") continuing to grow. Our DeltEx DRI approach has the potential to address this significant unmet need and demonstrates the activity of gamma-delta T cells. We expect to provide further clinical updates, including additional mOS data from the total data set, in an oral session at the Society for Neuro-Oncology Annual Meeting in November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("ODD") from the FDA for both the autologous and allogeneic DeltEx DRI INB-400 product candidates, covering a broad range of malignant glioma indications, including relapsed and newly diagnosed GBM. We have sought further guidance from the FDA regarding potential development and regulatory pathways and expect to evaluate any potential funding sources and alternative strategic opportunities to derive value from this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have a portfolio of preclinical programs within our DeltEx pipeline which remain suspended in development due to current market interest and prioritization. These include INB-300, a targeted non-signaling gamma-delta T cell based chimeric antigen receptor ("nsCAR") construct which is applicable to both solid and liquid tumors, and INB-500, which encompasses our ability to produce gamma-delta T cells from iPSCs.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240" w:after="283"/>
        <w:jc w:val="center"/>
      </w:pPr>
      <w:r>
        <w:drawing>
          <wp:inline distT="0" distB="0" distL="0" distR="0">
            <wp:extent cx="6829425" cy="383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29425" cy="38385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at-the-market ("ATM") programs, and multiple private placements.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additional losses in the future as we advance our product candidates through clinical trials, grow our clinical, regulatory and quality capabilities, and incur costs associated with operating as a public company. Based on our business strategy, our existing cash of $14.0 million as of September 30, 2026 is not anticipated to fund our projected operating expenses and capital expenditure requirements for a period of at least 12 months from the date of issuance of the accompanying condensed financial statements, and accordingly, there is substantial doubt about our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maintain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our private placement completed in December 2025,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 In addition, we may receive an additional $6.7 million in aggregate proceeds if the holders of our Series C warrants exercise their warrants in full. Further, if not otherwise redeemed by us, we may also receive aggregate proceeds of up to $2.3 million from the exercise of our outstanding Series B warrants in full. There is no assurance, however, that we will receive any additional proceeds from the second closing of the 2025 private placement or the exercise of outstanding warrants or pre-funded warrants,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and Capital Resources"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amount of cash that we will need to operate is subject to many factors, including those described in the section titled "Risk Factors." The condensed financial statements have been prepared on the basis that we will continue as a going concern and do not include adjustments that might result from the outcome of this uncertainty.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 benefits, severance payments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consultants for services directly related to our product development and regulatory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associated with conducting preclinical studies performed by ourselves, outside vendors or academic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manufacture drug product candidates for use in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preclinical activities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We expect that our research and development expenses will increase in the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includes interest earned from certain bank accounts.</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three months ended September 30, 2026 and 2025 (in thousands): </w:t>
      </w:r>
    </w:p>
    <w:p>
      <w:pPr>
        <w:pStyle w:val="TextBody"/>
        <w:bidi w:val="0"/>
        <w:jc w:val="left"/>
      </w:pPr>
      <w:r>
        <w:t> </w:t>
      </w:r>
    </w:p>
    <w:tbl>
      <w:tblPr>
        <w:tblW w:w="6735" w:type="dxa"/>
        <w:jc w:val="left"/>
        <w:tblInd w:w="0" w:type="dxa"/>
        <w:tblLayout w:type="fixed"/>
        <w:tblCellMar>
          <w:top w:w="28" w:type="dxa"/>
          <w:left w:w="28" w:type="dxa"/>
          <w:bottom w:w="28" w:type="dxa"/>
          <w:right w:w="28" w:type="dxa"/>
        </w:tblCellMar>
      </w:tblPr>
      <w:tblGrid>
        <w:gridCol w:w="2511"/>
        <w:gridCol w:w="146"/>
        <w:gridCol w:w="283"/>
        <w:gridCol w:w="849"/>
        <w:gridCol w:w="223"/>
        <w:gridCol w:w="196"/>
        <w:gridCol w:w="283"/>
        <w:gridCol w:w="849"/>
        <w:gridCol w:w="166"/>
        <w:gridCol w:w="146"/>
        <w:gridCol w:w="211"/>
        <w:gridCol w:w="481"/>
        <w:gridCol w:w="391"/>
      </w:tblGrid>
      <w:t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September 30, 2026 and 2025 (in thousands): </w:t>
      </w:r>
    </w:p>
    <w:p>
      <w:pPr>
        <w:pStyle w:val="TextBody"/>
        <w:bidi w:val="0"/>
        <w:jc w:val="both"/>
      </w:pPr>
      <w:r>
        <w:t> </w:t>
      </w:r>
    </w:p>
    <w:tbl>
      <w:tblPr>
        <w:tblW w:w="9471" w:type="dxa"/>
        <w:jc w:val="left"/>
        <w:tblInd w:w="0" w:type="dxa"/>
        <w:tblLayout w:type="fixed"/>
        <w:tblCellMar>
          <w:top w:w="28" w:type="dxa"/>
          <w:left w:w="28" w:type="dxa"/>
          <w:bottom w:w="28" w:type="dxa"/>
          <w:right w:w="28" w:type="dxa"/>
        </w:tblCellMar>
      </w:tblPr>
      <w:tblGrid>
        <w:gridCol w:w="5046"/>
        <w:gridCol w:w="146"/>
        <w:gridCol w:w="305"/>
        <w:gridCol w:w="826"/>
        <w:gridCol w:w="211"/>
        <w:gridCol w:w="211"/>
        <w:gridCol w:w="305"/>
        <w:gridCol w:w="826"/>
        <w:gridCol w:w="146"/>
        <w:gridCol w:w="146"/>
        <w:gridCol w:w="211"/>
        <w:gridCol w:w="481"/>
        <w:gridCol w:w="611"/>
      </w:tblGrid>
      <w:t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Research and development expenses were $2.6 million for the three months ended September 30, 2026, compared to $2.1 million for the comparable prior year period. This includes non-cash items such as stock-based compensation ("SBC") and depreciation of $0.4 million for the three months ended September 30, 2026. The increase of $0.5 million was primarily due to increases in direct preclinical costs of $0.5 million for INB-600 and $0.2 million personnel related expenses, partially offset by a $0.2 million decrease in facility-related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$2.1 million for the three months ended September 30, 2026, compared to $1.9 million for the comparable prior year period. This includes non-cash items such as SBC and depreciation of $0.3 million for the three months ended September 30, 2026. The increase of $0.2 million was primarily due to an increase in professional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$0.1 million for the three months ended September 30, 2026 and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nine months ended September 30, 2026 and 2025 (in thousands): </w:t>
      </w:r>
    </w:p>
    <w:p>
      <w:pPr>
        <w:pStyle w:val="TextBody"/>
        <w:bidi w:val="0"/>
        <w:jc w:val="left"/>
      </w:pPr>
      <w:r>
        <w:t> </w:t>
      </w:r>
    </w:p>
    <w:tbl>
      <w:tblPr>
        <w:tblW w:w="6615" w:type="dxa"/>
        <w:jc w:val="left"/>
        <w:tblInd w:w="0" w:type="dxa"/>
        <w:tblLayout w:type="fixed"/>
        <w:tblCellMar>
          <w:top w:w="28" w:type="dxa"/>
          <w:left w:w="28" w:type="dxa"/>
          <w:bottom w:w="28" w:type="dxa"/>
          <w:right w:w="28" w:type="dxa"/>
        </w:tblCellMar>
      </w:tblPr>
      <w:tblGrid>
        <w:gridCol w:w="2511"/>
        <w:gridCol w:w="146"/>
        <w:gridCol w:w="248"/>
        <w:gridCol w:w="866"/>
        <w:gridCol w:w="195"/>
        <w:gridCol w:w="171"/>
        <w:gridCol w:w="248"/>
        <w:gridCol w:w="866"/>
        <w:gridCol w:w="166"/>
        <w:gridCol w:w="146"/>
        <w:gridCol w:w="220"/>
        <w:gridCol w:w="441"/>
        <w:gridCol w:w="391"/>
      </w:tblGrid>
      <w:t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nine months ended September 30, 2026 and 2025 (in thousands): </w:t>
      </w:r>
    </w:p>
    <w:p>
      <w:pPr>
        <w:pStyle w:val="TextBody"/>
        <w:bidi w:val="0"/>
        <w:spacing w:before="40" w:after="283"/>
        <w:jc w:val="both"/>
      </w:pPr>
      <w:r>
        <w:t> </w:t>
      </w:r>
    </w:p>
    <w:tbl>
      <w:tblPr>
        <w:tblW w:w="9381" w:type="dxa"/>
        <w:jc w:val="left"/>
        <w:tblInd w:w="0" w:type="dxa"/>
        <w:tblLayout w:type="fixed"/>
        <w:tblCellMar>
          <w:top w:w="28" w:type="dxa"/>
          <w:left w:w="28" w:type="dxa"/>
          <w:bottom w:w="28" w:type="dxa"/>
          <w:right w:w="28" w:type="dxa"/>
        </w:tblCellMar>
      </w:tblPr>
      <w:tblGrid>
        <w:gridCol w:w="5046"/>
        <w:gridCol w:w="146"/>
        <w:gridCol w:w="295"/>
        <w:gridCol w:w="798"/>
        <w:gridCol w:w="204"/>
        <w:gridCol w:w="204"/>
        <w:gridCol w:w="295"/>
        <w:gridCol w:w="798"/>
        <w:gridCol w:w="146"/>
        <w:gridCol w:w="146"/>
        <w:gridCol w:w="211"/>
        <w:gridCol w:w="481"/>
        <w:gridCol w:w="611"/>
      </w:tblGrid>
      <w:t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were $7.7 million for the nine months ended September 30, 2026, compared to $7.6 million for the comparable prior year period. This includes non-cash items such as SBC and depreciation of $1.2 million for the nine months ended September 30, 2026. This was primarily due to increases of $1.0 million in preclinical costs related to the TCE program, $0.3 million personnel related expenses, and $0.1 million for direct clinical costs related to INB-100, partially offset by decreases in direct clinical costs of $0.6 million for INB-400 and facility related costs of $0.7 million.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$7.2 million for the nine months ended September 30, 2026, compared to $7.3 million for the comparable prior year period. This includes non-cash items such as SBC and depreciation of $0.7 million for the nine months ended September 30, 2026. The decrease of $0.1 million was primarily due to a decrease in personnel-related costs, including SBC and a reduction in professional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$0.5 million and $0.3 million for the nine months ended September 30, 2026 and 2025, respectively.</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primarily through the sale of equity and equity-linked securities, including through our IPO, follow-on offering, ATM programs and multiple private placements. Through September 30, 2026, we have raised an aggregate of $163.3 million of gross proceeds from the sale of our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we had cash of $14.0 million, which is only expected to fund our projected operating expenses and capital expenditure requirements through April 2027. We continue to deploy cash preservation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private placement completed in December 2025,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 In addition, we may receive aggregate proceeds of up to $6.7 million from the exercise of our outstanding pre-funded warrants and Series C warrants, assuming the exercise in full of all of such warrants for cash. Further, if not otherwise redeemed by us, we may also receive aggregate proceeds of up to $2.3 million from the exercise in full of our outstanding Series B warrants. See Note 7, Warrants, in our unaudited condensed financial statements contained elsewhere in this Quarterly Report for additional information on our outstanding warrants. There is no assurance, however, that we will receive any additional proceeds from these warrants or that any additional financing or any revenue-generating collaboration will be available,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needed. If we are unable to raise capital when needed or on acceptable terms, we could be forced to delay, reduce, or explore other strategic options for our research and development programs or other opportunities, or even terminate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 November 2022, we entered into a Controlled Equity Offering</w:t>
      </w:r>
      <w:r>
        <w:rPr>
          <w:rFonts w:ascii="Times New Roman" w:hAnsi="Times New Roman"/>
          <w:color w:val="000000"/>
          <w:sz w:val="13"/>
        </w:rPr>
        <w:t xml:space="preserve">SM </w:t>
      </w:r>
      <w:r>
        <w:rPr>
          <w:rFonts w:ascii="Times New Roman" w:hAnsi="Times New Roman"/>
          <w:color w:val="000000"/>
          <w:sz w:val="20"/>
        </w:rPr>
        <w:t>sales agreement with Cantor Fitzgerald &amp; Co. ("Cantor Fitzgerald") and Truist Securities, Inc. ("Truist") under which Cantor Fitzgerald and Truist agreed to act as our sales agents to sell shares of our common stock, from time to time, in an ATM program. In March 2024, we delivered a termination notice to Truist, removing them as sales agent under the sales agreement, and on May 29, 2026, we and Cantor Fitzgerald mutually agreed to terminate the sales agreement effective at the close of business on May 29, 2026.</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In November 2025, we filed a shelf registration statement on Form S-3 (File No. 333-291393) (the "Shelf Registration Statement") with the SEC, which became effective on May 20, 2026, which permits the issuance and sale of up to a maximum aggregate offering price of $200.0 million of our common stock, preferred stock, various series of debt securities, warrants to purchase common stock, preferred stock or debt securities, rights to purchase equity or debt securities, and/or units to purchase any combination of such securities. On June 1, 2026, we entered into a Capital on Demand</w:t>
      </w:r>
      <w:r>
        <w:rPr>
          <w:rFonts w:ascii="Times New Roman" w:hAnsi="Times New Roman"/>
          <w:color w:val="000000"/>
          <w:sz w:val="13"/>
        </w:rPr>
        <w:t xml:space="preserve">TM </w:t>
      </w:r>
      <w:r>
        <w:rPr>
          <w:rFonts w:ascii="Times New Roman" w:hAnsi="Times New Roman"/>
          <w:color w:val="000000"/>
          <w:sz w:val="20"/>
        </w:rPr>
        <w:t>Sales Agreement (the "Sales Agreement") with JonesTrading Institutional Services LLC ("JonesTrading") with respect to an at-the-market offering program under which we may issue and sell, from time to time at our sole discretion, shares of our common stock, through or to JonesTrading (the “ATM Program”) pursuant to the Shelf Registration Statement. As of November 2, 2026, $2.8 million remained available for the sale of our common stock under the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Form 10-Q, our public float was less than $75 million. As a result, we are subject to the limitations of General Instruction I.B.6 to Form S-3 until such time as our public float exceeds $75 million, which means we only have the capacity to sell shares up to one-third of our public float under shelf registration statements in any 12-month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pStyle w:val="TextBody"/>
        <w:bidi w:val="0"/>
        <w:spacing w:before="240" w:after="283"/>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clinical and commercial supplies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 party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interruptions, delays and/or cost increases resulting from public health crises, increased interest rates and geopolitical tensions, such as wars and terrorism;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medical, scientific,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inflationary factors, such as increases in the cost of our clinical trial materials and supplies, interest rates, tariffs and overhead costs may adversely affect our operating results. Although we do not believe that inflation has had a material impact on our financial position or results of operations to date, we may experience increased operating costs in the near future (especially if inflation rates rise). Such increases may impact our labor costs and research and development costs, due to supply chain constraints, consequences associated with geopolitical tensions and any future tariffs enacted by the U.S. government and employee availability and wage increases, which may result in additional stress on our working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including as a result of increases in inflation and interest rates, disruptions to, and volatility in, the credit and financial markets in the United States, tariffs and trade wars, and other geopolitical tensions, such as wars and terrorism and future U.S. government shutdowns.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material cash requirements as of September 30, 2026 included operating lease commitments, including the lease of our current headquarters office in New York, New York, laboratory and office space in Birmingham, Alabama and a manufacturing service agreement with a third party to engage in research of cell therapy products. See Note 12, Equipment and Facility Leases, in our unaudited condensed financial statements contained elsewhere in this Quarterly Report for additional information. As of September 30, 2026, we had fixed lease payment obligations of $3.6 million, with $1.3 million payable within 12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left"/>
      </w:pPr>
      <w:r>
        <w:t> </w:t>
      </w:r>
    </w:p>
    <w:tbl>
      <w:tblPr>
        <w:tblW w:w="7167" w:type="dxa"/>
        <w:jc w:val="left"/>
        <w:tblInd w:w="0" w:type="dxa"/>
        <w:tblLayout w:type="fixed"/>
        <w:tblCellMar>
          <w:top w:w="28" w:type="dxa"/>
          <w:left w:w="28" w:type="dxa"/>
          <w:bottom w:w="28" w:type="dxa"/>
          <w:right w:w="28" w:type="dxa"/>
        </w:tblCellMar>
      </w:tblPr>
      <w:tblGrid>
        <w:gridCol w:w="4216"/>
        <w:gridCol w:w="146"/>
        <w:gridCol w:w="248"/>
        <w:gridCol w:w="866"/>
        <w:gridCol w:w="195"/>
        <w:gridCol w:w="171"/>
        <w:gridCol w:w="248"/>
        <w:gridCol w:w="866"/>
        <w:gridCol w:w="211"/>
      </w:tblGrid>
      <w:t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$12.6 million during the nine months ended September 30, 2026, primarily due to our net loss of $14.5 million and changes in operating assets and liabilities of $0.8 million, partially offset by non-cash charges of $2.5 million. Increases in our operating assets and liabilities consisted primarily of $0.5 million in accrued expenses and other current liabilities relating primarily to accrued compensation, accrued clinical and preclinical, and accrued legal, and $0.1 million in net operating lease liabilities, partially offset by $0.4 million in prepaid expenses and other current assets and a decrease of $0.2 million in accounts payable. Non-cash charges consisted primarily of $1.1 million in stock-based compensation, $0.8 million of depreciation, and $0.6 million in amortization of right-of-use assets associated with our operating and finance leases for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$10.6 million during the nine months ended September 30, 2025, primarily due to our net loss of $14.5 million and changes in operating assets and liabilities of $0.5 million, partially offset by non-cash charges of $4.4 million. Increases in our operating assets and liabilities consisted primarily of $0.4 million in prepaid expenses and other current assets and $0.1 million in non-current assets, partially offset by decreases of $0.6 million in accrued expenses and other current liabilities relating primarily to accrued compensation, accrued clinical trials, and accrued legal, $0.2 million in accounts payable and $0.2 million in net operating lease liabilities. Non-cash charges consisted primarily of $2.5 million in stock-based compensation, $1.2 million in amortization of right-of-use assets associated with our operating and finance leases for the period and $0.8 million of depreciation.</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$(0.2) million during the nine months ended September 30, 2026, primarily due to the purchase of 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nil during the nine months ended September 30, 2025.</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$(0.3) million during the nine months ended September 30, 2026, primarily due to $0.3 million in principal payments of 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$10.1 million during the nine months ended September 30, 2025, primarily due to $8.4 million in net proceeds received from our ATM Program, $2.3 million in warrants exercised, partially offset by $0.6 million in principal payments of finance leases.</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Quarterly Report on Form 10-Q.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of preparing our financial statements, we are required to estimate our accrued research and development expenses. We make estimates of our accrued expenses as of each condensed balance sheet date in the condensed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condensed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pStyle w:val="TextBody"/>
        <w:bidi w:val="0"/>
        <w:spacing w:before="24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2026, we did not adopt any new Accounting Standards Updates ("ASUs") issued by the Financial Accounting Standards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evaluated recently issued and unadopted ASUs, and believe the adoption of these standards will not have a material impact on our condensed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a "smaller reporting company," and we may continue to be a smaller reporting company so long as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pStyle w:val="TextBody"/>
        <w:bidi w:val="0"/>
        <w:spacing w:before="24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Item 10 of Regulation S-K and are not required to provide the information otherwise required under this item. </w:t>
      </w:r>
    </w:p>
    <w:p>
      <w:pPr>
        <w:pStyle w:val="TextBody"/>
        <w:bidi w:val="0"/>
        <w:spacing w:before="240" w:after="283"/>
        <w:jc w:val="both"/>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September 30, 2026, our disclosure controls and procedures were effective at the reasonable assurance level.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nine months ended September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240" w:after="283"/>
        <w:jc w:val="both"/>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sale of a substantial number of shares of our common stock may cause the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outstanding warrants may not be exercised and we may not receive any cash proceeds from any exercise of warrants.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may be limited by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the successful clinical development, regulatory approval and commercialization of our gamma-delta T cell and T cell engager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utility of our DeltEx platform is uncertain and may never be realized. Additionally, certain aspects of the function and production of gamma-delta T cells and TCEs are poorly understood or currently unknown and may only become known through further preclinical and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file investigational new drug ("IND") applications to commence additional clinical trials on the timelines we expect, and even if we are able to, the FDA or any other regulatory agency may not permit us to proceed.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of a product candidate intended for use in combination with an already approved therapy may present increased complexity and more or different challenges than development of a product candidate for use as a single agent or monotherapy.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opinion and scrutiny of our competitors, cell-based immunotherapy, T cell engagers, and genetic modification approaches may impact public perception of our company and product candidates, or may adversely affect our ability to conduct our business, raise additional capital and our business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many of our competitors have substantially greater experience and resources than we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store our gamma-delta T cells, TCEs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pharmaceuticals industry depends upon our ability to attract and retain highly qualified managerial, scientific, medical and other personnel. We are highly dependent on the services of our co-founders, William Ho, our Chief Executive Officer ("CEO"), and Dr. Larry Lamb, our Chief Scientific Officer ("CSO"), and of our President and Chief Operating Officer ("COO"),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as a result of increases in inflation, the price of oil, and interest rates, tariffs and trade wars, elections, public health crises or geopolitical tensions, such as wars and terrorism, and future U.S. government shutdowns, may have serious adverse consequences on our business, ability to raise capital, financial condition and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we had cash of $14.0 million, which is only expected to fund our projected operating expenses and capital expenditure requirements through April 2027. We continue to maintain cash preservation measures to defer or reduce costs in the near term in order to preserve capital and increase financial flexibility. These cash preservation measures may impact our ability and the timing to execute our strategy. Our ability to continue as a going concern will depend on our ability to obtain additional funding, as to which no assurances can be given. We continue to analyze various alternatives, including additional debt or equity financings or other arrangements. Due to the uncertainty of our ability to meet our current operating and capital expenses, in their report on our audited annual financial statements as of and for the years ended December 31, 2025 and 2024,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including as a result of increases in inflation and interest rates, disruptions to, and volatility in, the credit and financial markets in the United States and worldwide, tariffs and trade wars, elections, public health crises or geopolitical tensions, such as wars and terrorism and future U.S. government shutdowns.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For example, in recent years we have issued a substantial number of shares of common stock and warrants to purchase shares of common stock to raise additional capital, including most recently our sale and issuance of 5,127,029 shares of common stock and pre-funded warrants to purchase up to 9,452,677 shares of common stock in a private placement in December 2025. In addition,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outstanding warrants may not be exercised and we may not receive any cash proceeds from any exercise of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we had 9,620,002 pre-funded warrants, 166,964 Series B warrants, and 828,863 Series C warrants outstanding. Of these, 9,452,677 pre-funded warrants have an exercise price of $0.0001 per share and 167,325 pre-funded warrants have an exercise price of $0.003 per share. The Series B warrants have an exercise price of $13.50 per share and will expire on December 13, 2028. The Series C warrants have an exercise price of $8.10 per share and will expire on October 4,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up to an aggregate of $9.0 million from the exercise of the Series B and Series C warrants, assuming the exercise in full of all of the warrants for cash. However, we will only receive proceeds to the extent the holders of warrants elect to exercise. We can provide no assurances as to the amount of proceeds we will receive from the exercise of warrants or whether we will receive any proceeds at all. Additionally, the warrants may, in certain circumstances, be exercised by way of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 was $14.5 million and $14.5 million for the nine months ended September 30, 2026 and 2025, respectively. As of September 30, 2026, we had an accumulated deficit of $155.6 million. We expect to continue to incur significant expenses and increasing operating losses for the foreseeable future. Since inception, we have devoted substantially all of our efforts to research and preclinical and clinical development of our product candidates, organizing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our product candidates, business planning and raising capital. Other than INB-400,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and TCE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candidates, in ongoing clinical trials. Our product candidates are in early stages of development and may never be commercialized. Additionally, we announced in September 2024 that we have suspended patient enrollment in the INB-400 Phase 2 clinical trial for newly diagnosed GBM while we explore additional funding, potential regulatory pathways and/or partnership opportunities, if any, for the program. We would require substantial additional funds to recommence and advance this trial through data and BLA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such as Australia.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insufficiency of data collected from clinical trials of our product candidates to support the submission and filing of a Biologics License Application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product candidates are in early stages of development, they will require extensive preclinical and clinical testing. INB-100 is our only product candidate currently in active clinical trials. While the IND remains open, in September 2024, we announced that we have suspended patient enrollment in the INB-400 Phase 2 clinical trial for newly diagnosed GBM while we explore additional funding, potential regulatory pathways and/or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any such product candidate. Any such delay or abandonment could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gamma-delta T cell engager ("γδ TCE") programs, INB-600, INB-633 and INB-619, which are currently in preclinical development, are subject to significant risks and uncertainties that could materially impact development of this platform and impact our results, timelines, financing or business objectives. The development of these product candidates is in early stages and remains preclinical; the work required to bring a γδ TCE through IND-enabling development and into clinical development encompasses many critical processes including cloning into optimized GMP compliant vector and cell systems, scale-up, generation of transient or stable cell lines for production, GMP manufacturing and large-scale production. These processes present complex scientific and technical challenges and are subject to numerous risks and uncertainties, including the risk that the TCE's properties, such as the stimulatory/expansion domain, binding affinity or specificity, or targeting domains may not function as anticipated when transitioning from preclinical systems to a larger-scale production system. Additionally, achieving sufficient purity during the manufacturing scale up and purification process to meet stringent regulatory standards for clinical trials poses a significant risk, as difficulties in removing impurities or ensuring product stability could lead to manufacturing delays or failures. Furthermore, in IND-enabling animal models, there is a risk that the TCE may not demonstrate the anticipated efficacy or may exhibit toxicity not previously identified in </w:t>
      </w:r>
      <w:r>
        <w:rPr>
          <w:rFonts w:ascii="Times New Roman" w:hAnsi="Times New Roman"/>
          <w:i/>
          <w:color w:val="000000"/>
          <w:sz w:val="20"/>
        </w:rPr>
        <w:t>in vitro</w:t>
      </w:r>
      <w:r>
        <w:rPr>
          <w:rFonts w:ascii="Times New Roman" w:hAnsi="Times New Roman"/>
          <w:color w:val="000000"/>
          <w:sz w:val="20"/>
        </w:rPr>
        <w:t xml:space="preserve"> or early </w:t>
      </w:r>
      <w:r>
        <w:rPr>
          <w:rFonts w:ascii="Times New Roman" w:hAnsi="Times New Roman"/>
          <w:i/>
          <w:color w:val="000000"/>
          <w:sz w:val="20"/>
        </w:rPr>
        <w:t>in vivo</w:t>
      </w:r>
      <w:r>
        <w:rPr>
          <w:rFonts w:ascii="Times New Roman" w:hAnsi="Times New Roman"/>
          <w:color w:val="000000"/>
          <w:sz w:val="20"/>
        </w:rPr>
        <w:t xml:space="preserve"> testing, potentially due to differences in biological systems or unforeseen off-target effects. Advancing to clinical trials introduces additional uncertainties, including challenges in obtaining regulatory approvals, potential safety or efficacy issues, difficulties in patient recruitment, and the complexities of trial execution. Failure to successfully address these risks could delay or prevent the progression of our T cell engager into clinical development.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("DRI") gamma-delta T cell and gamma-delta T cell engager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difficulties in manufacturing lentiviral vector and/or clinical supply of INB-100, INB-200 and INB-400 or any of our other current or future product candidates would adversely affect our business and operations. For additional details surrounding risks related to our manufacturing processes, see the risks highlighted in "Risks Related to Manufacturing and our Dependence on Third Parties," including "Our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 and/or patient’s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how to properly isolate cells, perform apheresis, administer our cells and the potential side effect profile of our product candidates, such as cytokine release syndrome, neurotoxicity, tumor inflammation-associated neurotoxicities,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effective and cost-effective means of consistently expanding and manufacturing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demand for manufacturing and its impact on capacity utilization of available infrastructure and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and effective means of genetically modifying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processes are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Unexpected adverse events reported by ourselves or competitors can negatively impact the market and perception of the viability of cellular therapies broadly. In recent years a newly defined severe adverse event termed tumor inflammation-associated neurotoxicity ("TIAN") has been identified that can lead to severe neurological adverse events leading to patient death. While we have not identified or observed such toxicities in our clinical trials to date, unexpected adverse events can present significant risks.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conduct additional clinical trials or abandon product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certain of our product candidates, including INB-400 and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standard-of-care.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health condition of the patient and their gamma-delta T cells and immune cells broadly;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clinician treatment practices and/or protocols from center to center;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the requisite materials for a patient and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clinical sites to enroll patients as health care capacities are required to cope with natural disasters, epidemics or other health system emergencies.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tested our TCE product candidates in human patients and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IND applications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announced our goals for potentially submitting additional INDs for INB-100, INB-400 and INB-619. We have suspended enrollment for INB-400 as we explore additional funding, potential regulatory pathways, partnerships and/or strategic alternatives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or any other regulatory authority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RMAT or Fast Track designations and may pursue accelerated approval for some or all of our current product candidates, but we may be unable to obtain such designations or, where obtained, we may be unable to maintain Breakthrough Therapy or RMAT designation or obtain or maintain the benefits associated with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Breakthrough Therapy, RMAT or Fast Track designations and may pursue accelerated approval for INB-100, INB-200, INB-400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Public opinion and scrutiny of our competitors, cell-based immunotherapy, T cell engagers, and genetic modification approaches may impact public perception of our company and product candidates, or may adversely affect our ability to raise capital, conduct our business and our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platform utilizes a relatively novel technology involving the genetic modification of human cells and utilization of those modified cells in other individuals, and our TCE program involves engineering antibodies that bind on T cells and a tumor-associated antigen on cancer cells. Public perception may be influenced by negative claims about our DeltEx platform, CAR-T therapies or T cell engagers,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of biotechnology products is complex and requires significant expertise and capital investment. We and our contract manufacturers must comply with cGMP regulations and guidelines for clinical trial product manufacture and for commercial product manufacture. We may encounter difficulties in production of INB-619 or future product candidates, particularly in scaling up, addressing product quality, product comparability, validating production processes and mitigating potential sources of contamination. These difficulties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procuring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quality control for our products, including stability of products, quality assurance testing, issues arising from operator error;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retaining qualified personnel for manufacturing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third-party suppliers and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cGMP requirements and other inspections by the FDA, EMA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expanding and scaling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manufacture, or obtain from third parties, sufficient quantities of qualified materials under cGMPs, for the completion in pre-clinical and clinical studies;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problems with biopharmaceutical product candidate storage, stability and distribution resulting from global supply chain disruptions.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microbial, viral or other contaminations are discovered in therapeutic products or in the manufacturing facilities in which our product candidates are made, such manufacturing facilities may need to be closed for an extended period of time to investigate and remedy the contamination.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adverse developments affecting manufacturing operations for INB-619 and future product candidates may result in lot failures, inventory shortages, shipment delays, product withdrawals,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or seek more costly manufacturing alternatives. In such event, it would negatively impact our ability to generate revenue, harm our reputation, and could have an adverse effect on our business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devote sufficient resources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products for INB-100 and INB-200, as well as our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for our cellular therapies in a timely manner, our ability to manufacture and supply sufficient quantities of our product candidates for clinical or commercial usage will be delayed or hindered, and our business could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in October 2025 and February 2026, the U.S. government has shut down several times and certain regulatory agencies, such as the FDA, have had to furlough critical FDA employees and stop critical activities.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expect to enter into additional such agreements in the future. In particular, our product candidates, INB-100, INB-200, INB-300 and INB-400,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been granted exclusive licenses under these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our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our license agreements, see Note 9, License Agreements, in our unaudited condensed financial statements contained elsewhere in this Quarterly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September 30, 2026, we owned, co-owned or exclusively licensed six issued U.S. patents, nine issued European patents, 20 other issued foreign patents, ten pending U.S. applications, one pending PCT application and 13 other foreign national-stage applications, including three European regional-phase applications that are important to the development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against third parties, or defend claims that they may bring against us, to determine the ownership of what we regard as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 xml:space="preserve">ex parte </w:t>
      </w:r>
      <w:r>
        <w:rPr>
          <w:rFonts w:ascii="Times New Roman" w:hAnsi="Times New Roman"/>
          <w:color w:val="000000"/>
          <w:sz w:val="20"/>
        </w:rPr>
        <w:t xml:space="preserve">reexaminations, </w:t>
      </w:r>
      <w:r>
        <w:rPr>
          <w:rFonts w:ascii="Times New Roman" w:hAnsi="Times New Roman"/>
          <w:i/>
          <w:color w:val="000000"/>
          <w:sz w:val="20"/>
        </w:rPr>
        <w:t>inter partes</w:t>
      </w:r>
      <w:r>
        <w:rPr>
          <w:rFonts w:ascii="Times New Roman" w:hAnsi="Times New Roman"/>
          <w:color w:val="000000"/>
          <w:sz w:val="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 xml:space="preserve">review, and derivation proceedings. The America Invents Act and its implementation could increase the uncertainties and costs surrounding the prosecution of our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Chief Executive Officer, Dr. Larry Lamb, our Chief Scientific Officer, and of our President and Chief Operating Officer,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co-founders, our Chief Executive Officer, William Ho, our Chief Scientific Officer, Dr. Lawrence Lamb and on our President and Chief Operating Officer, Dr. Kate Rochlin. Each of them may currently terminate their employment with us at any time. The loss of the services of any of these persons could impede the achievement of our research, development and commercialization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plan to expand our organization in the future, and we may experience difficulties in managing this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2026, we had 20 full-time employees. As the development of our product candidates continues to progress,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strategic partnerships, create joint ventures or collaborations or enter into licensing arrangements with third parties with respect to our product candidates that we believe will complement or augment our business.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dilutive issuances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expiration of the arrangement, which would delay the development and may increase the cost of developing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may not be successful in our efforts to establish a strategic partnership or other alternative arrangements for our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cloud-based computing services and those of any third parties with whom we work are vulnerable to damage or interruption from a variety of sources, including cyberattacks, malicious internet-based activity, and online and offline fraud, and other similar activities.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are increasingly difficult to detect, and are being conducted by sophisticated and organized groups and individuals with a wide range of motives and expertise,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the previously identified or similar threats were to occur and cause a security incident or other interruptions in our operations, it could result in a disruption of our development programs and our business operations, whether due to unauthorized, unlawful, or accidental acquisition, modification, destruction, loss, alteration, encryption, disclosure of, access to, or other similar disruptions to our sensitive information or our information technology systems, or those of the third parties with whom we work.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 Vulnerabilities could be exploited and result in a security incident.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U.S. federal tax law, NOLs arising in tax years beginning after December 31, 2017 can be carried forward indefinitely, but the deductibility of these carryforwards is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realize the future tax benefits of our NOL carryforwards, we must generate taxable income, of which there is no assurance. Accordingly, we have provided a full valuation allowance for deferred tax assets as of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efficacy, safety profile, convenience, ease of administration and other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the product candidate together with other medications.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due to labor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wars and terrorism, natural disasters including earthquakes, typhoons, floods and fires, and public health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relating to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operations and business grow, we become subject to or affected by new or additional data protection laws and regulations and face increased scrutiny or attention from regulatory authorities. In the United States, federal, state, and local laws and regulations, including data breach notification laws, personal data privacy laws, state health information privacy laws, and federal and state consumer protection laws and regulations (i.e., Section 5 of the FTC Act), and other similar laws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states have also adopted comparable data privacy and security laws and regulations, some of which may be more stringent than HIPAA.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the "CCPA") applies to personal data of consumers, business representatives, and employees who are California residents,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have been enacted or are being considered in several other states, as well as at the federal and local levels, and we expect more states to pass similar laws in the future, which could further complicate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under the EU GDPR, 17.5 million pounds sterling under the UK GDPR or, in each case, 4% of annual global revenue, whichever is greater. Further, classes of data subjects or consumer protection organizations authorized at law to represent their interests may initiate litigation related to processing of personal data. In Canada, the PIPEDA and various related provincial laws, may apply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 Some European regulators have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certain countries outside Europe have also passed or are considering laws requiring local data residency or otherwise impeding the transfer of personal data across borders, which increases the cost and complexity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implement a valid compliance mechanism for cross-border data transfers, or if the requirements for a legally compliant transfer are too onerous, we may face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work to comply with applicable data privacy and security laws, regulations and standards, our contractual obligations and other legal obligations, these requirements (and individuals’ data privacy expectations) are evolving, becoming increasingly stringent,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financial condition, and results of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AI technologies is subject to various privacy laws and other privacy obligations. Governments have passed and are likely to pass additional laws and regulations regulating AI. Our use of this technology could result in additional compliance costs, regulatory investigations and actions, and lawsuits. If we are unable to use AI technologies, it could make our business less efficient and result in competitive disadvantages.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be sustained, and you may not be able to sell your shares quickly or at the market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traded on the Nasdaq Stock Market LLC ("Nasdaq"), the liquidity in our common stock on that stock market remains thin. If an active trading market for our common stock is not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increases in inflation and interest rates, tariffs and trade wars, public health crises and other geopolitical tensions, such as wars and terrorism, and future U.S. government shutdowns;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us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arising under the DGCL, our amended and restated certificate of incorporation or our second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second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that is governed by the internal-affairs doctrine.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increases in inflation, the price of oil, and interest rates, tariffs, elections and trade wars, geopolitical tensions such as wars and terrorism and future U.S. government shutdowns,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Similarly, geopolitical tensions, such as wars and terrorism may have global economic consequences, including potential disruptions of the global supply chain, manufacturing and energy markets. Further, over the last several years the U.S. government has shut down several times. If a prolonged government shutdown occurs in the future, including as a result of any failure by the U.S. federal government to increase the debt ceiling or otherwise,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disputes, tariffs, and other geopolitical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such volatility and disruptions may have adverse consequences on us or the third parties on whom we rely. If the equity and credit markets deteriorate, including as a result of increases in inflation and interest rates,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satisfy all applicable requirements of Nasdaq and it determines to delist our common stock, the delisting could adversely affect the market liquidity of our common stock and the market price of our common stock could decrease.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the listing of our common stock on Nasdaq, we are required to meet certain listing requirements, including having a minimum closing bid price of $1.00 per share, a minimum of 300 round lot holders, and a minimum of 500,000 publicly held shares. Further, if the market value of our publicly held common stock declines below $1 million, or the closing price of our common stock declines to $0.10 per share or less for 10 consecutive trading days, we would also be subject to Nasdaq delisting proceedings on that basis. Nasdaq’s staff also maintains discretionary authority under its listing rules to delist companies whose capital structure or public offerings raise public interest and investor protection concerns, including as a result of highly dilutive issuances, and it is possible that Nasdaq could assert that offerings that we have consummated, or future offerings we may consummate, raise such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on July 22, 2026, the SEC’s Division of Trading and Markets approved a new Nasdaq continued listing standard that would require us to maintain a market value of listed securities of at least $5 million. Unlike many other of Nasdaq’s continued listing standards, this new listing standard provides no cure or compliance period, and requests for review by a Nasdaq Hearings Panel do not stay the suspension of trading. However, on July 29, 2026, the SEC stayed approval of this rule after two parties filed notices of intent to seek SEC review. As a result, we cannot predict whether or when the new listing standard will take effect.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received a Nasdaq deficiency notice for failing to maintain the minimum closing bid price required for continued listing, and we transferred our listing from the Nasdaq Global Market to the Nasdaq Capital Market in connection with obtaining an extension to regain compliance. Our market capitalization has been volatile and has at times been at levels that could place us at risk under the market value of listed securities standard if it is reinstated. As of November 2, 2026, we had 10,808,292 shares of common stock outstanding, and the closing bid price was $0.91 per share, resulting in a market value of listed securities of approximately $9.5 million. If the SEC ultimately reinstates approval of the new market value of listed securities rule, our common stock would be subject to immediate suspension and delisting if the market value of our common stock falls below $5 million for a period of 30 consecutive business days.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Social media platforms and artificial intelligence-based platforms present new risks and challenges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AI-based platforms are increasingly being used in the pharmaceutical industry and we are expanding the use of AI-based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vendors, suppliers and contractors with access to our proprietary and confidential information, including trade secrets, may lead to the release of our proprietary and confidential information, which may negatively impact our company, including our ability to realize the benefit of our intellectual property. Moreover, AI-based platforms may create flawed, incomplete, or inaccurate outputs, some of which may appear correct. This may happen if the inputs that the model relied on were inaccurate, incomplete or flawed (including if a bad actor “poisons” the AI-based platform with bad inputs or logic), or if the logic of the AI-based platform is flawed (a so-called “hallucination”).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able to conclude within the prescribed timeframe that our internal control over financial reporting is effective as required by Section 404.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executive officers (as defined in Rule 16a-1(f) under the Exchange Act) adopted, modified or terminated a "Rule 10b5-1 trading arrangement" or "non-Rule-10b5-1 trading arrangement," as each term is defined in Item 408(a) of Regulation S-K, during the fiscal quarter ended September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0"/>
        </w:rPr>
      </w:pPr>
      <w:bookmarkStart w:id="19" w:name="item_6_exhibits_financial_statement_sche"/>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Exhibits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001-39692), filed with the SEC on August 3, 2021)</w:t>
              </w:r>
            </w:hyperlink>
            <w:r>
              <w:rPr>
                <w:rFonts w:ascii="Times New Roman" w:hAnsi="Times New Roman"/>
                <w:color w:val="000000"/>
                <w:sz w:val="20"/>
              </w:rPr>
              <w:t>.</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pPr>
            <w:hyperlink r:id="rId4">
              <w:r>
                <w:rPr>
                  <w:rStyle w:val="InternetLink"/>
                  <w:rFonts w:ascii="Times New Roman" w:hAnsi="Times New Roman"/>
                  <w:color w:val="0000FF"/>
                  <w:sz w:val="20"/>
                  <w:u w:val="single"/>
                </w:rPr>
                <w:t>Certificate of Amendment of the Amended and Restated Certificate of Incorporation of the Company (incorporated herein by reference to Exhibit 3.1 to the Company’s Current Report on Form 8-K (File No. 001-39692), filed with the SEC on June 4, 2025).</w:t>
              </w:r>
            </w:hyperlink>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Second Amended and Restated Bylaws of the Company (incorporated herein by reference to Exhibit 3.1 to the Company’s Current Report on Form 8-K (File No. 001-39692), filed with the SEC on December 7, 2023).</w:t>
              </w:r>
            </w:hyperlink>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pPr>
            <w:hyperlink w:anchor="inab-ex31_1.htm">
              <w:r>
                <w:rPr>
                  <w:rStyle w:val="InternetLink"/>
                  <w:rFonts w:ascii="Times New Roman" w:hAnsi="Times New Roman"/>
                  <w:color w:val="0000FF"/>
                  <w:sz w:val="20"/>
                  <w:u w:val="single"/>
                </w:rPr>
                <w:t>Certification of Principal Executive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pPr>
            <w:hyperlink w:anchor="inab-ex31_2.htm">
              <w:r>
                <w:rPr>
                  <w:rStyle w:val="InternetLink"/>
                  <w:rFonts w:ascii="Times New Roman" w:hAnsi="Times New Roman"/>
                  <w:color w:val="0000FF"/>
                  <w:sz w:val="20"/>
                  <w:u w:val="single"/>
                </w:rPr>
                <w:t>Certification of Principal Financial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pPr>
            <w:hyperlink w:anchor="inab-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pPr>
            <w: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4" w:space="1" w:color="000000"/>
        </w:pBdr>
        <w:bidi w:val="0"/>
        <w:jc w:val="both"/>
      </w:pPr>
      <w:r>
        <w:t> </w:t>
      </w:r>
    </w:p>
    <w:tbl>
      <w:tblPr>
        <w:tblW w:w="10205" w:type="dxa"/>
        <w:jc w:val="left"/>
        <w:tblInd w:w="0" w:type="dxa"/>
        <w:tblLayout w:type="fixed"/>
        <w:tblCellMar>
          <w:top w:w="28" w:type="dxa"/>
          <w:left w:w="28" w:type="dxa"/>
          <w:bottom w:w="28" w:type="dxa"/>
          <w:right w:w="28" w:type="dxa"/>
        </w:tblCellMar>
      </w:tblPr>
      <w:tblGrid>
        <w:gridCol w:w="226"/>
        <w:gridCol w:w="9979"/>
      </w:tblGrid>
      <w:t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bl>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both"/>
      </w:pPr>
      <w:r>
        <w:t> </w:t>
      </w:r>
    </w:p>
    <w:tbl>
      <w:tblPr>
        <w:tblW w:w="6439" w:type="dxa"/>
        <w:jc w:val="left"/>
        <w:tblInd w:w="0" w:type="dxa"/>
        <w:tblLayout w:type="fixed"/>
        <w:tblCellMar>
          <w:top w:w="28" w:type="dxa"/>
          <w:left w:w="28" w:type="dxa"/>
          <w:bottom w:w="28" w:type="dxa"/>
          <w:right w:w="28" w:type="dxa"/>
        </w:tblCellMar>
      </w:tblPr>
      <w:tblGrid>
        <w:gridCol w:w="556"/>
        <w:gridCol w:w="1606"/>
        <w:gridCol w:w="406"/>
        <w:gridCol w:w="387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pPr>
      <w:r/>
    </w:p>
    <w:p>
      <w:pPr>
        <w:pStyle w:val="TextBody"/>
        <w:bidi w:val="0"/>
        <w:jc w:val="left"/>
      </w:pPr>
      <w:bookmarkStart w:id="21" w:name="inab-ex31_1.htm"/>
      <w:bookmarkStart w:id="22" w:name="ksinabex31_1"/>
      <w:bookmarkEnd w:id="21"/>
      <w:bookmarkEnd w:id="22"/>
      <w: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180" w:after="283"/>
        <w:jc w:val="left"/>
        <w:rPr>
          <w:rFonts w:ascii="Arial" w:hAnsi="Arial"/>
          <w:color w:val="000000"/>
          <w:sz w:val="18"/>
        </w:rPr>
      </w:pPr>
      <w:r>
        <w:rPr>
          <w:rFonts w:ascii="Arial" w:hAnsi="Arial"/>
          <w:color w:val="000000"/>
          <w:sz w:val="18"/>
        </w:rPr>
        <w:t>I, William Ho, certify that:</w:t>
      </w:r>
    </w:p>
    <w:p>
      <w:pPr>
        <w:pStyle w:val="TextBody"/>
        <w:bidi w:val="0"/>
        <w:spacing w:before="180" w:after="283"/>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spacing w:before="180" w:after="283"/>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p>
      <w:pPr>
        <w:pStyle w:val="TextBody"/>
        <w:bidi w:val="0"/>
        <w:jc w:val="left"/>
      </w:pPr>
      <w:r>
        <w:t> </w:t>
      </w:r>
    </w:p>
    <w:tbl>
      <w:tblPr>
        <w:tblW w:w="4939" w:type="dxa"/>
        <w:jc w:val="left"/>
        <w:tblInd w:w="0" w:type="dxa"/>
        <w:tblLayout w:type="fixed"/>
        <w:tblCellMar>
          <w:top w:w="28" w:type="dxa"/>
          <w:left w:w="28" w:type="dxa"/>
          <w:bottom w:w="28" w:type="dxa"/>
          <w:right w:w="28" w:type="dxa"/>
        </w:tblCellMar>
      </w:tblPr>
      <w:tblGrid>
        <w:gridCol w:w="556"/>
        <w:gridCol w:w="1621"/>
        <w:gridCol w:w="361"/>
        <w:gridCol w:w="2401"/>
      </w:tblGrid>
      <w:t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IN8bio, Inc.</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November 5,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24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William Ho</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William Ho</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sz w:val="18"/>
              </w:rPr>
            </w:pPr>
            <w:r>
              <w:rPr>
                <w:rFonts w:ascii="Arial" w:hAnsi="Arial"/>
                <w:b/>
                <w:color w:val="000000"/>
                <w:sz w:val="18"/>
              </w:rPr>
              <w:t>Chief Executive Officer</w:t>
              <w:br/>
            </w:r>
            <w:r>
              <w:rPr>
                <w:rFonts w:ascii="Arial" w:hAnsi="Arial"/>
                <w:i/>
                <w:color w:val="000000"/>
                <w:sz w:val="18"/>
              </w:rPr>
              <w:t>(Principal Executive Officer)</w:t>
            </w:r>
          </w:p>
        </w:tc>
      </w:tr>
    </w:tbl>
    <w:p>
      <w:pPr>
        <w:pStyle w:val="TextBody"/>
        <w:bidi w:val="0"/>
        <w:spacing w:before="0" w:after="16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3" w:name="inab-ex31_2.htm"/>
      <w:bookmarkStart w:id="24" w:name="ksinabex31_2"/>
      <w:bookmarkEnd w:id="23"/>
      <w:bookmarkEnd w:id="24"/>
      <w: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180" w:after="283"/>
        <w:jc w:val="left"/>
        <w:rPr>
          <w:rFonts w:ascii="Arial" w:hAnsi="Arial"/>
          <w:color w:val="000000"/>
          <w:sz w:val="18"/>
        </w:rPr>
      </w:pPr>
      <w:r>
        <w:rPr>
          <w:rFonts w:ascii="Arial" w:hAnsi="Arial"/>
          <w:color w:val="000000"/>
          <w:sz w:val="18"/>
        </w:rPr>
        <w:t>I, Patrick McCall, certify that:</w:t>
      </w:r>
    </w:p>
    <w:p>
      <w:pPr>
        <w:pStyle w:val="TextBody"/>
        <w:bidi w:val="0"/>
        <w:spacing w:before="180" w:after="283"/>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spacing w:before="180" w:after="283"/>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p>
      <w:pPr>
        <w:pStyle w:val="TextBody"/>
        <w:bidi w:val="0"/>
        <w:jc w:val="left"/>
      </w:pPr>
      <w:r>
        <w:t> </w:t>
      </w:r>
    </w:p>
    <w:tbl>
      <w:tblPr>
        <w:tblW w:w="6214" w:type="dxa"/>
        <w:jc w:val="left"/>
        <w:tblInd w:w="0" w:type="dxa"/>
        <w:tblLayout w:type="fixed"/>
        <w:tblCellMar>
          <w:top w:w="28" w:type="dxa"/>
          <w:left w:w="28" w:type="dxa"/>
          <w:bottom w:w="28" w:type="dxa"/>
          <w:right w:w="28" w:type="dxa"/>
        </w:tblCellMar>
      </w:tblPr>
      <w:tblGrid>
        <w:gridCol w:w="556"/>
        <w:gridCol w:w="1621"/>
        <w:gridCol w:w="361"/>
        <w:gridCol w:w="3676"/>
      </w:tblGrid>
      <w:t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IN8bio, Inc.</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November 5,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Patrick McCall</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Patrick McCall</w:t>
            </w:r>
          </w:p>
        </w:tc>
      </w:tr>
      <w:t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sz w:val="18"/>
              </w:rPr>
            </w:pPr>
            <w:r>
              <w:rPr>
                <w:rFonts w:ascii="Arial" w:hAnsi="Arial"/>
                <w:b/>
                <w:color w:val="000000"/>
                <w:sz w:val="18"/>
              </w:rPr>
              <w:t>Chief Financial Officer and Secretary</w:t>
            </w:r>
            <w:r>
              <w:rPr>
                <w:rFonts w:ascii="Arial" w:hAnsi="Arial"/>
                <w:i/>
                <w:color w:val="000000"/>
                <w:sz w:val="18"/>
              </w:rPr>
              <w:br/>
              <w:t>(Principal Financial and Accounting Officer)</w:t>
            </w:r>
          </w:p>
        </w:tc>
      </w:tr>
    </w:tbl>
    <w:p>
      <w:pPr>
        <w:pStyle w:val="TextBody"/>
        <w:bidi w:val="0"/>
        <w:spacing w:before="0" w:after="16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5" w:name="inab-ex32_1.htm"/>
      <w:bookmarkStart w:id="26" w:name="ksinabex32_1"/>
      <w:bookmarkEnd w:id="25"/>
      <w:bookmarkEnd w:id="26"/>
      <w: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20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00" w:after="283"/>
        <w:jc w:val="left"/>
        <w:rPr>
          <w:rFonts w:ascii="Arial" w:hAnsi="Arial"/>
          <w:color w:val="000000"/>
          <w:sz w:val="18"/>
        </w:rPr>
      </w:pPr>
      <w:r>
        <w:rPr>
          <w:rFonts w:ascii="Arial" w:hAnsi="Arial"/>
          <w:color w:val="000000"/>
          <w:sz w:val="18"/>
        </w:rPr>
        <w:t>In connection with the Quarterly Report on Form 10-Q of IN8bio, Inc. (the “Company”) for the period ended September 30, 2026 as filed with the Securities and Exchange Commission on the date hereof (the “Report”), I certify, pursuant to 18 U.S.C. §1350, as adopted pursuant to §906 of the Sarbanes-Oxley Act of 2002, that, to the best of my knowledge:</w:t>
      </w:r>
    </w:p>
    <w:p>
      <w:pPr>
        <w:pStyle w:val="TextBody"/>
        <w:bidi w:val="0"/>
        <w:spacing w:before="200" w:after="283"/>
        <w:jc w:val="left"/>
        <w:rPr>
          <w:rFonts w:ascii="Arial" w:hAnsi="Arial"/>
          <w:color w:val="000000"/>
          <w:sz w:val="20"/>
        </w:rPr>
      </w:pPr>
      <w:r>
        <w:rPr>
          <w:rFonts w:ascii="Arial" w:hAnsi="Arial"/>
          <w:color w:val="000000"/>
          <w:sz w:val="20"/>
        </w:rPr>
        <w:t>(1)</w:t>
      </w:r>
    </w:p>
    <w:p>
      <w:pPr>
        <w:pStyle w:val="TextBody"/>
        <w:bidi w:val="0"/>
        <w:spacing w:before="20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p>
      <w:pPr>
        <w:pStyle w:val="TextBody"/>
        <w:bidi w:val="0"/>
        <w:spacing w:before="200" w:after="283"/>
        <w:jc w:val="left"/>
        <w:rPr>
          <w:rFonts w:ascii="Arial" w:hAnsi="Arial"/>
          <w:color w:val="000000"/>
          <w:sz w:val="20"/>
        </w:rPr>
      </w:pPr>
      <w:r>
        <w:rPr>
          <w:rFonts w:ascii="Arial" w:hAnsi="Arial"/>
          <w:color w:val="000000"/>
          <w:sz w:val="20"/>
        </w:rPr>
        <w:t>(2)</w:t>
      </w:r>
    </w:p>
    <w:p>
      <w:pPr>
        <w:pStyle w:val="TextBody"/>
        <w:bidi w:val="0"/>
        <w:spacing w:before="20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pPr>
      <w:r>
        <w:t> </w:t>
      </w:r>
    </w:p>
    <w:tbl>
      <w:tblPr>
        <w:tblW w:w="6529" w:type="dxa"/>
        <w:jc w:val="left"/>
        <w:tblInd w:w="0" w:type="dxa"/>
        <w:tblLayout w:type="fixed"/>
        <w:tblCellMar>
          <w:top w:w="28" w:type="dxa"/>
          <w:left w:w="28" w:type="dxa"/>
          <w:bottom w:w="28" w:type="dxa"/>
          <w:right w:w="28" w:type="dxa"/>
        </w:tblCellMar>
      </w:tblPr>
      <w:tblGrid>
        <w:gridCol w:w="586"/>
        <w:gridCol w:w="1621"/>
        <w:gridCol w:w="406"/>
        <w:gridCol w:w="3916"/>
      </w:tblGrid>
      <w:tr>
        <w:tc>
          <w:tcPr>
            <w:tcW w:w="58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32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IN8bio, Inc.</w:t>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916" w:type="dxa"/>
            <w:tcBorders/>
            <w:tcMar>
              <w:top w:w="0" w:type="dxa"/>
              <w:left w:w="0" w:type="dxa"/>
              <w:bottom w:w="0" w:type="dxa"/>
              <w:right w:w="0" w:type="dxa"/>
            </w:tcMar>
            <w:vAlign w:val="center"/>
          </w:tcPr>
          <w:p>
            <w:pPr>
              <w:pStyle w:val="TableContents"/>
              <w:bidi w:val="0"/>
              <w:spacing w:before="0" w:after="283"/>
              <w:jc w:val="left"/>
            </w:pPr>
            <w:r>
              <w:t> </w:t>
            </w:r>
          </w:p>
        </w:tc>
      </w:tr>
      <w:t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November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William Ho</w:t>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William Ho</w:t>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sz w:val="20"/>
              </w:rPr>
            </w:pPr>
            <w:r>
              <w:rPr>
                <w:rFonts w:ascii="Arial" w:hAnsi="Arial"/>
                <w:b/>
                <w:color w:val="000000"/>
                <w:sz w:val="20"/>
              </w:rPr>
              <w:t>Chief Executive Officer</w:t>
              <w:br/>
            </w:r>
            <w:r>
              <w:rPr>
                <w:rFonts w:ascii="Arial" w:hAnsi="Arial"/>
                <w:i/>
                <w:color w:val="000000"/>
                <w:sz w:val="20"/>
              </w:rPr>
              <w:t>(Principal Executive Officer)</w:t>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916" w:type="dxa"/>
            <w:tcBorders/>
            <w:tcMar>
              <w:top w:w="0" w:type="dxa"/>
              <w:left w:w="0" w:type="dxa"/>
              <w:bottom w:w="0" w:type="dxa"/>
              <w:right w:w="0" w:type="dxa"/>
            </w:tcMar>
            <w:vAlign w:val="center"/>
          </w:tcPr>
          <w:p>
            <w:pPr>
              <w:pStyle w:val="TableContents"/>
              <w:bidi w:val="0"/>
              <w:spacing w:before="0" w:after="283"/>
              <w:jc w:val="left"/>
            </w:pPr>
            <w:r>
              <w:t> </w:t>
            </w:r>
          </w:p>
        </w:tc>
      </w:tr>
      <w:t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November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Patrick McCall</w:t>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Patrick McCall</w:t>
            </w:r>
          </w:p>
        </w:tc>
      </w:tr>
      <w:tr>
        <w:tc>
          <w:tcPr>
            <w:tcW w:w="586" w:type="dxa"/>
            <w:tcBorders/>
            <w:tcMar>
              <w:top w:w="0" w:type="dxa"/>
              <w:left w:w="0" w:type="dxa"/>
              <w:bottom w:w="0" w:type="dxa"/>
              <w:right w:w="0" w:type="dxa"/>
            </w:tcMar>
            <w:vAlign w:val="center"/>
          </w:tcPr>
          <w:p>
            <w:pPr>
              <w:pStyle w:val="TableContents"/>
              <w:bidi w:val="0"/>
              <w:spacing w:before="0" w:after="283"/>
              <w:jc w:val="left"/>
            </w:pPr>
            <w:r>
              <w:t> </w:t>
            </w:r>
          </w:p>
        </w:tc>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sz w:val="20"/>
              </w:rPr>
            </w:pPr>
            <w:r>
              <w:rPr>
                <w:rFonts w:ascii="Arial" w:hAnsi="Arial"/>
                <w:b/>
                <w:color w:val="000000"/>
                <w:sz w:val="20"/>
              </w:rPr>
              <w:t>Chief Financial Officer and Secretary</w:t>
              <w:br/>
            </w:r>
            <w:r>
              <w:rPr>
                <w:rFonts w:ascii="Arial" w:hAnsi="Arial"/>
                <w:i/>
                <w:color w:val="000000"/>
                <w:sz w:val="20"/>
              </w:rPr>
              <w:t>(Principal Financial and Accounting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0279/000110465921099436/tm2030088d31_ex3-1.htm" TargetMode="External"/><Relationship Id="rId4" Type="http://schemas.openxmlformats.org/officeDocument/2006/relationships/hyperlink" Target="https://www.sec.gov/Archives/edgar/data/1740279/000119312525134487/d927529dex31.htm" TargetMode="External"/><Relationship Id="rId5" Type="http://schemas.openxmlformats.org/officeDocument/2006/relationships/hyperlink" Target="https://www.sec.gov/Archives/edgar/data/1740279/000119312523290707/d634027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59199</Words>
  <Characters>331437</Characters>
  <CharactersWithSpaces>390516</CharactersWithSpaces>
  <Paragraphs>4466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