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inab-20230930.htm"/>
      <w:bookmarkStart w:id="1" w:name="ksinab20230930"/>
      <w:bookmarkEnd w:id="0"/>
      <w:bookmarkEnd w:id="1"/>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60" w:after="283"/>
        <w:jc w:val="both"/>
        <w:rPr>
          <w:rFonts w:ascii="Times New Roman" w:hAnsi="Times New Roman"/>
          <w:sz w:val="20"/>
        </w:rPr>
      </w:pPr>
      <w:r>
        <w:rPr>
          <w:rFonts w:ascii="Times New Roman" w:hAnsi="Times New Roman"/>
          <w:b/>
          <w:color w:val="000000"/>
          <w:sz w:val="18"/>
        </w:rPr>
        <w:t>(Mark One)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60" w:after="283"/>
              <w:jc w:val="both"/>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quarterly period ended September 30, 2023</w:t>
      </w:r>
    </w:p>
    <w:p>
      <w:pPr>
        <w:pStyle w:val="TextBody"/>
        <w:bidi w:val="0"/>
        <w:spacing w:before="6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both"/>
              <w:rPr>
                <w:rFonts w:ascii="Times New Roman" w:hAnsi="Times New Roman"/>
                <w:sz w:val="20"/>
              </w:rPr>
            </w:pP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001-39692</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IN8BIO,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82-5462585</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350 5th Avenue, Suite 5330</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New York, New York</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10118</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 (646) 600-6438</w:t>
      </w:r>
    </w:p>
    <w:p>
      <w:pPr>
        <w:pStyle w:val="TextBody"/>
        <w:pBdr>
          <w:bottom w:val="single" w:sz="4" w:space="1" w:color="000000"/>
        </w:pBdr>
        <w:bidi w:val="0"/>
        <w:jc w:val="center"/>
        <w:rPr/>
      </w:pPr>
      <w:r>
        <w:rPr/>
        <w:t> </w:t>
      </w:r>
    </w:p>
    <w:p>
      <w:pPr>
        <w:pStyle w:val="TextBody"/>
        <w:bidi w:val="0"/>
        <w:jc w:val="both"/>
        <w:rPr>
          <w:rFonts w:ascii="Times New Roman" w:hAnsi="Times New Roman"/>
          <w:b w:val="false"/>
          <w:color w:val="000000"/>
          <w:sz w:val="18"/>
        </w:rPr>
      </w:pPr>
      <w:r>
        <w:rPr>
          <w:rFonts w:ascii="Times New Roman" w:hAnsi="Times New Roman"/>
          <w:b w:val="false"/>
          <w:color w:val="000000"/>
          <w:sz w:val="18"/>
        </w:rPr>
        <w:t>Securities registered pursuant to Section 12(b) of the Act:</w:t>
      </w:r>
    </w:p>
    <w:p>
      <w:pPr>
        <w:pStyle w:val="TextBody"/>
        <w:bidi w:val="0"/>
        <w:jc w:val="left"/>
        <w:rPr/>
      </w:pPr>
      <w:r>
        <w:rPr/>
        <w:t> </w:t>
      </w:r>
    </w:p>
    <w:tbl>
      <w:tblPr>
        <w:tblW w:w="8350" w:type="dxa"/>
        <w:jc w:val="left"/>
        <w:tblInd w:w="0" w:type="dxa"/>
        <w:tblLayout w:type="fixed"/>
        <w:tblCellMar>
          <w:top w:w="28" w:type="dxa"/>
          <w:left w:w="28" w:type="dxa"/>
          <w:bottom w:w="28" w:type="dxa"/>
          <w:right w:w="28" w:type="dxa"/>
        </w:tblCellMar>
      </w:tblPr>
      <w:tblGrid>
        <w:gridCol w:w="3286"/>
        <w:gridCol w:w="146"/>
        <w:gridCol w:w="145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Common Stock, $0.0001 par value per share</w:t>
            </w:r>
          </w:p>
        </w:tc>
        <w:tc>
          <w:tcPr>
            <w:tcW w:w="146" w:type="dxa"/>
            <w:tcBorders/>
            <w:vAlign w:val="center"/>
          </w:tcPr>
          <w:p>
            <w:pPr>
              <w:pStyle w:val="TableContents"/>
              <w:bidi w:val="0"/>
              <w:spacing w:before="0" w:after="283"/>
              <w:jc w:val="center"/>
              <w:rPr/>
            </w:pPr>
            <w:r>
              <w:rPr/>
              <w:t> </w:t>
            </w:r>
          </w:p>
        </w:tc>
        <w:tc>
          <w:tcPr>
            <w:tcW w:w="145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INAB</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The Nasdaq Stock Market LLC</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b w:val="false"/>
          <w:caps/>
          <w:color w:val="000000"/>
          <w:sz w:val="18"/>
        </w:rPr>
        <w:t>Y</w:t>
      </w:r>
      <w:r>
        <w:rPr>
          <w:rFonts w:ascii="Times New Roman" w:hAnsi="Times New Roman"/>
          <w:b w:val="false"/>
          <w:smallCaps/>
          <w:color w:val="000000"/>
          <w:sz w:val="18"/>
        </w:rPr>
        <w:t>es</w:t>
      </w:r>
      <w:r>
        <w:rPr>
          <w:rFonts w:ascii="Times New Roman" w:hAnsi="Times New Roman"/>
          <w:color w:val="000000"/>
          <w:sz w:val="20"/>
        </w:rPr>
        <w:t xml:space="preserve"> ☒ </w:t>
      </w:r>
      <w:r>
        <w:rPr>
          <w:rFonts w:ascii="Times New Roman" w:hAnsi="Times New Roman"/>
          <w:b w:val="false"/>
          <w:caps/>
          <w:color w:val="000000"/>
          <w:sz w:val="18"/>
        </w:rPr>
        <w:t>N</w:t>
      </w:r>
      <w:r>
        <w:rPr>
          <w:rFonts w:ascii="Times New Roman" w:hAnsi="Times New Roman"/>
          <w:b w:val="false"/>
          <w:smallCaps/>
          <w:color w:val="000000"/>
          <w:sz w:val="18"/>
        </w:rPr>
        <w:t>o</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b w:val="false"/>
          <w:caps/>
          <w:color w:val="000000"/>
          <w:sz w:val="18"/>
        </w:rPr>
        <w:t>Y</w:t>
      </w:r>
      <w:r>
        <w:rPr>
          <w:rFonts w:ascii="Times New Roman" w:hAnsi="Times New Roman"/>
          <w:b w:val="false"/>
          <w:smallCaps/>
          <w:color w:val="000000"/>
          <w:sz w:val="18"/>
        </w:rPr>
        <w:t>es</w:t>
      </w:r>
      <w:r>
        <w:rPr>
          <w:rFonts w:ascii="Times New Roman" w:hAnsi="Times New Roman"/>
          <w:color w:val="000000"/>
          <w:sz w:val="20"/>
        </w:rPr>
        <w:t xml:space="preserve"> ☒ </w:t>
      </w:r>
      <w:r>
        <w:rPr>
          <w:rFonts w:ascii="Times New Roman" w:hAnsi="Times New Roman"/>
          <w:b w:val="false"/>
          <w:caps/>
          <w:color w:val="000000"/>
          <w:sz w:val="18"/>
        </w:rPr>
        <w:t>N</w:t>
      </w:r>
      <w:r>
        <w:rPr>
          <w:rFonts w:ascii="Times New Roman" w:hAnsi="Times New Roman"/>
          <w:b w:val="false"/>
          <w:smallCaps/>
          <w:color w:val="000000"/>
          <w:sz w:val="18"/>
        </w:rPr>
        <w:t>o</w:t>
      </w:r>
      <w:r>
        <w:rPr>
          <w:rFonts w:ascii="Times New Roman" w:hAnsi="Times New Roman"/>
          <w:color w:val="000000"/>
          <w:sz w:val="20"/>
        </w:rPr>
        <w:t xml:space="preserve"> ☐</w:t>
      </w:r>
    </w:p>
    <w:p>
      <w:pPr>
        <w:pStyle w:val="TextBody"/>
        <w:bidi w:val="0"/>
        <w:spacing w:before="60" w:after="283"/>
        <w:jc w:val="both"/>
        <w:rPr>
          <w:rFonts w:ascii="Times New Roman" w:hAnsi="Times New Roman"/>
          <w:b w:val="false"/>
          <w:color w:val="000000"/>
          <w:sz w:val="18"/>
        </w:rPr>
      </w:pPr>
      <w:r>
        <w:rPr>
          <w:rFonts w:ascii="Times New Roman" w:hAnsi="Times New Roman"/>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Emerging growth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b w:val="false"/>
          <w:color w:val="000000"/>
          <w:sz w:val="18"/>
        </w:rPr>
        <w:t xml:space="preserve">Indicate by check mark whether the Registrant is a shell company (as defined in Rule 12b-2 of the Exchange Act). </w:t>
      </w:r>
      <w:r>
        <w:rPr>
          <w:rFonts w:ascii="Times New Roman" w:hAnsi="Times New Roman"/>
          <w:b w:val="false"/>
          <w:caps/>
          <w:color w:val="000000"/>
          <w:sz w:val="18"/>
        </w:rPr>
        <w:t>Y</w:t>
      </w:r>
      <w:r>
        <w:rPr>
          <w:rFonts w:ascii="Times New Roman" w:hAnsi="Times New Roman"/>
          <w:b w:val="false"/>
          <w:smallCaps/>
          <w:color w:val="000000"/>
          <w:sz w:val="18"/>
        </w:rPr>
        <w:t>es</w:t>
      </w:r>
      <w:r>
        <w:rPr>
          <w:rFonts w:ascii="Times New Roman" w:hAnsi="Times New Roman"/>
          <w:color w:val="000000"/>
          <w:sz w:val="20"/>
        </w:rPr>
        <w:t xml:space="preserve"> ☐ </w:t>
      </w:r>
      <w:r>
        <w:rPr>
          <w:rFonts w:ascii="Times New Roman" w:hAnsi="Times New Roman"/>
          <w:b w:val="false"/>
          <w:caps/>
          <w:color w:val="000000"/>
          <w:sz w:val="18"/>
        </w:rPr>
        <w:t>N</w:t>
      </w:r>
      <w:r>
        <w:rPr>
          <w:rFonts w:ascii="Times New Roman" w:hAnsi="Times New Roman"/>
          <w:b w:val="false"/>
          <w:smallCaps/>
          <w:color w:val="000000"/>
          <w:sz w:val="18"/>
        </w:rPr>
        <w:t>o</w:t>
      </w:r>
      <w:r>
        <w:rPr>
          <w:rFonts w:ascii="Times New Roman" w:hAnsi="Times New Roman"/>
          <w:color w:val="000000"/>
          <w:sz w:val="20"/>
        </w:rPr>
        <w:t xml:space="preserve"> ☒</w:t>
      </w:r>
    </w:p>
    <w:p>
      <w:pPr>
        <w:pStyle w:val="TextBody"/>
        <w:bidi w:val="0"/>
        <w:spacing w:before="60" w:after="283"/>
        <w:jc w:val="both"/>
        <w:rPr>
          <w:rFonts w:ascii="Times New Roman" w:hAnsi="Times New Roman"/>
          <w:b w:val="false"/>
          <w:color w:val="000000"/>
          <w:sz w:val="18"/>
        </w:rPr>
      </w:pPr>
      <w:r>
        <w:rPr>
          <w:rFonts w:ascii="Times New Roman" w:hAnsi="Times New Roman"/>
          <w:b w:val="false"/>
          <w:color w:val="000000"/>
          <w:sz w:val="18"/>
        </w:rPr>
        <w:t>The number of shares of Registrant’s Common Stock outstanding as of November 6, 2023 was 31,991,130.</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18" w:type="dxa"/>
        <w:jc w:val="left"/>
        <w:tblInd w:w="0" w:type="dxa"/>
        <w:tblLayout w:type="fixed"/>
        <w:tblCellMar>
          <w:top w:w="28" w:type="dxa"/>
          <w:left w:w="28" w:type="dxa"/>
          <w:bottom w:w="28" w:type="dxa"/>
          <w:right w:w="28" w:type="dxa"/>
        </w:tblCellMar>
      </w:tblPr>
      <w:tblGrid>
        <w:gridCol w:w="841"/>
        <w:gridCol w:w="7366"/>
        <w:gridCol w:w="511"/>
      </w:tblGrid>
      <w:tr>
        <w:trPr/>
        <w:tc>
          <w:tcPr>
            <w:tcW w:w="84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b w:val="false"/>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Times New Roman" w:hAnsi="Times New Roman"/>
                  <w:b w:val="false"/>
                  <w:color w:val="0000FF"/>
                  <w:sz w:val="20"/>
                  <w:u w:val="single"/>
                </w:rPr>
                <w:t>Condensed 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b w:val="false"/>
                  <w:color w:val="0000FF"/>
                  <w:sz w:val="20"/>
                  <w:u w:val="single"/>
                </w:rPr>
                <w:t>Condensed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b w:val="false"/>
                  <w:color w:val="0000FF"/>
                  <w:sz w:val="20"/>
                  <w:u w:val="single"/>
                </w:rPr>
                <w:t>Condensed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onver">
              <w:r>
                <w:rPr>
                  <w:rStyle w:val="InternetLink"/>
                  <w:rFonts w:ascii="Times New Roman" w:hAnsi="Times New Roman"/>
                  <w:b w:val="false"/>
                  <w:color w:val="0000FF"/>
                  <w:sz w:val="20"/>
                  <w:u w:val="single"/>
                </w:rPr>
                <w:t>Condensed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b w:val="false"/>
                  <w:color w:val="0000FF"/>
                  <w:sz w:val="20"/>
                  <w:u w:val="single"/>
                </w:rPr>
                <w:t>Condensed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
              <w:r>
                <w:rPr>
                  <w:rStyle w:val="InternetLink"/>
                  <w:rFonts w:ascii="Times New Roman" w:hAnsi="Times New Roman"/>
                  <w:b w:val="false"/>
                  <w:color w:val="0000FF"/>
                  <w:sz w:val="20"/>
                  <w:u w:val="single"/>
                </w:rPr>
                <w:t>Notes to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b w:val="false"/>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b w:val="false"/>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b w:val="false"/>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b w:val="false"/>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b w:val="false"/>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b w:val="false"/>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b w:val="false"/>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b w:val="false"/>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b w:val="false"/>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b w:val="false"/>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_financial_statement_sche">
              <w:r>
                <w:rPr>
                  <w:rStyle w:val="InternetLink"/>
                  <w:rFonts w:ascii="Times New Roman" w:hAnsi="Times New Roman"/>
                  <w:b w:val="false"/>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val="false"/>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360" w:after="283"/>
        <w:jc w:val="both"/>
        <w:rPr>
          <w:rFonts w:ascii="Times New Roman" w:hAnsi="Times New Roman"/>
          <w:b/>
          <w:color w:val="000000"/>
          <w:sz w:val="20"/>
        </w:rPr>
      </w:pPr>
      <w:bookmarkStart w:id="3" w:name="item_1_financial_statements_unaudited"/>
      <w:bookmarkEnd w:id="3"/>
      <w:r>
        <w:rPr>
          <w:rFonts w:ascii="Times New Roman" w:hAnsi="Times New Roman"/>
          <w:b/>
          <w:color w:val="000000"/>
          <w:sz w:val="20"/>
        </w:rPr>
        <w:t>Item 1. Condensed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IN8BIO, INC.</w:t>
      </w:r>
    </w:p>
    <w:p>
      <w:pPr>
        <w:pStyle w:val="TextBody"/>
        <w:bidi w:val="0"/>
        <w:jc w:val="center"/>
        <w:rPr>
          <w:rFonts w:ascii="Times New Roman" w:hAnsi="Times New Roman"/>
          <w:b/>
          <w:color w:val="000000"/>
          <w:sz w:val="20"/>
        </w:rPr>
      </w:pPr>
      <w:bookmarkStart w:id="4" w:name="balance_sheet"/>
      <w:bookmarkEnd w:id="4"/>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307"/>
        <w:gridCol w:w="146"/>
        <w:gridCol w:w="220"/>
        <w:gridCol w:w="816"/>
        <w:gridCol w:w="166"/>
        <w:gridCol w:w="146"/>
        <w:gridCol w:w="220"/>
        <w:gridCol w:w="770"/>
        <w:gridCol w:w="414"/>
      </w:tblGrid>
      <w:tr>
        <w:trPr/>
        <w:tc>
          <w:tcPr>
            <w:tcW w:w="73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73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0"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r>
      <w:tr>
        <w:trPr/>
        <w:tc>
          <w:tcPr>
            <w:tcW w:w="73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4" w:type="dxa"/>
            <w:tcBorders/>
            <w:shd w:fill="FFFFFF" w:val="clear"/>
            <w:vAlign w:val="center"/>
          </w:tcPr>
          <w:p>
            <w:pPr>
              <w:pStyle w:val="TableContents"/>
              <w:bidi w:val="0"/>
              <w:spacing w:before="0" w:after="283"/>
              <w:jc w:val="center"/>
              <w:rPr/>
            </w:pPr>
            <w:r>
              <w:rPr/>
              <w:t> </w:t>
            </w:r>
          </w:p>
        </w:tc>
      </w:tr>
      <w:tr>
        <w:trPr/>
        <w:tc>
          <w:tcPr>
            <w:tcW w:w="73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0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(Note 2)</w:t>
            </w:r>
          </w:p>
        </w:tc>
        <w:tc>
          <w:tcPr>
            <w:tcW w:w="414" w:type="dxa"/>
            <w:tcBorders/>
            <w:shd w:fill="CFF0FC" w:val="clear"/>
            <w:vAlign w:val="center"/>
          </w:tcPr>
          <w:p>
            <w:pPr>
              <w:pStyle w:val="TableContents"/>
              <w:bidi w:val="0"/>
              <w:spacing w:before="0" w:after="283"/>
              <w:jc w:val="center"/>
              <w:rPr/>
            </w:pPr>
            <w:r>
              <w:rPr/>
              <w:t> </w:t>
            </w:r>
          </w:p>
        </w:tc>
      </w:tr>
      <w:tr>
        <w:trPr/>
        <w:tc>
          <w:tcPr>
            <w:tcW w:w="730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30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18,182</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30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4,052</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307"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16,549</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7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22,234</w:t>
            </w:r>
          </w:p>
        </w:tc>
        <w:tc>
          <w:tcPr>
            <w:tcW w:w="414"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30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Non-current assets</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30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4,397</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30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Construction in progress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30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30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Right-of-use assets - finance leases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1,691</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30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Right-of-use assets - operating leases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4,181</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30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non-current assets</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07"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10,805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07"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33,039</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0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r>
      <w:tr>
        <w:trPr/>
        <w:tc>
          <w:tcPr>
            <w:tcW w:w="730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r>
      <w:tr>
        <w:trPr/>
        <w:tc>
          <w:tcPr>
            <w:tcW w:w="73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30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2,091</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30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2,342</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30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Short-term finance lease liability</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682</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30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Short-term operating lease liability</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707</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07"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5,822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0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Long-term finance lease liability</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811</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30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Long-term operating lease liability</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3,674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07"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4,485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07"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10,307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0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307"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Preferred stock, par value $0.0001</w:t>
            </w:r>
            <w:r>
              <w:rPr>
                <w:rFonts w:ascii="Times New Roman" w:hAnsi="Times New Roman"/>
                <w:color w:val="000000"/>
                <w:sz w:val="20"/>
              </w:rPr>
              <w:t> </w:t>
            </w:r>
            <w:r>
              <w:rPr>
                <w:rFonts w:ascii="Times New Roman" w:hAnsi="Times New Roman"/>
                <w:b w:val="false"/>
                <w:color w:val="000000"/>
                <w:sz w:val="20"/>
              </w:rPr>
              <w:t>per share; 10,000,000</w:t>
            </w:r>
            <w:r>
              <w:rPr>
                <w:rFonts w:ascii="Times New Roman" w:hAnsi="Times New Roman"/>
                <w:color w:val="000000"/>
                <w:sz w:val="20"/>
              </w:rPr>
              <w:t> </w:t>
            </w:r>
            <w:r>
              <w:rPr>
                <w:rFonts w:ascii="Times New Roman" w:hAnsi="Times New Roman"/>
                <w:b w:val="false"/>
                <w:color w:val="000000"/>
                <w:sz w:val="20"/>
              </w:rPr>
              <w:t>shares authorized at September 30, 2023 and December 31, 2022, respectively. No</w:t>
            </w:r>
            <w:r>
              <w:rPr>
                <w:rFonts w:ascii="Times New Roman" w:hAnsi="Times New Roman"/>
                <w:color w:val="000000"/>
                <w:sz w:val="20"/>
              </w:rPr>
              <w:t> </w:t>
            </w:r>
            <w:r>
              <w:rPr>
                <w:rFonts w:ascii="Times New Roman" w:hAnsi="Times New Roman"/>
                <w:b w:val="false"/>
                <w:color w:val="000000"/>
                <w:sz w:val="20"/>
              </w:rPr>
              <w:t>shares issued and outstanding</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color w:val="000000"/>
              </w:rPr>
            </w:pPr>
            <w:r>
              <w:rPr>
                <w:color w:val="000000"/>
              </w:rPr>
              <w:t>—</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307"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Common stock, par value $0.0001</w:t>
            </w:r>
            <w:r>
              <w:rPr>
                <w:rFonts w:ascii="Times New Roman" w:hAnsi="Times New Roman"/>
                <w:color w:val="000000"/>
                <w:sz w:val="20"/>
              </w:rPr>
              <w:t> </w:t>
            </w:r>
            <w:r>
              <w:rPr>
                <w:rFonts w:ascii="Times New Roman" w:hAnsi="Times New Roman"/>
                <w:b w:val="false"/>
                <w:color w:val="000000"/>
                <w:sz w:val="20"/>
              </w:rPr>
              <w:t>per share; 490,000,000</w:t>
            </w:r>
            <w:r>
              <w:rPr>
                <w:rFonts w:ascii="Times New Roman" w:hAnsi="Times New Roman"/>
                <w:color w:val="000000"/>
                <w:sz w:val="20"/>
              </w:rPr>
              <w:t> </w:t>
            </w:r>
            <w:r>
              <w:rPr>
                <w:rFonts w:ascii="Times New Roman" w:hAnsi="Times New Roman"/>
                <w:b w:val="false"/>
                <w:color w:val="000000"/>
                <w:sz w:val="20"/>
              </w:rPr>
              <w:t>shares authorized at September 30, 2023 and December 31, 2022; 31,975,929</w:t>
            </w:r>
            <w:r>
              <w:rPr>
                <w:rFonts w:ascii="Times New Roman" w:hAnsi="Times New Roman"/>
                <w:color w:val="000000"/>
                <w:sz w:val="20"/>
              </w:rPr>
              <w:t> </w:t>
            </w:r>
            <w:r>
              <w:rPr>
                <w:rFonts w:ascii="Times New Roman" w:hAnsi="Times New Roman"/>
                <w:b w:val="false"/>
                <w:color w:val="000000"/>
                <w:sz w:val="20"/>
              </w:rPr>
              <w:t>and 24,545,157</w:t>
            </w:r>
            <w:r>
              <w:rPr>
                <w:rFonts w:ascii="Times New Roman" w:hAnsi="Times New Roman"/>
                <w:color w:val="000000"/>
                <w:sz w:val="20"/>
              </w:rPr>
              <w:t> </w:t>
            </w:r>
            <w:r>
              <w:rPr>
                <w:rFonts w:ascii="Times New Roman" w:hAnsi="Times New Roman"/>
                <w:b w:val="false"/>
                <w:color w:val="000000"/>
                <w:sz w:val="20"/>
              </w:rPr>
              <w:t>shares issued and outstanding at September 30,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30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101,375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83,941</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30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(83,621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(61,212</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7307"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22,732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07"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33,039</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val="false"/>
          <w:i/>
          <w:color w:val="000000"/>
          <w:sz w:val="20"/>
        </w:rPr>
        <w:t>The accompanying notes are an integral part of these unaudited condensed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IN8BIO,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statements_operat"/>
      <w:bookmarkEnd w:id="5"/>
      <w:r>
        <w:rPr>
          <w:rFonts w:ascii="Times New Roman" w:hAnsi="Times New Roman"/>
          <w:b/>
          <w:color w:val="000000"/>
          <w:sz w:val="20"/>
        </w:rPr>
        <w:t>CONDENSED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50"/>
        <w:gridCol w:w="211"/>
        <w:gridCol w:w="1036"/>
        <w:gridCol w:w="346"/>
        <w:gridCol w:w="346"/>
        <w:gridCol w:w="211"/>
        <w:gridCol w:w="1036"/>
        <w:gridCol w:w="346"/>
        <w:gridCol w:w="346"/>
        <w:gridCol w:w="211"/>
        <w:gridCol w:w="1036"/>
        <w:gridCol w:w="346"/>
        <w:gridCol w:w="346"/>
        <w:gridCol w:w="211"/>
        <w:gridCol w:w="1036"/>
        <w:gridCol w:w="391"/>
      </w:tblGrid>
      <w:tr>
        <w:trPr/>
        <w:tc>
          <w:tcPr>
            <w:tcW w:w="2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50" w:type="dxa"/>
            <w:tcBorders/>
            <w:shd w:fill="FFFFFF" w:val="clear"/>
            <w:vAlign w:val="center"/>
          </w:tcPr>
          <w:p>
            <w:pPr>
              <w:pStyle w:val="TableContents"/>
              <w:bidi w:val="0"/>
              <w:spacing w:before="0" w:after="283"/>
              <w:jc w:val="center"/>
              <w:rPr/>
            </w:pPr>
            <w:r>
              <w:rPr/>
              <w:t> </w:t>
            </w:r>
          </w:p>
        </w:tc>
        <w:tc>
          <w:tcPr>
            <w:tcW w:w="3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3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0"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247" w:type="dxa"/>
            <w:gridSpan w:val="2"/>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75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3,786</w:t>
            </w:r>
          </w:p>
        </w:tc>
        <w:tc>
          <w:tcPr>
            <w:tcW w:w="346" w:type="dxa"/>
            <w:tcBorders/>
            <w:shd w:fill="FFFFFF" w:val="cle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4,255</w:t>
            </w:r>
          </w:p>
        </w:tc>
        <w:tc>
          <w:tcPr>
            <w:tcW w:w="346" w:type="dxa"/>
            <w:tcBorders/>
            <w:shd w:fill="FFFFFF" w:val="cle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12,305</w:t>
            </w:r>
          </w:p>
        </w:tc>
        <w:tc>
          <w:tcPr>
            <w:tcW w:w="346" w:type="dxa"/>
            <w:tcBorders/>
            <w:shd w:fill="FFFFFF" w:val="cle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10,140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75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3,383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3,144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10,434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10,583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7,169</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7,399</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22,739</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20,723</w:t>
            </w:r>
          </w:p>
        </w:tc>
        <w:tc>
          <w:tcPr>
            <w:tcW w:w="391" w:type="dxa"/>
            <w:tcBorders/>
            <w:shd w:fill="FFFFFF" w:val="clear"/>
            <w:vAlign w:val="center"/>
          </w:tcPr>
          <w:p>
            <w:pPr>
              <w:pStyle w:val="TableContents"/>
              <w:bidi w:val="0"/>
              <w:spacing w:before="0" w:after="283"/>
              <w:jc w:val="left"/>
              <w:rPr/>
            </w:pPr>
            <w:r>
              <w:rPr/>
              <w:t> </w:t>
            </w:r>
          </w:p>
        </w:tc>
      </w:tr>
      <w:tr>
        <w:trPr/>
        <w:tc>
          <w:tcPr>
            <w:tcW w:w="275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(7,169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(7,399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(22,409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75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(7,169</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(7,399</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(22,409</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(20,723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75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share –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(0.23</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(0.34</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(0.79</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75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number of shares used in computing net loss per common share,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31,545,783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21,661,544</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28,275,193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19,774,070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IN8BIO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densed_consolidated_statements_conver"/>
      <w:bookmarkEnd w:id="6"/>
      <w:r>
        <w:rPr>
          <w:rFonts w:ascii="Times New Roman" w:hAnsi="Times New Roman"/>
          <w:b/>
          <w:color w:val="000000"/>
          <w:sz w:val="20"/>
        </w:rPr>
        <w:t>CONDENSED STATEMENTS OF</w:t>
      </w:r>
      <w:r>
        <w:rPr>
          <w:rFonts w:ascii="Times New Roman" w:hAnsi="Times New Roman"/>
          <w:color w:val="000000"/>
          <w:sz w:val="20"/>
        </w:rPr>
        <w:t xml:space="preserve"> </w:t>
      </w:r>
      <w:r>
        <w:rPr>
          <w:rFonts w:ascii="Times New Roman" w:hAnsi="Times New Roman"/>
          <w:b/>
          <w:color w:val="000000"/>
          <w:sz w:val="20"/>
        </w:rPr>
        <w:t>STOCKHOLDERS’ EQUITY</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59"/>
        <w:gridCol w:w="146"/>
        <w:gridCol w:w="146"/>
        <w:gridCol w:w="916"/>
        <w:gridCol w:w="146"/>
        <w:gridCol w:w="146"/>
        <w:gridCol w:w="249"/>
        <w:gridCol w:w="442"/>
        <w:gridCol w:w="146"/>
        <w:gridCol w:w="146"/>
        <w:gridCol w:w="196"/>
        <w:gridCol w:w="691"/>
        <w:gridCol w:w="146"/>
        <w:gridCol w:w="146"/>
        <w:gridCol w:w="240"/>
        <w:gridCol w:w="811"/>
        <w:gridCol w:w="166"/>
        <w:gridCol w:w="146"/>
        <w:gridCol w:w="374"/>
        <w:gridCol w:w="1155"/>
        <w:gridCol w:w="392"/>
      </w:tblGrid>
      <w:tr>
        <w:trPr/>
        <w:tc>
          <w:tcPr>
            <w:tcW w:w="32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25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2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2" w:type="dxa"/>
            <w:tcBorders/>
            <w:shd w:fill="FFFFFF" w:val="clear"/>
            <w:vAlign w:val="center"/>
          </w:tcPr>
          <w:p>
            <w:pPr>
              <w:pStyle w:val="TableContents"/>
              <w:bidi w:val="0"/>
              <w:spacing w:before="0" w:after="283"/>
              <w:jc w:val="center"/>
              <w:rPr/>
            </w:pPr>
            <w:r>
              <w:rPr/>
              <w:t> </w:t>
            </w:r>
          </w:p>
        </w:tc>
      </w:tr>
      <w:tr>
        <w:trPr/>
        <w:tc>
          <w:tcPr>
            <w:tcW w:w="325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 Equity</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9"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18,781,242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4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70,872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(32,691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37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5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38,183</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325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Stock option exercises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31,025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325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4" w:type="dxa"/>
            <w:tcBorders/>
            <w:shd w:fill="CFF0FC" w:val="clear"/>
            <w:vAlign w:val="center"/>
          </w:tcPr>
          <w:p>
            <w:pPr>
              <w:pStyle w:val="TableContents"/>
              <w:bidi w:val="0"/>
              <w:spacing w:before="0" w:after="283"/>
              <w:jc w:val="left"/>
              <w:rPr/>
            </w:pPr>
            <w:r>
              <w:rPr/>
              <w:t> </w:t>
            </w:r>
          </w:p>
        </w:tc>
        <w:tc>
          <w:tcPr>
            <w:tcW w:w="115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764</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325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(6,145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3259"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18,812,267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4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71,669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(38,836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37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5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32,835</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325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Stock option exercises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26,204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325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4" w:type="dxa"/>
            <w:tcBorders/>
            <w:shd w:fill="CFF0FC" w:val="clear"/>
            <w:vAlign w:val="center"/>
          </w:tcPr>
          <w:p>
            <w:pPr>
              <w:pStyle w:val="TableContents"/>
              <w:bidi w:val="0"/>
              <w:spacing w:before="0" w:after="283"/>
              <w:jc w:val="left"/>
              <w:rPr/>
            </w:pPr>
            <w:r>
              <w:rPr/>
              <w:t> </w:t>
            </w:r>
          </w:p>
        </w:tc>
        <w:tc>
          <w:tcPr>
            <w:tcW w:w="115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884</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325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(7,179</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3259"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18,838,471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4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72,581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(46,015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37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5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26,568</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325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Issuance of common stock, net of issuance cost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5,663,686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9,498</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325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4" w:type="dxa"/>
            <w:tcBorders/>
            <w:shd w:fill="CFF0FC" w:val="clear"/>
            <w:vAlign w:val="center"/>
          </w:tcPr>
          <w:p>
            <w:pPr>
              <w:pStyle w:val="TableContents"/>
              <w:bidi w:val="0"/>
              <w:spacing w:before="0" w:after="283"/>
              <w:jc w:val="left"/>
              <w:rPr/>
            </w:pPr>
            <w:r>
              <w:rPr/>
              <w:t> </w:t>
            </w:r>
          </w:p>
        </w:tc>
        <w:tc>
          <w:tcPr>
            <w:tcW w:w="115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897</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325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(7,399</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3259"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September 30,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24,502,157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82,975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(53,414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29,564</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5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529" w:type="dxa"/>
            <w:gridSpan w:val="2"/>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jc w:val="right"/>
              <w:rPr/>
            </w:pPr>
            <w:r>
              <w:rPr/>
              <w:t> </w:t>
            </w:r>
          </w:p>
        </w:tc>
      </w:tr>
      <w:tr>
        <w:trPr/>
        <w:tc>
          <w:tcPr>
            <w:tcW w:w="3259"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24,545,157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4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83,941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(61,212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37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5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22,732</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325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Issuance of common stock, net of issuance cost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415,712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4" w:type="dxa"/>
            <w:tcBorders/>
            <w:shd w:fill="CFF0FC" w:val="clear"/>
            <w:vAlign w:val="center"/>
          </w:tcPr>
          <w:p>
            <w:pPr>
              <w:pStyle w:val="TableContents"/>
              <w:bidi w:val="0"/>
              <w:spacing w:before="0" w:after="283"/>
              <w:jc w:val="left"/>
              <w:rPr/>
            </w:pPr>
            <w:r>
              <w:rPr/>
              <w:t> </w:t>
            </w:r>
          </w:p>
        </w:tc>
        <w:tc>
          <w:tcPr>
            <w:tcW w:w="115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722</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325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859</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325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(7,525</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3259"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24,960,869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4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85,522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(68,737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37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5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16,788</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325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Issuance of common stock, net of issuance cost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5,645,250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4" w:type="dxa"/>
            <w:tcBorders/>
            <w:shd w:fill="CFF0FC" w:val="clear"/>
            <w:vAlign w:val="center"/>
          </w:tcPr>
          <w:p>
            <w:pPr>
              <w:pStyle w:val="TableContents"/>
              <w:bidi w:val="0"/>
              <w:spacing w:before="0" w:after="283"/>
              <w:jc w:val="left"/>
              <w:rPr/>
            </w:pPr>
            <w:r>
              <w:rPr/>
              <w:t> </w:t>
            </w:r>
          </w:p>
        </w:tc>
        <w:tc>
          <w:tcPr>
            <w:tcW w:w="115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11,707</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325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1,019</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325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(7,715</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3259"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30,606,119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4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98,247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(76,452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37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5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21,799</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325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Issuance of common stock, net of issuance cost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1,369,810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4" w:type="dxa"/>
            <w:tcBorders/>
            <w:shd w:fill="CFF0FC" w:val="clear"/>
            <w:vAlign w:val="center"/>
          </w:tcPr>
          <w:p>
            <w:pPr>
              <w:pStyle w:val="TableContents"/>
              <w:bidi w:val="0"/>
              <w:spacing w:before="0" w:after="283"/>
              <w:jc w:val="left"/>
              <w:rPr/>
            </w:pPr>
            <w:r>
              <w:rPr/>
              <w:t> </w:t>
            </w:r>
          </w:p>
        </w:tc>
        <w:tc>
          <w:tcPr>
            <w:tcW w:w="115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1,888</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325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1,240</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325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(7,169</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3259"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31,975,929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101,375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(83,621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17,758</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IN8BIO,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432" w:type="dxa"/>
        <w:jc w:val="left"/>
        <w:tblInd w:w="0" w:type="dxa"/>
        <w:tblLayout w:type="fixed"/>
        <w:tblCellMar>
          <w:top w:w="28" w:type="dxa"/>
          <w:left w:w="28" w:type="dxa"/>
          <w:bottom w:w="28" w:type="dxa"/>
          <w:right w:w="28" w:type="dxa"/>
        </w:tblCellMar>
      </w:tblPr>
      <w:tblGrid>
        <w:gridCol w:w="6081"/>
        <w:gridCol w:w="146"/>
        <w:gridCol w:w="248"/>
        <w:gridCol w:w="866"/>
        <w:gridCol w:w="195"/>
        <w:gridCol w:w="171"/>
        <w:gridCol w:w="248"/>
        <w:gridCol w:w="866"/>
        <w:gridCol w:w="611"/>
      </w:tblGrid>
      <w:tr>
        <w:trPr/>
        <w:tc>
          <w:tcPr>
            <w:tcW w:w="6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0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(22,409</w:t>
            </w:r>
          </w:p>
        </w:tc>
        <w:tc>
          <w:tcPr>
            <w:tcW w:w="19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(20,723</w:t>
            </w:r>
          </w:p>
        </w:tc>
        <w:tc>
          <w:tcPr>
            <w:tcW w:w="6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0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725</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Non-cash stock-based compensation</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3,118</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Amortization of finance lease right-of-use assets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656</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Amortization of operating lease right-of-use assets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493</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608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357</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08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Other non-current assets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color w:val="000000"/>
              </w:rPr>
            </w:pPr>
            <w:r>
              <w:rPr>
                <w:color w:val="000000"/>
              </w:rPr>
              <w:t>—</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08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(1,181</w:t>
            </w:r>
          </w:p>
        </w:tc>
        <w:tc>
          <w:tcPr>
            <w:tcW w:w="1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710</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08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280</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969</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08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Short-term operating lease liabilities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08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Long-term operating lease liabilities</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0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(18,490</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(16,172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0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w:t>
            </w:r>
          </w:p>
        </w:tc>
        <w:tc>
          <w:tcPr>
            <w:tcW w:w="1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Construction in progress</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0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(528</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0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the issuance of common stock, net of offering costs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14,317</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9,498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Principal payments on finance leases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(625</w:t>
            </w:r>
          </w:p>
        </w:tc>
        <w:tc>
          <w:tcPr>
            <w:tcW w:w="19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Exercise of common stock options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13,692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9,241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decrease in cash and restricted cash</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(5,326</w:t>
            </w:r>
          </w:p>
        </w:tc>
        <w:tc>
          <w:tcPr>
            <w:tcW w:w="1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(9,373</w:t>
            </w:r>
          </w:p>
        </w:tc>
        <w:tc>
          <w:tcPr>
            <w:tcW w:w="6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0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restricted cash at beginning of period</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18,434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37,272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13,108</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27,899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0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end of period</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12,854</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27,647</w:t>
            </w:r>
          </w:p>
        </w:tc>
        <w:tc>
          <w:tcPr>
            <w:tcW w:w="611" w:type="dxa"/>
            <w:tcBorders/>
            <w:shd w:fill="CFF0FC" w:val="clear"/>
            <w:vAlign w:val="center"/>
          </w:tcPr>
          <w:p>
            <w:pPr>
              <w:pStyle w:val="TableContents"/>
              <w:bidi w:val="0"/>
              <w:spacing w:before="0" w:after="283"/>
              <w:jc w:val="left"/>
              <w:rPr/>
            </w:pPr>
            <w:r>
              <w:rPr/>
              <w:t> </w:t>
            </w:r>
          </w:p>
        </w:tc>
      </w:tr>
      <w:tr>
        <w:trPr/>
        <w:tc>
          <w:tcPr>
            <w:tcW w:w="60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cash, end of period</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restricted cash, end of period</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13,108</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27,899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0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financing and investing activities:</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Initial measurement of financing lease right-of-use assets and liabilities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536</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Construction in progress in accounts payable and accrued expenses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Lease modification of financing lease right-of-use assets and liabilities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Initial measurement of operating lease right-of-use assets and liabilities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CFF0FC" w:val="clear"/>
            <w:vAlign w:val="center"/>
          </w:tcPr>
          <w:p>
            <w:pPr>
              <w:pStyle w:val="TableContents"/>
              <w:bidi w:val="0"/>
              <w:spacing w:before="0" w:after="283"/>
              <w:jc w:val="right"/>
              <w:rPr>
                <w:color w:val="000000"/>
              </w:rPr>
            </w:pPr>
            <w:r>
              <w:rPr>
                <w:color w:val="000000"/>
              </w:rPr>
              <w:t>—</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3,046</w:t>
            </w:r>
          </w:p>
        </w:tc>
        <w:tc>
          <w:tcPr>
            <w:tcW w:w="61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IN8BIO,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
      <w:bookmarkEnd w:id="8"/>
      <w:r>
        <w:rPr>
          <w:rFonts w:ascii="Times New Roman" w:hAnsi="Times New Roman"/>
          <w:b/>
          <w:caps/>
          <w:color w:val="000000"/>
          <w:sz w:val="20"/>
        </w:rPr>
        <w:t>NOTES TO CONDENSED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both"/>
        <w:rPr>
          <w:rFonts w:ascii="Times New Roman" w:hAnsi="Times New Roman"/>
          <w:sz w:val="20"/>
        </w:rPr>
      </w:pPr>
      <w:r>
        <w:rPr>
          <w:rFonts w:ascii="Times New Roman" w:hAnsi="Times New Roman"/>
          <w:b/>
          <w:color w:val="000000"/>
          <w:sz w:val="20"/>
        </w:rPr>
        <w:t>1. ORGANIZATION AND NATURE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Organization and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IN8bio, Inc. (the “Company”) is a clinical-stage biopharmaceutical company focused on the discovery, development and commercialization of gamma-delta T cell product candidates for solid and liquid tumors. The Company’s lead product candidate, INB-400, is currently in a company-sponsored Phase 2 clinical trial in which autologous genetically modified gamma-delta T cells will be assessed in newly diagnosed glioblastoma (“GBM”) patients at centers across the United States. In addition, the Company has two programs in Phase 1 clinical trials: INB-200, for the treatment of patients with newly diagnosed GBM, and INB-100, for the treatment of patients with hematologic malignancies that are undergoing hematopoietic stem cell transplantation (“HSCT”). In addition, the Company’s DeltEx platform has yielded a broad portfolio of preclinical programs, including INB-300 and INB-500, focused on addressing GBM and other solid and hematological tumor types.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Incysus, Inc. (“Incysus”) was a corporation formed in the State of Delaware on November 23, 2015 and Incysus, Ltd. was incorporated in Bermuda on February 8, 2016. Incysus was the wholly-owned United States subsidiary of Incysus, Ltd. On May 7, 2018, Incysus, Ltd. reincorporated in the United States in a domestication transaction (the “Domestication”) in which Incysus, Ltd. converted into a newly formed Delaware corporation, Incysus Therapeutics, Inc. (“Incysus Therapeutics”). On July 24, 2019, Incysus Therapeutics merged with Incysus. Incysus Therapeutics subsequently changed its name to IN8bio, Inc. in August 2020. Following the Domestication in May 2018 and the merging of Incysus Therapeutics and Incysus in July 2019, the Company does not have any subsidiaries to consolidate. The Company is headquartered in New York, New York.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Going Concern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To date, the Company has funded its operations primarily with proceeds from various public and private offerings of its common and preferred stock. The Company has incurred recurring losses and negative operating cash flows since its inception, including net losses of $22.4</w:t>
      </w:r>
      <w:r>
        <w:rPr>
          <w:rFonts w:ascii="Times New Roman" w:hAnsi="Times New Roman"/>
          <w:color w:val="000000"/>
          <w:sz w:val="20"/>
        </w:rPr>
        <w:t xml:space="preserve"> </w:t>
      </w:r>
      <w:r>
        <w:rPr>
          <w:rFonts w:ascii="Times New Roman" w:hAnsi="Times New Roman"/>
          <w:b w:val="false"/>
          <w:color w:val="000000"/>
          <w:sz w:val="20"/>
        </w:rPr>
        <w:t>million and $20.7</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2023 and 2022, respectively. As of September 30, 2023, the Company had an accumulated deficit of $83.6</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On August 16, 2022, the Company completed an underwritten public offering of 5,394,737</w:t>
      </w:r>
      <w:r>
        <w:rPr>
          <w:rFonts w:ascii="Times New Roman" w:hAnsi="Times New Roman"/>
          <w:color w:val="000000"/>
          <w:sz w:val="20"/>
        </w:rPr>
        <w:t xml:space="preserve"> </w:t>
      </w:r>
      <w:r>
        <w:rPr>
          <w:rFonts w:ascii="Times New Roman" w:hAnsi="Times New Roman"/>
          <w:b w:val="false"/>
          <w:color w:val="000000"/>
          <w:sz w:val="20"/>
        </w:rPr>
        <w:t>shares of its common stock at a public offering price of $1.90</w:t>
      </w:r>
      <w:r>
        <w:rPr>
          <w:rFonts w:ascii="Times New Roman" w:hAnsi="Times New Roman"/>
          <w:color w:val="000000"/>
          <w:sz w:val="20"/>
        </w:rPr>
        <w:t xml:space="preserve"> </w:t>
      </w:r>
      <w:r>
        <w:rPr>
          <w:rFonts w:ascii="Times New Roman" w:hAnsi="Times New Roman"/>
          <w:b w:val="false"/>
          <w:color w:val="000000"/>
          <w:sz w:val="20"/>
        </w:rPr>
        <w:t>per share, for net proceeds of approximately $9.0</w:t>
      </w:r>
      <w:r>
        <w:rPr>
          <w:rFonts w:ascii="Times New Roman" w:hAnsi="Times New Roman"/>
          <w:color w:val="000000"/>
          <w:sz w:val="20"/>
        </w:rPr>
        <w:t xml:space="preserve"> </w:t>
      </w:r>
      <w:r>
        <w:rPr>
          <w:rFonts w:ascii="Times New Roman" w:hAnsi="Times New Roman"/>
          <w:b w:val="false"/>
          <w:color w:val="000000"/>
          <w:sz w:val="20"/>
        </w:rPr>
        <w:t>million, after deducting underwriting discounts, commissions and offering expenses. On August 19, 2022, the underwriter partially exercised their option to purchase an additional 268,949</w:t>
      </w:r>
      <w:r>
        <w:rPr>
          <w:rFonts w:ascii="Times New Roman" w:hAnsi="Times New Roman"/>
          <w:color w:val="000000"/>
          <w:sz w:val="20"/>
        </w:rPr>
        <w:t xml:space="preserve"> </w:t>
      </w:r>
      <w:r>
        <w:rPr>
          <w:rFonts w:ascii="Times New Roman" w:hAnsi="Times New Roman"/>
          <w:b w:val="false"/>
          <w:color w:val="000000"/>
          <w:sz w:val="20"/>
        </w:rPr>
        <w:t>shares at the public offering price of $1.90</w:t>
      </w:r>
      <w:r>
        <w:rPr>
          <w:rFonts w:ascii="Times New Roman" w:hAnsi="Times New Roman"/>
          <w:color w:val="000000"/>
          <w:sz w:val="20"/>
        </w:rPr>
        <w:t xml:space="preserve"> </w:t>
      </w:r>
      <w:r>
        <w:rPr>
          <w:rFonts w:ascii="Times New Roman" w:hAnsi="Times New Roman"/>
          <w:b w:val="false"/>
          <w:color w:val="000000"/>
          <w:sz w:val="20"/>
        </w:rPr>
        <w:t>per share, resulting in additional net proceeds of approximately $0.4</w:t>
      </w:r>
      <w:r>
        <w:rPr>
          <w:rFonts w:ascii="Times New Roman" w:hAnsi="Times New Roman"/>
          <w:color w:val="000000"/>
          <w:sz w:val="20"/>
        </w:rPr>
        <w:t xml:space="preserve"> </w:t>
      </w:r>
      <w:r>
        <w:rPr>
          <w:rFonts w:ascii="Times New Roman" w:hAnsi="Times New Roman"/>
          <w:b w:val="false"/>
          <w:color w:val="000000"/>
          <w:sz w:val="20"/>
        </w:rPr>
        <w:t>million, after deducting underwriting discounts, commissions and offering expenses, increasing the aggregate net proceeds from the offering to approximately $9.4</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November 2022, the Company filed a shelf registration statement on Form S-3 (File No. 333-268288) (the “Shelf Registration Statement”) with the Securities and Exchange Commission (“SEC”), which permits the offering, issuance and sale by the Company of up to a maximum aggregate offering price of $200.0</w:t>
      </w:r>
      <w:r>
        <w:rPr>
          <w:rFonts w:ascii="Times New Roman" w:hAnsi="Times New Roman"/>
          <w:color w:val="000000"/>
          <w:sz w:val="20"/>
        </w:rPr>
        <w:t xml:space="preserve"> </w:t>
      </w:r>
      <w:r>
        <w:rPr>
          <w:rFonts w:ascii="Times New Roman" w:hAnsi="Times New Roman"/>
          <w:b w:val="false"/>
          <w:color w:val="000000"/>
          <w:sz w:val="20"/>
        </w:rPr>
        <w:t>million of its common stock and preferred stock, various series of debt securities and/or warrants to purchase any of such securities, of which $50.0</w:t>
      </w:r>
      <w:r>
        <w:rPr>
          <w:rFonts w:ascii="Times New Roman" w:hAnsi="Times New Roman"/>
          <w:color w:val="000000"/>
          <w:sz w:val="20"/>
        </w:rPr>
        <w:t xml:space="preserve"> </w:t>
      </w:r>
      <w:r>
        <w:rPr>
          <w:rFonts w:ascii="Times New Roman" w:hAnsi="Times New Roman"/>
          <w:b w:val="false"/>
          <w:color w:val="000000"/>
          <w:sz w:val="20"/>
        </w:rPr>
        <w:t>million of common stock may be issued and sold pursuant to an at-the-market offering program (“ATM”). The Company entered into a Controlled Equity Offering</w:t>
      </w:r>
      <w:r>
        <w:rPr>
          <w:rFonts w:ascii="Times New Roman" w:hAnsi="Times New Roman"/>
          <w:b w:val="false"/>
          <w:color w:val="000000"/>
          <w:sz w:val="13"/>
        </w:rPr>
        <w:t>SM</w:t>
      </w:r>
      <w:r>
        <w:rPr>
          <w:rFonts w:ascii="Times New Roman" w:hAnsi="Times New Roman"/>
          <w:color w:val="000000"/>
          <w:sz w:val="20"/>
        </w:rPr>
        <w:t xml:space="preserve"> </w:t>
      </w:r>
      <w:r>
        <w:rPr>
          <w:rFonts w:ascii="Times New Roman" w:hAnsi="Times New Roman"/>
          <w:b w:val="false"/>
          <w:color w:val="000000"/>
          <w:sz w:val="20"/>
        </w:rPr>
        <w:t>sales agreement (the “Sales Agreement”) with Cantor Fitzgerald &amp; Co. (“Cantor Fitzgerald”) and Truist Securities, Inc. (“Truist”) under which Cantor Fitzgerald and Truist agreed to act as sales agents to sell shares of the Company’s common stock, from time to time, through the ATM program. Under current SEC regulations, if at any time the Company's public float is less than $75.0</w:t>
      </w:r>
      <w:r>
        <w:rPr>
          <w:rFonts w:ascii="Times New Roman" w:hAnsi="Times New Roman"/>
          <w:color w:val="000000"/>
          <w:sz w:val="20"/>
        </w:rPr>
        <w:t xml:space="preserve"> </w:t>
      </w:r>
      <w:r>
        <w:rPr>
          <w:rFonts w:ascii="Times New Roman" w:hAnsi="Times New Roman"/>
          <w:b w:val="false"/>
          <w:color w:val="000000"/>
          <w:sz w:val="20"/>
        </w:rPr>
        <w:t>million, and for so long as the Company's public float remains less than $75.0</w:t>
      </w:r>
      <w:r>
        <w:rPr>
          <w:rFonts w:ascii="Times New Roman" w:hAnsi="Times New Roman"/>
          <w:color w:val="000000"/>
          <w:sz w:val="20"/>
        </w:rPr>
        <w:t xml:space="preserve"> </w:t>
      </w:r>
      <w:r>
        <w:rPr>
          <w:rFonts w:ascii="Times New Roman" w:hAnsi="Times New Roman"/>
          <w:b w:val="false"/>
          <w:color w:val="000000"/>
          <w:sz w:val="20"/>
        </w:rPr>
        <w:t>million, the amount the Company can raise through primary public offerings of securities in any 12-month period using shelf registration statements is limited to an aggregate of one-third of the Company's public float, which is referred to as the baby shelf rules. As of September 30, 2023, the Company's calculated public float was less than $75.0</w:t>
      </w:r>
      <w:r>
        <w:rPr>
          <w:rFonts w:ascii="Times New Roman" w:hAnsi="Times New Roman"/>
          <w:color w:val="000000"/>
          <w:sz w:val="20"/>
        </w:rPr>
        <w:t xml:space="preserve"> </w:t>
      </w:r>
      <w:r>
        <w:rPr>
          <w:rFonts w:ascii="Times New Roman" w:hAnsi="Times New Roman"/>
          <w:b w:val="false"/>
          <w:color w:val="000000"/>
          <w:sz w:val="20"/>
        </w:rPr>
        <w:t>million. During the nine months ended September 30, 2023, the Company sold an aggregate of 7,430,772</w:t>
      </w:r>
      <w:r>
        <w:rPr>
          <w:rFonts w:ascii="Times New Roman" w:hAnsi="Times New Roman"/>
          <w:color w:val="000000"/>
          <w:sz w:val="20"/>
        </w:rPr>
        <w:t xml:space="preserve"> </w:t>
      </w:r>
      <w:r>
        <w:rPr>
          <w:rFonts w:ascii="Times New Roman" w:hAnsi="Times New Roman"/>
          <w:b w:val="false"/>
          <w:color w:val="000000"/>
          <w:sz w:val="20"/>
        </w:rPr>
        <w:t>shares of common stock under the ATM, resulting in net proceeds of approximately $14.3</w:t>
      </w:r>
      <w:r>
        <w:rPr>
          <w:rFonts w:ascii="Times New Roman" w:hAnsi="Times New Roman"/>
          <w:color w:val="000000"/>
          <w:sz w:val="20"/>
        </w:rPr>
        <w:t xml:space="preserve"> </w:t>
      </w:r>
      <w:r>
        <w:rPr>
          <w:rFonts w:ascii="Times New Roman" w:hAnsi="Times New Roman"/>
          <w:b w:val="false"/>
          <w:color w:val="000000"/>
          <w:sz w:val="20"/>
        </w:rPr>
        <w:t>million, after deducting fees and expenses.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has not yet generated product sales and as a result has experienced operating losses since inception. The Company expects to incur additional losses in the future as it advances its product candidates through clinical trials, seeks to expand its product candidate portfolio through developing additional product candidates, grows its clinical, regulatory and quality capabilities, and incurs costs associated with operating as a public company, and, based on the Company’s business strategy, its existing cash of $12.9</w:t>
      </w:r>
      <w:r>
        <w:rPr>
          <w:rFonts w:ascii="Times New Roman" w:hAnsi="Times New Roman"/>
          <w:color w:val="000000"/>
          <w:sz w:val="20"/>
        </w:rPr>
        <w:t xml:space="preserve"> </w:t>
      </w:r>
      <w:r>
        <w:rPr>
          <w:rFonts w:ascii="Times New Roman" w:hAnsi="Times New Roman"/>
          <w:b w:val="false"/>
          <w:color w:val="000000"/>
          <w:sz w:val="20"/>
        </w:rPr>
        <w:t>million as of September 30, 2023</w:t>
      </w:r>
      <w:r>
        <w:rPr>
          <w:rFonts w:ascii="Times New Roman" w:hAnsi="Times New Roman"/>
          <w:color w:val="000000"/>
          <w:sz w:val="20"/>
        </w:rPr>
        <w:t xml:space="preserve"> </w:t>
      </w:r>
      <w:r>
        <w:rPr>
          <w:rFonts w:ascii="Times New Roman" w:hAnsi="Times New Roman"/>
          <w:b w:val="false"/>
          <w:color w:val="000000"/>
          <w:sz w:val="20"/>
        </w:rPr>
        <w:t>will not be sufficient to fund the Company’s projected operating expenses and capital expenditure requirements beyond May 2024. Accordingly, there is substantial doubt about the Company’s ability to continue to operate as a going concern. To continue to fund the operations of the Company beyond this time period, management has developed plans, which primarily consist of raising additional capital through some combination of public equity offerings, including through ATM offerings, and identifying strategic collaborations, licensing or other arrangements to support development of the Company’s product candidates. There is no</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assurance, however, that any additional financing or any revenue-generating collaboration will be available when needed, that management of the Company will be able to obtain financing or enter into a collaboration on terms acceptable to the Company, or that any additional financing or revenue generated through third party collaborations will be sufficient to fund our operations through this time period. If additional capital is not available, the Company will have to significantly delay, scale back or discontinue research and development programs or future commercialization efforts. The actual amount of cash that the Company will need to operate is subject to many factors. The accompanying financial statements have been prepared on the basis that the Company will continue as a going concern and do not include adjustments that might result from the outcome of this uncertainty.</w:t>
      </w:r>
    </w:p>
    <w:p>
      <w:pPr>
        <w:pStyle w:val="TextBody"/>
        <w:bidi w:val="0"/>
        <w:spacing w:before="360" w:after="283"/>
        <w:jc w:val="both"/>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Company’s significant accounting policies, which are disclosed in the audited financial statements for the year ended December 31, 2022 and the notes thereto, are included in the Company’s Annual Report on Form 10-K (the “Annual Report”) that was filed with the Securities and Exchange Commission (“SEC”) on March 30, 2023. Since the date of that filing, there have been no material changes to the Company’s significant accounting policies.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has prepared the accompanying condensed financial statements in conformity with generally accepted accounting principles in the United States (“U.S. GAAP”).</w:t>
      </w:r>
      <w:r>
        <w:rPr>
          <w:rFonts w:ascii="Times New Roman" w:hAnsi="Times New Roman"/>
          <w:color w:val="000000"/>
          <w:sz w:val="20"/>
        </w:rPr>
        <w:t xml:space="preserv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condensed financial statements of the Company included herein have been prepared pursuant to the rules and regulations of the SEC. Certain information and note disclosures normally included in financial statements prepared in accordance with U.S. GAAP have been condensed or omitted from these condensed financial statements, as is permitted by such rules and regulations. Accordingly, these condensed financial statements should be read in conjunction with the financial statements and notes thereto in the Company's Annual Report. The results for any interim period are not necessarily indicative of results for any future period. In the opinion of the Company’s management, all adjustments (consisting of normal and recurring adjustments) considered necessary for a fair statement of the results for the interim periods presented have been included.</w:t>
      </w:r>
    </w:p>
    <w:p>
      <w:pPr>
        <w:pStyle w:val="TextBody"/>
        <w:bidi w:val="0"/>
        <w:spacing w:before="360" w:after="283"/>
        <w:jc w:val="both"/>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preparation of condensed financial statements in conformity with U.S. GAAP requires management to make estimates and assumptions that affect the reported amounts of assets and liabilities, disclosure of contingent assets and liabilities at the date of the condensed financial statements, and the reported amounts of expenses during the reporting periods presented. Such estimates and assumptions are used for, but are not limited to, the accrual of research and development expenses, deferred tax assets and liabilities and related valuation allowance, stock-based compensation, and the useful lives of property and equipment. The Company bases its estimates on historical experience, known trends and other market-specific or other relevant factors that it believes to be reasonable under the circumstances. Actual results could differ from those estimates.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Financial instruments that potentially expose the Company to significant concentrations of credit risk consist primarily of cash. All of the Company’s cash is deposited in accounts with major financial institutions. Such deposits are in excess of the federally insured limits.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Property and equipment are stated at cost, less accumulated depreciation. Depreciation and amortization of property and equipment is calculated using the straight-line method over the estimated useful lives of the assets. Significant replacements and improvements are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capitalized, while maintenance and repairs, which do not improve or extend the life of the respective assets, are charged to expense as incurred. The estimated useful lives of the Company’s respective assets are as follows:</w:t>
      </w:r>
    </w:p>
    <w:tbl>
      <w:tblPr>
        <w:tblW w:w="10205" w:type="dxa"/>
        <w:jc w:val="left"/>
        <w:tblInd w:w="0" w:type="dxa"/>
        <w:tblLayout w:type="fixed"/>
        <w:tblCellMar>
          <w:top w:w="28" w:type="dxa"/>
          <w:left w:w="28" w:type="dxa"/>
          <w:bottom w:w="28" w:type="dxa"/>
          <w:right w:w="28" w:type="dxa"/>
        </w:tblCellMar>
      </w:tblPr>
      <w:tblGrid>
        <w:gridCol w:w="2242"/>
        <w:gridCol w:w="146"/>
        <w:gridCol w:w="146"/>
        <w:gridCol w:w="7479"/>
        <w:gridCol w:w="192"/>
      </w:tblGrid>
      <w:tr>
        <w:trPr/>
        <w:tc>
          <w:tcPr>
            <w:tcW w:w="2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7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242"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79"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Estimated Useful Life</w:t>
            </w:r>
          </w:p>
        </w:tc>
        <w:tc>
          <w:tcPr>
            <w:tcW w:w="192"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Furniture</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79" w:type="dxa"/>
            <w:tcBorders/>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5</w:t>
            </w:r>
            <w:r>
              <w:rPr>
                <w:rFonts w:ascii="Times New Roman" w:hAnsi="Times New Roman"/>
                <w:color w:val="000000"/>
                <w:sz w:val="20"/>
              </w:rPr>
              <w:t> </w:t>
            </w:r>
            <w:r>
              <w:rPr>
                <w:rFonts w:ascii="Times New Roman" w:hAnsi="Times New Roman"/>
                <w:b w:val="false"/>
                <w:color w:val="000000"/>
                <w:sz w:val="20"/>
              </w:rPr>
              <w:t>years</w:t>
            </w:r>
          </w:p>
        </w:tc>
        <w:tc>
          <w:tcPr>
            <w:tcW w:w="192" w:type="dxa"/>
            <w:tcBorders/>
            <w:vAlign w:val="center"/>
          </w:tcPr>
          <w:p>
            <w:pPr>
              <w:pStyle w:val="TableContents"/>
              <w:bidi w:val="0"/>
              <w:spacing w:before="0" w:after="283"/>
              <w:jc w:val="left"/>
              <w:rPr>
                <w:sz w:val="4"/>
                <w:szCs w:val="4"/>
              </w:rPr>
            </w:pPr>
            <w:r>
              <w:rPr>
                <w:sz w:val="4"/>
                <w:szCs w:val="4"/>
              </w:rPr>
            </w:r>
          </w:p>
        </w:tc>
      </w:tr>
      <w:tr>
        <w:trPr/>
        <w:tc>
          <w:tcPr>
            <w:tcW w:w="224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Machinery and equipment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79" w:type="dxa"/>
            <w:tcBorders/>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3-5</w:t>
            </w:r>
            <w:r>
              <w:rPr>
                <w:rFonts w:ascii="Times New Roman" w:hAnsi="Times New Roman"/>
                <w:color w:val="000000"/>
                <w:sz w:val="20"/>
              </w:rPr>
              <w:t> </w:t>
            </w:r>
            <w:r>
              <w:rPr>
                <w:rFonts w:ascii="Times New Roman" w:hAnsi="Times New Roman"/>
                <w:b w:val="false"/>
                <w:color w:val="000000"/>
                <w:sz w:val="20"/>
              </w:rPr>
              <w:t>years</w:t>
            </w:r>
          </w:p>
        </w:tc>
        <w:tc>
          <w:tcPr>
            <w:tcW w:w="192" w:type="dxa"/>
            <w:tcBorders/>
            <w:vAlign w:val="center"/>
          </w:tcPr>
          <w:p>
            <w:pPr>
              <w:pStyle w:val="TableContents"/>
              <w:bidi w:val="0"/>
              <w:spacing w:before="0" w:after="283"/>
              <w:jc w:val="left"/>
              <w:rPr/>
            </w:pPr>
            <w:r>
              <w:rPr/>
              <w:t> </w:t>
            </w:r>
          </w:p>
        </w:tc>
      </w:tr>
      <w:tr>
        <w:trPr/>
        <w:tc>
          <w:tcPr>
            <w:tcW w:w="224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Software</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79" w:type="dxa"/>
            <w:tcBorders/>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3</w:t>
            </w:r>
            <w:r>
              <w:rPr>
                <w:rFonts w:ascii="Times New Roman" w:hAnsi="Times New Roman"/>
                <w:color w:val="000000"/>
                <w:sz w:val="20"/>
              </w:rPr>
              <w:t> </w:t>
            </w:r>
            <w:r>
              <w:rPr>
                <w:rFonts w:ascii="Times New Roman" w:hAnsi="Times New Roman"/>
                <w:b w:val="false"/>
                <w:color w:val="000000"/>
                <w:sz w:val="20"/>
              </w:rPr>
              <w:t>years</w:t>
            </w:r>
          </w:p>
        </w:tc>
        <w:tc>
          <w:tcPr>
            <w:tcW w:w="192" w:type="dxa"/>
            <w:tcBorders/>
            <w:vAlign w:val="center"/>
          </w:tcPr>
          <w:p>
            <w:pPr>
              <w:pStyle w:val="TableContents"/>
              <w:bidi w:val="0"/>
              <w:spacing w:before="0" w:after="283"/>
              <w:jc w:val="left"/>
              <w:rPr>
                <w:sz w:val="4"/>
                <w:szCs w:val="4"/>
              </w:rPr>
            </w:pPr>
            <w:r>
              <w:rPr>
                <w:sz w:val="4"/>
                <w:szCs w:val="4"/>
              </w:rPr>
            </w:r>
          </w:p>
        </w:tc>
      </w:tr>
      <w:tr>
        <w:trPr/>
        <w:tc>
          <w:tcPr>
            <w:tcW w:w="224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Leasehold improvements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79" w:type="dxa"/>
            <w:tcBorders/>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The shorter of the useful life of the leasehold improvement or the remaining term of the lease</w:t>
            </w:r>
            <w:r>
              <w:rPr>
                <w:rFonts w:ascii="Times New Roman" w:hAnsi="Times New Roman"/>
                <w:color w:val="000000"/>
                <w:sz w:val="20"/>
              </w:rPr>
              <w:t xml:space="preserve"> </w:t>
            </w:r>
          </w:p>
        </w:tc>
        <w:tc>
          <w:tcPr>
            <w:tcW w:w="192" w:type="dxa"/>
            <w:tcBorders/>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Costs for capital assets not yet placed into service are capitalized as construction in progress and depreciated and amortized in accordance with the above guidelines once placed into service. Upon retirement or disposal of property and equipment, the cost and related accumulated depreciation and amortization are removed from the balance sheet and any gain or loss is reflected in the statement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Capitalized Software</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The Company capitalizes the application development phase costs of internal use software in accordance with Accounting Standards Codification (“ASC”) 350-40, </w:t>
      </w:r>
      <w:r>
        <w:rPr>
          <w:rFonts w:ascii="Times New Roman" w:hAnsi="Times New Roman"/>
          <w:b w:val="false"/>
          <w:i/>
          <w:color w:val="000000"/>
          <w:sz w:val="20"/>
        </w:rPr>
        <w:t>Intangibles-Goodwill and Other-Internal Use Software</w:t>
      </w:r>
      <w:r>
        <w:rPr>
          <w:rFonts w:ascii="Times New Roman" w:hAnsi="Times New Roman"/>
          <w:b w:val="false"/>
          <w:color w:val="000000"/>
          <w:sz w:val="20"/>
        </w:rPr>
        <w:t>. Capitalized costs will be amortized on a straight-line basis over the estimated useful life of the asset upon completion.</w:t>
      </w:r>
    </w:p>
    <w:p>
      <w:pPr>
        <w:pStyle w:val="TextBody"/>
        <w:bidi w:val="0"/>
        <w:spacing w:before="360" w:after="283"/>
        <w:jc w:val="both"/>
        <w:rPr>
          <w:rFonts w:ascii="Times New Roman" w:hAnsi="Times New Roman"/>
          <w:sz w:val="20"/>
        </w:rPr>
      </w:pPr>
      <w:r>
        <w:rPr>
          <w:rFonts w:ascii="Times New Roman" w:hAnsi="Times New Roman"/>
          <w:b/>
          <w:i/>
          <w:color w:val="000000"/>
          <w:sz w:val="20"/>
        </w:rPr>
        <w:t>Recently Issued Accounting Standards Updates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did not adopt any new accounting guidance during the nine months ended September 30, 2023, that as of the date of this report had a material impact on the condensed financial statements or disclosures. Additionally, there is no pending accounting guidance that the Company expects to have a material impact on the condensed financial statements.</w:t>
      </w:r>
      <w:r>
        <w:rPr>
          <w:rFonts w:ascii="Times New Roman" w:hAnsi="Times New Roman"/>
          <w:color w:val="000000"/>
          <w:sz w:val="20"/>
        </w:rPr>
        <w:t xml:space="preserv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 PREPAID EXPENSES AND OTHER CURRENT ASSETS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Prepaid expenses and other current assets consist of the following (in thousands):</w:t>
      </w:r>
      <w:r>
        <w:rPr>
          <w:rFonts w:ascii="Times New Roman" w:hAnsi="Times New Roman"/>
          <w:color w:val="000000"/>
          <w:sz w:val="20"/>
        </w:rPr>
        <w:t xml:space="preserve"> </w:t>
      </w:r>
    </w:p>
    <w:p>
      <w:pPr>
        <w:pStyle w:val="TextBody"/>
        <w:bidi w:val="0"/>
        <w:spacing w:before="120" w:after="283"/>
        <w:jc w:val="both"/>
        <w:rPr/>
      </w:pPr>
      <w:r>
        <w:rPr/>
        <w:t> </w:t>
      </w:r>
    </w:p>
    <w:tbl>
      <w:tblPr>
        <w:tblW w:w="6795" w:type="dxa"/>
        <w:jc w:val="left"/>
        <w:tblInd w:w="0" w:type="dxa"/>
        <w:tblLayout w:type="fixed"/>
        <w:tblCellMar>
          <w:top w:w="28" w:type="dxa"/>
          <w:left w:w="28" w:type="dxa"/>
          <w:bottom w:w="28" w:type="dxa"/>
          <w:right w:w="28" w:type="dxa"/>
        </w:tblCellMar>
      </w:tblPr>
      <w:tblGrid>
        <w:gridCol w:w="3931"/>
        <w:gridCol w:w="146"/>
        <w:gridCol w:w="307"/>
        <w:gridCol w:w="833"/>
        <w:gridCol w:w="146"/>
        <w:gridCol w:w="146"/>
        <w:gridCol w:w="294"/>
        <w:gridCol w:w="801"/>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research and development</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2,562</w:t>
            </w:r>
          </w:p>
        </w:tc>
        <w:tc>
          <w:tcPr>
            <w:tcW w:w="191" w:type="dxa"/>
            <w:tcBorders/>
            <w:shd w:fill="CFF0FC"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insurance</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1,258</w:t>
            </w:r>
          </w:p>
        </w:tc>
        <w:tc>
          <w:tcPr>
            <w:tcW w:w="191" w:type="dxa"/>
            <w:tcBorders/>
            <w:shd w:fill="FFFFFF" w:val="cle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4,052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4. PROPERTY AND EQUIPMENT, NET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Property and equipment, net consist of the following (in thousands):</w:t>
      </w:r>
      <w:r>
        <w:rPr>
          <w:rFonts w:ascii="Times New Roman" w:hAnsi="Times New Roman"/>
          <w:color w:val="000000"/>
          <w:sz w:val="20"/>
        </w:rPr>
        <w:t xml:space="preserve"> </w:t>
      </w:r>
    </w:p>
    <w:p>
      <w:pPr>
        <w:pStyle w:val="TextBody"/>
        <w:bidi w:val="0"/>
        <w:jc w:val="both"/>
        <w:rPr/>
      </w:pPr>
      <w:r>
        <w:rPr/>
        <w:t> </w:t>
      </w:r>
    </w:p>
    <w:tbl>
      <w:tblPr>
        <w:tblW w:w="6955" w:type="dxa"/>
        <w:jc w:val="left"/>
        <w:tblInd w:w="0" w:type="dxa"/>
        <w:tblLayout w:type="fixed"/>
        <w:tblCellMar>
          <w:top w:w="28" w:type="dxa"/>
          <w:left w:w="28" w:type="dxa"/>
          <w:bottom w:w="28" w:type="dxa"/>
          <w:right w:w="28" w:type="dxa"/>
        </w:tblCellMar>
      </w:tblPr>
      <w:tblGrid>
        <w:gridCol w:w="4051"/>
        <w:gridCol w:w="146"/>
        <w:gridCol w:w="285"/>
        <w:gridCol w:w="855"/>
        <w:gridCol w:w="166"/>
        <w:gridCol w:w="146"/>
        <w:gridCol w:w="294"/>
        <w:gridCol w:w="801"/>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Machinery and equipment</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358</w:t>
            </w:r>
          </w:p>
        </w:tc>
        <w:tc>
          <w:tcPr>
            <w:tcW w:w="2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335</w:t>
            </w:r>
          </w:p>
        </w:tc>
        <w:tc>
          <w:tcPr>
            <w:tcW w:w="21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Software</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w:t>
            </w:r>
          </w:p>
        </w:tc>
        <w:tc>
          <w:tcPr>
            <w:tcW w:w="2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3,899</w:t>
            </w:r>
          </w:p>
        </w:tc>
        <w:tc>
          <w:tcPr>
            <w:tcW w:w="21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0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4,397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Depreciation and amortization expense was $0.2</w:t>
      </w:r>
      <w:r>
        <w:rPr>
          <w:rFonts w:ascii="Times New Roman" w:hAnsi="Times New Roman"/>
          <w:color w:val="000000"/>
          <w:sz w:val="20"/>
        </w:rPr>
        <w:t xml:space="preserve"> </w:t>
      </w:r>
      <w:r>
        <w:rPr>
          <w:rFonts w:ascii="Times New Roman" w:hAnsi="Times New Roman"/>
          <w:b w:val="false"/>
          <w:color w:val="000000"/>
          <w:sz w:val="20"/>
        </w:rPr>
        <w:t>million and $33,000</w:t>
      </w:r>
      <w:r>
        <w:rPr>
          <w:rFonts w:ascii="Times New Roman" w:hAnsi="Times New Roman"/>
          <w:color w:val="000000"/>
          <w:sz w:val="20"/>
        </w:rPr>
        <w:t xml:space="preserve"> </w:t>
      </w:r>
      <w:r>
        <w:rPr>
          <w:rFonts w:ascii="Times New Roman" w:hAnsi="Times New Roman"/>
          <w:b w:val="false"/>
          <w:color w:val="000000"/>
          <w:sz w:val="20"/>
        </w:rPr>
        <w:t>for the three months ended September 30, 2023 and 2022, respectively, and was $0.7</w:t>
      </w:r>
      <w:r>
        <w:rPr>
          <w:rFonts w:ascii="Times New Roman" w:hAnsi="Times New Roman"/>
          <w:color w:val="000000"/>
          <w:sz w:val="20"/>
        </w:rPr>
        <w:t xml:space="preserve"> </w:t>
      </w:r>
      <w:r>
        <w:rPr>
          <w:rFonts w:ascii="Times New Roman" w:hAnsi="Times New Roman"/>
          <w:b w:val="false"/>
          <w:color w:val="000000"/>
          <w:sz w:val="20"/>
        </w:rPr>
        <w:t>million and $0.1</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2023 and 2022, respectively.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aps/>
          <w:color w:val="000000"/>
          <w:sz w:val="20"/>
        </w:rPr>
        <w:t>5. CONSTRUCTION IN PROGRESS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Construction in progress consists of the following (in thousands):</w:t>
      </w:r>
    </w:p>
    <w:p>
      <w:pPr>
        <w:pStyle w:val="TextBody"/>
        <w:bidi w:val="0"/>
        <w:jc w:val="both"/>
        <w:rPr/>
      </w:pPr>
      <w:r>
        <w:rPr/>
        <w:t> </w:t>
      </w:r>
    </w:p>
    <w:tbl>
      <w:tblPr>
        <w:tblW w:w="6090" w:type="dxa"/>
        <w:jc w:val="left"/>
        <w:tblInd w:w="0" w:type="dxa"/>
        <w:tblLayout w:type="fixed"/>
        <w:tblCellMar>
          <w:top w:w="28" w:type="dxa"/>
          <w:left w:w="28" w:type="dxa"/>
          <w:bottom w:w="28" w:type="dxa"/>
          <w:right w:w="28" w:type="dxa"/>
        </w:tblCellMar>
      </w:tblPr>
      <w:tblGrid>
        <w:gridCol w:w="3226"/>
        <w:gridCol w:w="146"/>
        <w:gridCol w:w="379"/>
        <w:gridCol w:w="761"/>
        <w:gridCol w:w="146"/>
        <w:gridCol w:w="146"/>
        <w:gridCol w:w="413"/>
        <w:gridCol w:w="682"/>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Furniture</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191" w:type="dxa"/>
            <w:tcBorders/>
            <w:shd w:fill="CFF0FC" w:val="cle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Internal use software not yet in service</w:t>
            </w:r>
          </w:p>
        </w:tc>
        <w:tc>
          <w:tcPr>
            <w:tcW w:w="146" w:type="dxa"/>
            <w:tcBorders/>
            <w:shd w:fill="FFFFFF" w:val="cle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construction in progress</w:t>
            </w:r>
          </w:p>
        </w:tc>
        <w:tc>
          <w:tcPr>
            <w:tcW w:w="146" w:type="dxa"/>
            <w:tcBorders/>
            <w:shd w:fill="CFF0FC" w:val="clear"/>
            <w:vAlign w:val="center"/>
          </w:tcPr>
          <w:p>
            <w:pPr>
              <w:pStyle w:val="TableContents"/>
              <w:bidi w:val="0"/>
              <w:spacing w:before="0" w:after="283"/>
              <w:jc w:val="left"/>
              <w:rPr/>
            </w:pPr>
            <w:r>
              <w:rPr/>
              <w:t> </w:t>
            </w:r>
          </w:p>
        </w:tc>
        <w:tc>
          <w:tcPr>
            <w:tcW w:w="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sz w:val="20"/>
        </w:rPr>
      </w:pPr>
      <w:r>
        <w:rPr>
          <w:rFonts w:ascii="Times New Roman" w:hAnsi="Times New Roman"/>
          <w:b/>
          <w:caps/>
          <w:color w:val="000000"/>
          <w:sz w:val="20"/>
        </w:rPr>
        <w:t>6. ACCRUED EXPENSES AND OTHER CURRENT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Accrued expenses and other current liabilities consist of the following (in thousands):</w:t>
      </w:r>
      <w:r>
        <w:rPr>
          <w:rFonts w:ascii="Times New Roman" w:hAnsi="Times New Roman"/>
          <w:color w:val="000000"/>
          <w:sz w:val="20"/>
        </w:rPr>
        <w:t xml:space="preserve"> </w:t>
      </w:r>
    </w:p>
    <w:p>
      <w:pPr>
        <w:pStyle w:val="TextBody"/>
        <w:bidi w:val="0"/>
        <w:jc w:val="both"/>
        <w:rPr/>
      </w:pPr>
      <w:r>
        <w:rPr/>
        <w:t> </w:t>
      </w:r>
    </w:p>
    <w:tbl>
      <w:tblPr>
        <w:tblW w:w="7125" w:type="dxa"/>
        <w:jc w:val="left"/>
        <w:tblInd w:w="0" w:type="dxa"/>
        <w:tblLayout w:type="fixed"/>
        <w:tblCellMar>
          <w:top w:w="28" w:type="dxa"/>
          <w:left w:w="28" w:type="dxa"/>
          <w:bottom w:w="28" w:type="dxa"/>
          <w:right w:w="28" w:type="dxa"/>
        </w:tblCellMar>
      </w:tblPr>
      <w:tblGrid>
        <w:gridCol w:w="4261"/>
        <w:gridCol w:w="146"/>
        <w:gridCol w:w="307"/>
        <w:gridCol w:w="833"/>
        <w:gridCol w:w="146"/>
        <w:gridCol w:w="146"/>
        <w:gridCol w:w="294"/>
        <w:gridCol w:w="80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clinical trials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compensation</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1,460</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legal</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other</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both"/>
        <w:rPr>
          <w:rFonts w:ascii="Times New Roman" w:hAnsi="Times New Roman"/>
          <w:b/>
          <w:caps/>
          <w:color w:val="000000"/>
          <w:sz w:val="20"/>
        </w:rPr>
      </w:pPr>
      <w:r>
        <w:rPr>
          <w:rFonts w:ascii="Times New Roman" w:hAnsi="Times New Roman"/>
          <w:b/>
          <w:caps/>
          <w:color w:val="000000"/>
          <w:sz w:val="20"/>
        </w:rPr>
        <w:t>7. STOCKHOLDERS' EQUITY</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Company’s authorized capital stock consists of 500,000,000</w:t>
      </w:r>
      <w:r>
        <w:rPr>
          <w:rFonts w:ascii="Times New Roman" w:hAnsi="Times New Roman"/>
          <w:color w:val="000000"/>
          <w:sz w:val="20"/>
        </w:rPr>
        <w:t xml:space="preserve"> </w:t>
      </w:r>
      <w:r>
        <w:rPr>
          <w:rFonts w:ascii="Times New Roman" w:hAnsi="Times New Roman"/>
          <w:b w:val="false"/>
          <w:color w:val="000000"/>
          <w:sz w:val="20"/>
        </w:rPr>
        <w:t>shares, all with a par value of $0.0001</w:t>
      </w:r>
      <w:r>
        <w:rPr>
          <w:rFonts w:ascii="Times New Roman" w:hAnsi="Times New Roman"/>
          <w:color w:val="000000"/>
          <w:sz w:val="20"/>
        </w:rPr>
        <w:t xml:space="preserve"> </w:t>
      </w:r>
      <w:r>
        <w:rPr>
          <w:rFonts w:ascii="Times New Roman" w:hAnsi="Times New Roman"/>
          <w:b w:val="false"/>
          <w:color w:val="000000"/>
          <w:sz w:val="20"/>
        </w:rPr>
        <w:t>per share, of which 490,000,000</w:t>
      </w:r>
      <w:r>
        <w:rPr>
          <w:rFonts w:ascii="Times New Roman" w:hAnsi="Times New Roman"/>
          <w:color w:val="000000"/>
          <w:sz w:val="20"/>
        </w:rPr>
        <w:t xml:space="preserve"> </w:t>
      </w:r>
      <w:r>
        <w:rPr>
          <w:rFonts w:ascii="Times New Roman" w:hAnsi="Times New Roman"/>
          <w:b w:val="false"/>
          <w:color w:val="000000"/>
          <w:sz w:val="20"/>
        </w:rPr>
        <w:t>shares are designated as common stock and 10,000,000</w:t>
      </w:r>
      <w:r>
        <w:rPr>
          <w:rFonts w:ascii="Times New Roman" w:hAnsi="Times New Roman"/>
          <w:color w:val="000000"/>
          <w:sz w:val="20"/>
        </w:rPr>
        <w:t xml:space="preserve"> </w:t>
      </w:r>
      <w:r>
        <w:rPr>
          <w:rFonts w:ascii="Times New Roman" w:hAnsi="Times New Roman"/>
          <w:b w:val="false"/>
          <w:color w:val="000000"/>
          <w:sz w:val="20"/>
        </w:rPr>
        <w:t>shares are designated as preferred stock. There were no</w:t>
      </w:r>
      <w:r>
        <w:rPr>
          <w:rFonts w:ascii="Times New Roman" w:hAnsi="Times New Roman"/>
          <w:color w:val="000000"/>
          <w:sz w:val="20"/>
        </w:rPr>
        <w:t xml:space="preserve"> </w:t>
      </w:r>
      <w:r>
        <w:rPr>
          <w:rFonts w:ascii="Times New Roman" w:hAnsi="Times New Roman"/>
          <w:b w:val="false"/>
          <w:color w:val="000000"/>
          <w:sz w:val="20"/>
        </w:rPr>
        <w:t>shares of preferred stock outstanding as of September 30, 2023 or December 31, 2022.</w:t>
      </w:r>
    </w:p>
    <w:p>
      <w:pPr>
        <w:pStyle w:val="TextBody"/>
        <w:bidi w:val="0"/>
        <w:spacing w:before="360" w:after="283"/>
        <w:jc w:val="both"/>
        <w:rPr>
          <w:rFonts w:ascii="Times New Roman" w:hAnsi="Times New Roman"/>
          <w:sz w:val="20"/>
        </w:rPr>
      </w:pPr>
      <w:r>
        <w:rPr>
          <w:rFonts w:ascii="Times New Roman" w:hAnsi="Times New Roman"/>
          <w:b/>
          <w:caps/>
          <w:color w:val="000000"/>
          <w:sz w:val="20"/>
        </w:rPr>
        <w:t>8. STOCK-BASED COMPENSATION</w:t>
      </w:r>
      <w:r>
        <w:rPr>
          <w:rFonts w:ascii="Times New Roman" w:hAnsi="Times New Roman"/>
          <w:color w:val="000000"/>
          <w:sz w:val="20"/>
        </w:rPr>
        <w:t xml:space="preserv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2018 Equity Incentive Plan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On May 7, 2018, the Company established and adopted the 2018 Equity Incentive Plan (the “2018 Plan”) providing for the granting of stock awards for employees, directors and consultants to purchase shares of the Company’s common stock. Upon the effectiveness of the 2020 Plan (as defined below), the 2018 Plan was terminated and no further issuances were made under the 2018 Plan, although it continues to govern the terms of any equity grants that remain outstanding under the 2018 Plan.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2020 Equity Incentive Plan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2020 Equity Incentive Plan (the “2020 Plan”) was approved by the Board of Directors and the Company’s stockholders and became effective on July 29, 2021. The number of shares initially reserved for issuance under the 2020 Plan was 4,200,000, which automatically increases on January 1 of each year for a period of 10 years, beginning on January 1, 2022 and continuing through January 1, 2031, in an amount equal to 5% of the total number of shares of common stock outstanding on the last day of the immediately preceding year, or a lesser number of shares determined by the Board of Directors no later than the last day of the immediately preceding year. Pursuant to the terms of the 2020 Plan, the number of shares available under the 2020 Plan was increased by 1,227,257</w:t>
      </w:r>
      <w:r>
        <w:rPr>
          <w:rFonts w:ascii="Times New Roman" w:hAnsi="Times New Roman"/>
          <w:color w:val="000000"/>
          <w:sz w:val="20"/>
        </w:rPr>
        <w:t xml:space="preserve"> </w:t>
      </w:r>
      <w:r>
        <w:rPr>
          <w:rFonts w:ascii="Times New Roman" w:hAnsi="Times New Roman"/>
          <w:b w:val="false"/>
          <w:color w:val="000000"/>
          <w:sz w:val="20"/>
        </w:rPr>
        <w:t>shares effective January 1, 2023. Upon the effectiveness of the 2023 Plan (as defined below), the 2020 Plan was terminated and no further issuances were made under the 2020 Plan, although it continues to govern the terms of any equity grants that remain outstanding under the 2020 Plan.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Amended and Restated 2023 Equity Incentive Plan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Amended and Restated 2023 Equity Incentive Plan (the “2023 Plan”) was approved by the Board of Directors and the Company’s stockholders and became effective on June 15, 2023. The Board of Directors, or a committee thereof, is authorized to administer the 2023 Plan. The 2023 Plan provides for the grant of Incentive Stock Options (“ISO”) within the meaning of Section 422 of the Internal Revenue Code (“IRC”) as amended, to employees, and for the grant of non-statutory stock options, stock appreciation rights, restricted stock awards, restricted stock unit awards, performance awards and other forms of awards to the Company’s employees, directors and consultants and any Company affiliates’ employees and consultants. The number of shares initially reserved for issuance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under the 2023 Plan was 7,400,000, which automatically increases on January 1 of each year for a period of 10 years, beginning on January 1, 2024 and continuing through January 1, 2033, in an amount equal to 5% of the total number of shares of common stock outstanding on the last day of the immediately preceding year, or a lesser number of shares determined by the Board of Directors no later than the last day of the immediately preceding year. The maximum number of shares of common stock that may be issued upon the exercise of ISOs under the 2023 Plan is 41,000,000</w:t>
      </w:r>
      <w:r>
        <w:rPr>
          <w:rFonts w:ascii="Times New Roman" w:hAnsi="Times New Roman"/>
          <w:color w:val="000000"/>
          <w:sz w:val="20"/>
        </w:rPr>
        <w:t xml:space="preserve"> </w:t>
      </w:r>
      <w:r>
        <w:rPr>
          <w:rFonts w:ascii="Times New Roman" w:hAnsi="Times New Roman"/>
          <w:b w:val="false"/>
          <w:color w:val="000000"/>
          <w:sz w:val="20"/>
        </w:rPr>
        <w:t>shares. As of September 30, 2023, 6,860,524</w:t>
      </w:r>
      <w:r>
        <w:rPr>
          <w:rFonts w:ascii="Times New Roman" w:hAnsi="Times New Roman"/>
          <w:color w:val="000000"/>
          <w:sz w:val="20"/>
        </w:rPr>
        <w:t xml:space="preserve"> </w:t>
      </w:r>
      <w:r>
        <w:rPr>
          <w:rFonts w:ascii="Times New Roman" w:hAnsi="Times New Roman"/>
          <w:b w:val="false"/>
          <w:color w:val="000000"/>
          <w:sz w:val="20"/>
        </w:rPr>
        <w:t>shares were available for grant pursuant to the 2023 Plan.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2020 Employee Stock Purchase Plan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2020 Employee Stock Purchase Plan (the “2020 ESPP”) was approved by the Company’s Board of Directors and the Company’s stockholders and became effective on July 29, 2021. A total of 200,000</w:t>
      </w:r>
      <w:r>
        <w:rPr>
          <w:rFonts w:ascii="Times New Roman" w:hAnsi="Times New Roman"/>
          <w:color w:val="000000"/>
          <w:sz w:val="20"/>
        </w:rPr>
        <w:t xml:space="preserve"> </w:t>
      </w:r>
      <w:r>
        <w:rPr>
          <w:rFonts w:ascii="Times New Roman" w:hAnsi="Times New Roman"/>
          <w:b w:val="false"/>
          <w:color w:val="000000"/>
          <w:sz w:val="20"/>
        </w:rPr>
        <w:t>shares of common stock were initially reserved for issuance under this plan, which automatically increases on January 1 of each year by the lesser of (i) 1% of the outstanding number of shares of common stock on the immediately preceding December 31 and (ii) 400,000, or such lesser number of shares as determined by our Board of Directors. The Board of Directors acted not to increase the number of shares of common stock reserved for future issuance under the ESPP as of January 1, 2023. As of September 30, 2023, no</w:t>
      </w:r>
      <w:r>
        <w:rPr>
          <w:rFonts w:ascii="Times New Roman" w:hAnsi="Times New Roman"/>
          <w:color w:val="000000"/>
          <w:sz w:val="20"/>
        </w:rPr>
        <w:t xml:space="preserve"> </w:t>
      </w:r>
      <w:r>
        <w:rPr>
          <w:rFonts w:ascii="Times New Roman" w:hAnsi="Times New Roman"/>
          <w:b w:val="false"/>
          <w:color w:val="000000"/>
          <w:sz w:val="20"/>
        </w:rPr>
        <w:t>shares of common stock had been issued under the 2020 ESPP and 387,812</w:t>
      </w:r>
      <w:r>
        <w:rPr>
          <w:rFonts w:ascii="Times New Roman" w:hAnsi="Times New Roman"/>
          <w:color w:val="000000"/>
          <w:sz w:val="20"/>
        </w:rPr>
        <w:t xml:space="preserve"> </w:t>
      </w:r>
      <w:r>
        <w:rPr>
          <w:rFonts w:ascii="Times New Roman" w:hAnsi="Times New Roman"/>
          <w:b w:val="false"/>
          <w:color w:val="000000"/>
          <w:sz w:val="20"/>
        </w:rPr>
        <w:t>shares remained available for future issuance under the 2020 ESPP. The Company’s Board of Directors or designated committee has not set an offering period.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 Option Activity</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following is a summary of the stock option award activity during the nine months ended September 30, 2023:</w:t>
      </w:r>
      <w:r>
        <w:rPr>
          <w:rFonts w:ascii="Times New Roman" w:hAnsi="Times New Roman"/>
          <w:color w:val="000000"/>
          <w:sz w:val="20"/>
        </w:rPr>
        <w:t xml:space="preserve"> </w:t>
      </w:r>
    </w:p>
    <w:p>
      <w:pPr>
        <w:pStyle w:val="TextBody"/>
        <w:bidi w:val="0"/>
        <w:jc w:val="both"/>
        <w:rPr/>
      </w:pPr>
      <w:r>
        <w:rPr/>
        <w:t> </w:t>
      </w:r>
    </w:p>
    <w:tbl>
      <w:tblPr>
        <w:tblW w:w="9698" w:type="dxa"/>
        <w:jc w:val="left"/>
        <w:tblInd w:w="0" w:type="dxa"/>
        <w:tblLayout w:type="fixed"/>
        <w:tblCellMar>
          <w:top w:w="28" w:type="dxa"/>
          <w:left w:w="28" w:type="dxa"/>
          <w:bottom w:w="28" w:type="dxa"/>
          <w:right w:w="28" w:type="dxa"/>
        </w:tblCellMar>
      </w:tblPr>
      <w:tblGrid>
        <w:gridCol w:w="4216"/>
        <w:gridCol w:w="146"/>
        <w:gridCol w:w="146"/>
        <w:gridCol w:w="931"/>
        <w:gridCol w:w="166"/>
        <w:gridCol w:w="146"/>
        <w:gridCol w:w="266"/>
        <w:gridCol w:w="590"/>
        <w:gridCol w:w="146"/>
        <w:gridCol w:w="146"/>
        <w:gridCol w:w="236"/>
        <w:gridCol w:w="755"/>
        <w:gridCol w:w="146"/>
        <w:gridCol w:w="146"/>
        <w:gridCol w:w="374"/>
        <w:gridCol w:w="751"/>
        <w:gridCol w:w="39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Stock</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4,003,294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2,915,275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2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59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2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2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6,749,529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642</w:t>
            </w:r>
          </w:p>
        </w:tc>
        <w:tc>
          <w:tcPr>
            <w:tcW w:w="391" w:type="dxa"/>
            <w:tcBorders/>
            <w:shd w:fill="CFF0FC" w:val="clear"/>
            <w:vAlign w:val="center"/>
          </w:tcPr>
          <w:p>
            <w:pPr>
              <w:pStyle w:val="TableContents"/>
              <w:bidi w:val="0"/>
              <w:spacing w:before="0" w:after="283"/>
              <w:jc w:val="left"/>
              <w:rPr/>
            </w:pPr>
            <w:r>
              <w:rPr/>
              <w:t> </w:t>
            </w:r>
          </w:p>
        </w:tc>
      </w:tr>
      <w:tr>
        <w:trPr/>
        <w:tc>
          <w:tcPr>
            <w:tcW w:w="42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Exercisable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2,033,070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42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 expected to vest as of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4,716,459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642</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The weighted-average grant date fair value of options granted during the nine months ended September 30, 2023 and 2022 was $1.59</w:t>
      </w:r>
      <w:r>
        <w:rPr>
          <w:rFonts w:ascii="Times New Roman" w:hAnsi="Times New Roman"/>
          <w:color w:val="000000"/>
          <w:sz w:val="20"/>
        </w:rPr>
        <w:t xml:space="preserve"> </w:t>
      </w:r>
      <w:r>
        <w:rPr>
          <w:rFonts w:ascii="Times New Roman" w:hAnsi="Times New Roman"/>
          <w:b w:val="false"/>
          <w:color w:val="000000"/>
          <w:sz w:val="20"/>
        </w:rPr>
        <w:t>and $3.69, respectively. The aggregate intrinsic value is calculated as the difference between the exercise price and the market price of the Company’s common stock at September 30, 2023 and December 31, 2022.</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For the nine months ended September 30, 2023 and 2022, the Company utilized the Black-Scholes option-pricing model for estimating the fair value of the stock options. The following table presents the assumptions and the Company’s methodology for developing each of the assumptions used: </w:t>
      </w:r>
    </w:p>
    <w:p>
      <w:pPr>
        <w:pStyle w:val="TextBody"/>
        <w:bidi w:val="0"/>
        <w:jc w:val="both"/>
        <w:rPr/>
      </w:pPr>
      <w:r>
        <w:rPr/>
        <w:t> </w:t>
      </w:r>
    </w:p>
    <w:tbl>
      <w:tblPr>
        <w:tblW w:w="5215" w:type="dxa"/>
        <w:jc w:val="left"/>
        <w:tblInd w:w="0" w:type="dxa"/>
        <w:tblLayout w:type="fixed"/>
        <w:tblCellMar>
          <w:top w:w="28" w:type="dxa"/>
          <w:left w:w="28" w:type="dxa"/>
          <w:bottom w:w="28" w:type="dxa"/>
          <w:right w:w="28" w:type="dxa"/>
        </w:tblCellMar>
      </w:tblPr>
      <w:tblGrid>
        <w:gridCol w:w="1846"/>
        <w:gridCol w:w="146"/>
        <w:gridCol w:w="1516"/>
        <w:gridCol w:w="146"/>
        <w:gridCol w:w="156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2022</w:t>
            </w:r>
          </w:p>
        </w:tc>
      </w:tr>
      <w:tr>
        <w:trPr/>
        <w:tc>
          <w:tcPr>
            <w:tcW w:w="18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Volatility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91.91% - 95.08%</w:t>
            </w:r>
          </w:p>
        </w:tc>
        <w:tc>
          <w:tcPr>
            <w:tcW w:w="146" w:type="dxa"/>
            <w:tcBorders/>
            <w:shd w:fill="CFF0FC" w:val="clear"/>
            <w:vAlign w:val="center"/>
          </w:tcPr>
          <w:p>
            <w:pPr>
              <w:pStyle w:val="TableContents"/>
              <w:bidi w:val="0"/>
              <w:spacing w:before="0" w:after="283"/>
              <w:jc w:val="left"/>
              <w:rPr/>
            </w:pPr>
            <w:r>
              <w:rPr/>
              <w:t> </w:t>
            </w:r>
          </w:p>
        </w:tc>
        <w:tc>
          <w:tcPr>
            <w:tcW w:w="156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86.91% - 89.16%</w:t>
            </w:r>
          </w:p>
        </w:tc>
      </w:tr>
      <w:tr>
        <w:trPr/>
        <w:tc>
          <w:tcPr>
            <w:tcW w:w="18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life (years)</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5.27 - 6.08</w:t>
            </w:r>
          </w:p>
        </w:tc>
        <w:tc>
          <w:tcPr>
            <w:tcW w:w="146"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5.27 - 6.08</w:t>
            </w:r>
          </w:p>
        </w:tc>
      </w:tr>
      <w:tr>
        <w:trPr/>
        <w:tc>
          <w:tcPr>
            <w:tcW w:w="18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3.58% - 4.43%</w:t>
            </w:r>
          </w:p>
        </w:tc>
        <w:tc>
          <w:tcPr>
            <w:tcW w:w="146" w:type="dxa"/>
            <w:tcBorders/>
            <w:shd w:fill="CFF0FC" w:val="clear"/>
            <w:vAlign w:val="center"/>
          </w:tcPr>
          <w:p>
            <w:pPr>
              <w:pStyle w:val="TableContents"/>
              <w:bidi w:val="0"/>
              <w:spacing w:before="0" w:after="283"/>
              <w:jc w:val="left"/>
              <w:rPr/>
            </w:pPr>
            <w:r>
              <w:rPr/>
              <w:t> </w:t>
            </w:r>
          </w:p>
        </w:tc>
        <w:tc>
          <w:tcPr>
            <w:tcW w:w="156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1.99% - 3.39%</w:t>
            </w:r>
          </w:p>
        </w:tc>
      </w:tr>
      <w:tr>
        <w:trPr/>
        <w:tc>
          <w:tcPr>
            <w:tcW w:w="18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Dividend rate</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center"/>
              <w:rPr>
                <w:color w:val="000000"/>
              </w:rPr>
            </w:pPr>
            <w:r>
              <w:rPr>
                <w:color w:val="000000"/>
              </w:rPr>
              <w:t>—</w:t>
            </w:r>
          </w:p>
        </w:tc>
      </w:tr>
    </w:tbl>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 xml:space="preserve">Volatility—The Company estimates the expected volatility of its common stock at the date of grant based on the historical volatility of comparable public companies over the expected term.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Expected life—The expected term represents the period that the Company’s stock option grants are expected to be outstanding. The expected term of the options granted to employees and non-employee directors by the Company has been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determined utilizing the “simplified” method for awards that qualify as “plain-vanilla” options. Under this approach, the weighted-average expected life is presumed to be the average of the vesting term and the contractual term of the option.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Risk-free interest rate—The risk-free rate for periods within the estimated life of the stock award is based on the U.S. Treasury yield curve in effect at the time of grant.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Dividend rate—The assumed dividend yield is based upon the Company’s expectation of not paying dividends in the foreseeable future.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Stock-based compensation expense was recorded in the following line items in the condensed statements of operations for the three and nine months ended September 30, 2023 and 2022 (in thousands):</w:t>
      </w:r>
      <w:r>
        <w:rPr>
          <w:rFonts w:ascii="Times New Roman" w:hAnsi="Times New Roman"/>
          <w:color w:val="000000"/>
          <w:sz w:val="20"/>
        </w:rPr>
        <w:t xml:space="preserve"> </w:t>
      </w:r>
    </w:p>
    <w:p>
      <w:pPr>
        <w:pStyle w:val="TextBody"/>
        <w:bidi w:val="0"/>
        <w:jc w:val="both"/>
        <w:rPr/>
      </w:pPr>
      <w:r>
        <w:rPr/>
        <w:t> </w:t>
      </w:r>
    </w:p>
    <w:tbl>
      <w:tblPr>
        <w:tblW w:w="7642" w:type="dxa"/>
        <w:jc w:val="left"/>
        <w:tblInd w:w="0" w:type="dxa"/>
        <w:tblLayout w:type="fixed"/>
        <w:tblCellMar>
          <w:top w:w="28" w:type="dxa"/>
          <w:left w:w="28" w:type="dxa"/>
          <w:bottom w:w="28" w:type="dxa"/>
          <w:right w:w="28" w:type="dxa"/>
        </w:tblCellMar>
      </w:tblPr>
      <w:tblGrid>
        <w:gridCol w:w="3451"/>
        <w:gridCol w:w="146"/>
        <w:gridCol w:w="211"/>
        <w:gridCol w:w="571"/>
        <w:gridCol w:w="146"/>
        <w:gridCol w:w="146"/>
        <w:gridCol w:w="211"/>
        <w:gridCol w:w="421"/>
        <w:gridCol w:w="146"/>
        <w:gridCol w:w="146"/>
        <w:gridCol w:w="211"/>
        <w:gridCol w:w="571"/>
        <w:gridCol w:w="146"/>
        <w:gridCol w:w="146"/>
        <w:gridCol w:w="211"/>
        <w:gridCol w:w="57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1,015</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No</w:t>
      </w:r>
      <w:r>
        <w:rPr>
          <w:rFonts w:ascii="Times New Roman" w:hAnsi="Times New Roman"/>
          <w:color w:val="000000"/>
          <w:sz w:val="20"/>
        </w:rPr>
        <w:t xml:space="preserve"> </w:t>
      </w:r>
      <w:r>
        <w:rPr>
          <w:rFonts w:ascii="Times New Roman" w:hAnsi="Times New Roman"/>
          <w:b w:val="false"/>
          <w:color w:val="000000"/>
          <w:sz w:val="20"/>
        </w:rPr>
        <w:t>related tax benefits from stock-based compensation expense were recognized for the three and nine months ended September 30, 2023 and 2022. As of September 30, 2023, there was $8.4</w:t>
      </w:r>
      <w:r>
        <w:rPr>
          <w:rFonts w:ascii="Times New Roman" w:hAnsi="Times New Roman"/>
          <w:color w:val="000000"/>
          <w:sz w:val="20"/>
        </w:rPr>
        <w:t xml:space="preserve"> </w:t>
      </w:r>
      <w:r>
        <w:rPr>
          <w:rFonts w:ascii="Times New Roman" w:hAnsi="Times New Roman"/>
          <w:b w:val="false"/>
          <w:color w:val="000000"/>
          <w:sz w:val="20"/>
        </w:rPr>
        <w:t>million in unrecognized stock-based compensation expense, which is expected to be recognized over a weighted-average period of</w:t>
      </w:r>
      <w:r>
        <w:rPr>
          <w:rFonts w:ascii="Times New Roman" w:hAnsi="Times New Roman"/>
          <w:color w:val="000000"/>
          <w:sz w:val="20"/>
        </w:rPr>
        <w:t xml:space="preserve"> </w:t>
      </w:r>
      <w:r>
        <w:rPr>
          <w:rFonts w:ascii="Times New Roman" w:hAnsi="Times New Roman"/>
          <w:b w:val="false"/>
          <w:color w:val="000000"/>
          <w:sz w:val="20"/>
        </w:rPr>
        <w:t>2.51</w:t>
      </w:r>
      <w:r>
        <w:rPr>
          <w:rFonts w:ascii="Times New Roman" w:hAnsi="Times New Roman"/>
          <w:color w:val="000000"/>
          <w:sz w:val="20"/>
        </w:rPr>
        <w:t xml:space="preserve"> </w:t>
      </w:r>
      <w:r>
        <w:rPr>
          <w:rFonts w:ascii="Times New Roman" w:hAnsi="Times New Roman"/>
          <w:b w:val="false"/>
          <w:color w:val="000000"/>
          <w:sz w:val="20"/>
        </w:rPr>
        <w:t>years.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 LICENSE AGREEMENTS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Emory University, Children’s Healthcare of Atlanta, Inc. and UAB Research Foundation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June 2016, the Company entered into an exclusive license agreement with Emory University, Children’s Healthcare of Atlanta, Inc. and UAB Research Foundation (“UABRF”), as amended from time to time (the “Emory License Agreement”). The Emory License Agreement was amended in October 2017 and July 2020. Under the Emory License Agreement, the Company obtained an exclusive worldwide license under certain immunotherapy related patents and know-how related to gamma-delta T cells developed by Emory University, Children’s Healthcare of Atlanta, Inc. and UABRF’s affiliate, the University of Alabama at Birmingham, to develop, make, have made, use, sell, import and otherwise commercialize products that are covered by such patents or otherwise incorporate or use the licensed technology. Such exclusive license is subject to certain rights retained by these institutions and also the U.S. government.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consideration of the license granted under the Emory License Agreement, the Company paid Emory University a nominal upfront payment. In addition, the Company is required to pay Emory University development milestones totaling up to an aggregate of $1.4</w:t>
      </w:r>
      <w:r>
        <w:rPr>
          <w:rFonts w:ascii="Times New Roman" w:hAnsi="Times New Roman"/>
          <w:color w:val="000000"/>
          <w:sz w:val="20"/>
        </w:rPr>
        <w:t xml:space="preserve"> </w:t>
      </w:r>
      <w:r>
        <w:rPr>
          <w:rFonts w:ascii="Times New Roman" w:hAnsi="Times New Roman"/>
          <w:b w:val="false"/>
          <w:color w:val="000000"/>
          <w:sz w:val="20"/>
        </w:rPr>
        <w:t>million, low-single-digit to mid-single-digit tiered running royalties on the net sales of the licensed products, including an annual minimum royalty beginning on a specified period after the first sale of a licensed product, and a share of certain payments that the Company may receive from sublicenses. In addition, in the event no milestone payments have been paid in certain years, the Company will be required to pay an annual license maintenance fee. A milestone payment is expected in 2023 with the completion of enrollment of dose-escalation of the Phase 1 INB-100 trial. The Emory License Agreement also requires the Company to reimburse Emory University for the cost of the prosecution and maintenance of the licensed patents. Pursuant to the Emory License Agreement, the Company is required to use its best efforts to develop, manufacture and commercialize the licensed product, and is obligated to meet certain specified deadlines in the development of the licensed products.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term of the Emory License Agreement will continue until 15 years after the first commercial sale of the licensed product, or the expiration of the relevant licensed patents, whichever is later.</w:t>
      </w:r>
      <w:r>
        <w:rPr>
          <w:rFonts w:ascii="Times New Roman" w:hAnsi="Times New Roman"/>
          <w:color w:val="000000"/>
          <w:sz w:val="20"/>
        </w:rPr>
        <w:t xml:space="preserve"> </w:t>
      </w:r>
      <w:r>
        <w:rPr>
          <w:rFonts w:ascii="Times New Roman" w:hAnsi="Times New Roman"/>
          <w:b w:val="false"/>
          <w:color w:val="000000"/>
          <w:sz w:val="20"/>
        </w:rPr>
        <w:t>The Company may terminate the Emory License Agreement at will at any time upon prior written notice to Emory University. Emory University has the right to terminate the Emory License Agreement if the Company materially breaches the agreement (including failure to meet diligence obligations) and fails to cure such breach within a specified cure period, if the Company becomes bankrupt or insolvent or decides to cease development and commercialization of the licensed product, or if the Company challenges the validity or enforceability of any licensed patents.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Exclusive License Agreement with UABRF</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March 2016, the Company entered into an exclusive license agreement with UABRF, as amended from time to time (the “UABRF License Agreement”). The Company amended the UABRF License Agreement in December 2016, January 2017, June 2017 and November 2018. Under the UABRF License Agreement, the Company obtained an exclusive worldwide license under certain immunotherapy-related patents related to the use of gamma-delta T cells, certain CAR-T cells and combination treatments for cellular therapies developed by the University of Alabama at Birmingham and owned by UABRF to develop, make, have made, use, sell, import and otherwise commercialize products that are covered by such patents. Such exclusive license is subject to certain rights retained by UABRF and also the U.S. government.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consideration of the license granted under the UABRF License Agreement, the Company paid UABRF a nominal upfront payment and issued 91,250</w:t>
      </w:r>
      <w:r>
        <w:rPr>
          <w:rFonts w:ascii="Times New Roman" w:hAnsi="Times New Roman"/>
          <w:color w:val="000000"/>
          <w:sz w:val="20"/>
        </w:rPr>
        <w:t xml:space="preserve"> </w:t>
      </w:r>
      <w:r>
        <w:rPr>
          <w:rFonts w:ascii="Times New Roman" w:hAnsi="Times New Roman"/>
          <w:b w:val="false"/>
          <w:color w:val="000000"/>
          <w:sz w:val="20"/>
        </w:rPr>
        <w:t>shares of common stock to UABRF, which were subject to certain antidilution rights.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addition, the Company is required to pay UABRF development milestones totaling up to an aggregate of $1.4</w:t>
      </w:r>
      <w:r>
        <w:rPr>
          <w:rFonts w:ascii="Times New Roman" w:hAnsi="Times New Roman"/>
          <w:color w:val="000000"/>
          <w:sz w:val="20"/>
        </w:rPr>
        <w:t xml:space="preserve"> </w:t>
      </w:r>
      <w:r>
        <w:rPr>
          <w:rFonts w:ascii="Times New Roman" w:hAnsi="Times New Roman"/>
          <w:b w:val="false"/>
          <w:color w:val="000000"/>
          <w:sz w:val="20"/>
        </w:rPr>
        <w:t>million, lump-sum royalties on cumulative net sales totaling up to an aggregate of $22.5</w:t>
      </w:r>
      <w:r>
        <w:rPr>
          <w:rFonts w:ascii="Times New Roman" w:hAnsi="Times New Roman"/>
          <w:color w:val="000000"/>
          <w:sz w:val="20"/>
        </w:rPr>
        <w:t xml:space="preserve"> </w:t>
      </w:r>
      <w:r>
        <w:rPr>
          <w:rFonts w:ascii="Times New Roman" w:hAnsi="Times New Roman"/>
          <w:b w:val="false"/>
          <w:color w:val="000000"/>
          <w:sz w:val="20"/>
        </w:rPr>
        <w:t>million, mid-single-digit running royalties on net sales of the licensed products, low-single-digit running royalties on net sales of the licensed products, and a share of certain non-royalty income that the Company may receive, including from any sublicenses. The UABRF License Agreement also requires the Company to reimburse UABRF for the cost of the prosecution and maintenance of the licensed patents.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Pursuant to the UABRF License Agreement, the Company is required to use good faith reasonable commercial efforts to develop, manufacture and commercialize the licensed product.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term of the UABRF License Agreement will continue until the expiration of the licensed patents. The Company may terminate the UABRF License Agreement at will at any time upon prior written notice to UABRF. UABRF has the right to terminate the UABRF License Agreement if the Company materially breaches the agreement and fails to cure such breach within a specified cure period, if the Company fails to diligently undertake development and commercialization activities as set forth in the development and commercialization plan, if the Company underreports its payment obligations or underpays by more than a specified threshold, if the Company challenges the validity or enforceability of any licensed patents, or if the Company becomes bankrupt or insolvent.</w:t>
      </w:r>
    </w:p>
    <w:p>
      <w:pPr>
        <w:pStyle w:val="TextBody"/>
        <w:bidi w:val="0"/>
        <w:spacing w:before="360" w:after="283"/>
        <w:jc w:val="both"/>
        <w:rPr>
          <w:rFonts w:ascii="Times New Roman" w:hAnsi="Times New Roman"/>
          <w:sz w:val="20"/>
        </w:rPr>
      </w:pPr>
      <w:r>
        <w:rPr>
          <w:rFonts w:ascii="Times New Roman" w:hAnsi="Times New Roman"/>
          <w:b/>
          <w:color w:val="000000"/>
          <w:sz w:val="20"/>
        </w:rPr>
        <w:t>10. NET LOSS PER SHARE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Basic net loss per share is calculated by dividing the net loss attributable to common stockholders by the weighted-average number of shares of common stock outstanding during the period, without consideration for potentially dilutive securities. Diluted net loss per share is the same as basic net loss per share for the periods presented since the effects of potentially dilutive securities are antidilutive given the net loss of the Company.</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Basic and diluted net loss per share is calculated as follows (in thousands, except share and per share amounts):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924"/>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(7,169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(7,399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(22,409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(20,723</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9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share—basic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top w:val="double" w:sz="6"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top w:val="double" w:sz="6"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(0.23</w:t>
            </w:r>
          </w:p>
        </w:tc>
        <w:tc>
          <w:tcPr>
            <w:tcW w:w="166" w:type="dxa"/>
            <w:tcBorders>
              <w:top w:val="double" w:sz="6"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double" w:sz="6"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top w:val="double" w:sz="6"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(0.34</w:t>
            </w:r>
          </w:p>
        </w:tc>
        <w:tc>
          <w:tcPr>
            <w:tcW w:w="166" w:type="dxa"/>
            <w:tcBorders>
              <w:top w:val="double" w:sz="6"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double" w:sz="6"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top w:val="double" w:sz="6"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(0.79</w:t>
            </w:r>
          </w:p>
        </w:tc>
        <w:tc>
          <w:tcPr>
            <w:tcW w:w="166" w:type="dxa"/>
            <w:tcBorders>
              <w:top w:val="double" w:sz="6"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double" w:sz="6"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top w:val="double" w:sz="6"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w:t>
            </w:r>
          </w:p>
        </w:tc>
        <w:tc>
          <w:tcPr>
            <w:tcW w:w="211" w:type="dxa"/>
            <w:tcBorders>
              <w:top w:val="double" w:sz="6"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9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number of shares used in computing net loss</w:t>
              <w:br/>
              <w:t>   per share—basic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31,545,783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21,661,544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28,275,193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19,774,070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following outstanding potentially dilutive securities have been excluded from the calculation of diluted net loss per share, as their effect is antidilutive:</w:t>
      </w:r>
    </w:p>
    <w:p>
      <w:pPr>
        <w:pStyle w:val="TextBody"/>
        <w:bidi w:val="0"/>
        <w:jc w:val="both"/>
        <w:rPr/>
      </w:pPr>
      <w:r>
        <w:rPr/>
        <w:t> </w:t>
      </w:r>
    </w:p>
    <w:tbl>
      <w:tblPr>
        <w:tblW w:w="8680" w:type="dxa"/>
        <w:jc w:val="left"/>
        <w:tblInd w:w="0" w:type="dxa"/>
        <w:tblLayout w:type="fixed"/>
        <w:tblCellMar>
          <w:top w:w="28" w:type="dxa"/>
          <w:left w:w="28" w:type="dxa"/>
          <w:bottom w:w="28" w:type="dxa"/>
          <w:right w:w="28" w:type="dxa"/>
        </w:tblCellMar>
      </w:tblPr>
      <w:tblGrid>
        <w:gridCol w:w="3451"/>
        <w:gridCol w:w="146"/>
        <w:gridCol w:w="146"/>
        <w:gridCol w:w="931"/>
        <w:gridCol w:w="146"/>
        <w:gridCol w:w="146"/>
        <w:gridCol w:w="931"/>
        <w:gridCol w:w="146"/>
        <w:gridCol w:w="146"/>
        <w:gridCol w:w="146"/>
        <w:gridCol w:w="931"/>
        <w:gridCol w:w="146"/>
        <w:gridCol w:w="146"/>
        <w:gridCol w:w="93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 options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6,745,109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3,326,351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5,351,910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3,326,351</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aps/>
          <w:color w:val="000000"/>
          <w:sz w:val="20"/>
        </w:rPr>
        <w:t>11. COMMITMENTS AND CONTINGENCIES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Intellectual Property</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has existing commitments to the licensors of the intellectual property which the Company has licensed. These commitments are based upon certain clinical research, regulatory, financial and sales milestones being achieved. Additionally, the Company is obligated to pay a single-digit royalty on commercial sales on a global basis of licensed products under the Emory License Agreement and the UABRF License Agreement. The royalty term is the later of 15</w:t>
      </w:r>
      <w:r>
        <w:rPr>
          <w:rFonts w:ascii="Times New Roman" w:hAnsi="Times New Roman"/>
          <w:color w:val="000000"/>
          <w:sz w:val="20"/>
        </w:rPr>
        <w:t xml:space="preserve"> </w:t>
      </w:r>
      <w:r>
        <w:rPr>
          <w:rFonts w:ascii="Times New Roman" w:hAnsi="Times New Roman"/>
          <w:b w:val="false"/>
          <w:color w:val="000000"/>
          <w:sz w:val="20"/>
        </w:rPr>
        <w:t>years from first commercial sale or expiration of the last-to-expire component of the licensed intellectual property.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Company is not currently party to any material legal proceedings. At each reporting date, the Company evaluates whether or not a potential loss amount or potential range of loss is probable and reasonably estimable under the provisions of the authoritative guidance that addresses accounting for contingencies. The Company expenses as incurred costs related to such legal proceedings.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aps/>
          <w:color w:val="000000"/>
          <w:sz w:val="20"/>
        </w:rPr>
        <w:t>12. Facility LEASES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The Company has historically entered into lease arrangements for its facilities. As of September 30, 2023, the Company had four operating leases with required future minimum payments. In applying the transition guidance under Accounting Standards Update No. 2016-02, </w:t>
      </w:r>
      <w:r>
        <w:rPr>
          <w:rFonts w:ascii="Times New Roman" w:hAnsi="Times New Roman"/>
          <w:b w:val="false"/>
          <w:i/>
          <w:color w:val="000000"/>
          <w:sz w:val="20"/>
        </w:rPr>
        <w:t>Leases</w:t>
      </w:r>
      <w:r>
        <w:rPr>
          <w:rFonts w:ascii="Times New Roman" w:hAnsi="Times New Roman"/>
          <w:color w:val="000000"/>
          <w:sz w:val="20"/>
        </w:rPr>
        <w:t xml:space="preserve"> </w:t>
      </w:r>
      <w:r>
        <w:rPr>
          <w:rFonts w:ascii="Times New Roman" w:hAnsi="Times New Roman"/>
          <w:b w:val="false"/>
          <w:color w:val="000000"/>
          <w:sz w:val="20"/>
        </w:rPr>
        <w:t>(“ASC 842”), the Company determined the classification of these leases to be operating leases and recorded right-of-use assets and lease liabilities as of the effective date. The Company’s leases generally do not include termination or purchase options.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Finance Leases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entered into an agreement with an equipment leasing company in 2018, which provided up to $2.5</w:t>
      </w:r>
      <w:r>
        <w:rPr>
          <w:rFonts w:ascii="Times New Roman" w:hAnsi="Times New Roman"/>
          <w:color w:val="000000"/>
          <w:sz w:val="20"/>
        </w:rPr>
        <w:t xml:space="preserve"> </w:t>
      </w:r>
      <w:r>
        <w:rPr>
          <w:rFonts w:ascii="Times New Roman" w:hAnsi="Times New Roman"/>
          <w:b w:val="false"/>
          <w:color w:val="000000"/>
          <w:sz w:val="20"/>
        </w:rPr>
        <w:t xml:space="preserve">million for equipment purchases in the form of sale and leasebacks or direct leases. As of September 30, 2023, the Company has 10 active leases from the leasing company. The terms of the leases are three years and afterwards provide for either annual extensions or an outright purchase of the equipment.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entered into an agreement with another equipment leasing company in the second quarter of 2023. As of September 30, 2023, the Company has one active lease from this leasing company. The terms of the lease are three years and afterwards provide for either annual extensions or an outright purchase of the equipment.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equipment leases require two advance rental payments to be held as security deposits. The security deposits held amounted to approximately $0.3</w:t>
      </w:r>
      <w:r>
        <w:rPr>
          <w:rFonts w:ascii="Times New Roman" w:hAnsi="Times New Roman"/>
          <w:color w:val="000000"/>
          <w:sz w:val="20"/>
        </w:rPr>
        <w:t xml:space="preserve"> </w:t>
      </w:r>
      <w:r>
        <w:rPr>
          <w:rFonts w:ascii="Times New Roman" w:hAnsi="Times New Roman"/>
          <w:b w:val="false"/>
          <w:color w:val="000000"/>
          <w:sz w:val="20"/>
        </w:rPr>
        <w:t>million as of September 30, 2023 and December 31, 2022, and are included in other non-current assets on the condensed balance sheets.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has an operating lease for office space in Birmingham, Alabama, for a 63-month</w:t>
      </w:r>
      <w:r>
        <w:rPr>
          <w:rFonts w:ascii="Times New Roman" w:hAnsi="Times New Roman"/>
          <w:color w:val="000000"/>
          <w:sz w:val="20"/>
        </w:rPr>
        <w:t xml:space="preserve"> </w:t>
      </w:r>
      <w:r>
        <w:rPr>
          <w:rFonts w:ascii="Times New Roman" w:hAnsi="Times New Roman"/>
          <w:b w:val="false"/>
          <w:color w:val="000000"/>
          <w:sz w:val="20"/>
        </w:rPr>
        <w:t>term ending in March 2026, with an option to extend five years. Throughout the term of the lease, the Company is responsible for paying certain costs and expenses, in addition to the rent, as specified in the lease, including a proportionate share of applicable taxes, operating expenses and utilities.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Company has an operating lease for office space in New York, New York, with a term that commenced on September 15, 2021, and continues through March 2027. Throughout the term of the lease, the Company is responsible for paying certain costs and expenses, in addition to the rent, as specified in the lease, including a proportionate share of applicable taxes, operating expenses and utilities.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Company has identified an embedded lease within the University of Louisville Manufacturing Services Agreement, as the Company has the exclusive use of, and control over, a portion of the manufacturing facility and equipment of the facility during the contractual term of the manufacturing arrangement. The commencement date of the embedded lease was August 4, 2022 and it continues through August 2028.</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operating leases require security deposits at the inception of each lease. The security deposits amounted to approximately $264,000</w:t>
      </w:r>
      <w:r>
        <w:rPr>
          <w:rFonts w:ascii="Times New Roman" w:hAnsi="Times New Roman"/>
          <w:color w:val="000000"/>
          <w:sz w:val="20"/>
        </w:rPr>
        <w:t xml:space="preserve"> </w:t>
      </w:r>
      <w:r>
        <w:rPr>
          <w:rFonts w:ascii="Times New Roman" w:hAnsi="Times New Roman"/>
          <w:b w:val="false"/>
          <w:color w:val="000000"/>
          <w:sz w:val="20"/>
        </w:rPr>
        <w:t>and $262,000</w:t>
      </w:r>
      <w:r>
        <w:rPr>
          <w:rFonts w:ascii="Times New Roman" w:hAnsi="Times New Roman"/>
          <w:color w:val="000000"/>
          <w:sz w:val="20"/>
        </w:rPr>
        <w:t xml:space="preserve"> </w:t>
      </w:r>
      <w:r>
        <w:rPr>
          <w:rFonts w:ascii="Times New Roman" w:hAnsi="Times New Roman"/>
          <w:b w:val="false"/>
          <w:color w:val="000000"/>
          <w:sz w:val="20"/>
        </w:rPr>
        <w:t>as of September 30, 2023 and December 31, 2022, respectively. As of September 30, 2023, approximately $254,000</w:t>
      </w:r>
      <w:r>
        <w:rPr>
          <w:rFonts w:ascii="Times New Roman" w:hAnsi="Times New Roman"/>
          <w:color w:val="000000"/>
          <w:sz w:val="20"/>
        </w:rPr>
        <w:t xml:space="preserve"> </w:t>
      </w:r>
      <w:r>
        <w:rPr>
          <w:rFonts w:ascii="Times New Roman" w:hAnsi="Times New Roman"/>
          <w:b w:val="false"/>
          <w:color w:val="000000"/>
          <w:sz w:val="20"/>
        </w:rPr>
        <w:t>was included in restricted cash and $10,000</w:t>
      </w:r>
      <w:r>
        <w:rPr>
          <w:rFonts w:ascii="Times New Roman" w:hAnsi="Times New Roman"/>
          <w:color w:val="000000"/>
          <w:sz w:val="20"/>
        </w:rPr>
        <w:t xml:space="preserve"> </w:t>
      </w:r>
      <w:r>
        <w:rPr>
          <w:rFonts w:ascii="Times New Roman" w:hAnsi="Times New Roman"/>
          <w:b w:val="false"/>
          <w:color w:val="000000"/>
          <w:sz w:val="20"/>
        </w:rPr>
        <w:t>was included in other current assets. As of December 31, 2022, approximately $252,000</w:t>
      </w:r>
      <w:r>
        <w:rPr>
          <w:rFonts w:ascii="Times New Roman" w:hAnsi="Times New Roman"/>
          <w:color w:val="000000"/>
          <w:sz w:val="20"/>
        </w:rPr>
        <w:t xml:space="preserve"> </w:t>
      </w:r>
      <w:r>
        <w:rPr>
          <w:rFonts w:ascii="Times New Roman" w:hAnsi="Times New Roman"/>
          <w:b w:val="false"/>
          <w:color w:val="000000"/>
          <w:sz w:val="20"/>
        </w:rPr>
        <w:t>was included in restricted cash and $10,000</w:t>
      </w:r>
      <w:r>
        <w:rPr>
          <w:rFonts w:ascii="Times New Roman" w:hAnsi="Times New Roman"/>
          <w:color w:val="000000"/>
          <w:sz w:val="20"/>
        </w:rPr>
        <w:t xml:space="preserve"> </w:t>
      </w:r>
      <w:r>
        <w:rPr>
          <w:rFonts w:ascii="Times New Roman" w:hAnsi="Times New Roman"/>
          <w:b w:val="false"/>
          <w:color w:val="000000"/>
          <w:sz w:val="20"/>
        </w:rPr>
        <w:t>was included in other current assets.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following table contains a summary of the lease costs recognized under ASC 842 and other information pertaining to the Company’s finance and operating leases for the three and nine months ended September 30, 2023 and 2022 (in thousands):</w:t>
      </w:r>
    </w:p>
    <w:p>
      <w:pPr>
        <w:pStyle w:val="TextBody"/>
        <w:bidi w:val="0"/>
        <w:jc w:val="both"/>
        <w:rPr/>
      </w:pPr>
      <w:r>
        <w:rPr/>
        <w:t> </w:t>
      </w:r>
    </w:p>
    <w:tbl>
      <w:tblPr>
        <w:tblW w:w="7943" w:type="dxa"/>
        <w:jc w:val="left"/>
        <w:tblInd w:w="0" w:type="dxa"/>
        <w:tblLayout w:type="fixed"/>
        <w:tblCellMar>
          <w:top w:w="28" w:type="dxa"/>
          <w:left w:w="28" w:type="dxa"/>
          <w:bottom w:w="28" w:type="dxa"/>
          <w:right w:w="28" w:type="dxa"/>
        </w:tblCellMar>
      </w:tblPr>
      <w:tblGrid>
        <w:gridCol w:w="3656"/>
        <w:gridCol w:w="146"/>
        <w:gridCol w:w="217"/>
        <w:gridCol w:w="434"/>
        <w:gridCol w:w="150"/>
        <w:gridCol w:w="150"/>
        <w:gridCol w:w="217"/>
        <w:gridCol w:w="434"/>
        <w:gridCol w:w="146"/>
        <w:gridCol w:w="146"/>
        <w:gridCol w:w="211"/>
        <w:gridCol w:w="571"/>
        <w:gridCol w:w="146"/>
        <w:gridCol w:w="146"/>
        <w:gridCol w:w="211"/>
        <w:gridCol w:w="571"/>
        <w:gridCol w:w="391"/>
      </w:tblGrid>
      <w:tr>
        <w:trPr/>
        <w:tc>
          <w:tcPr>
            <w:tcW w:w="3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center"/>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Cost</w:t>
            </w:r>
          </w:p>
        </w:tc>
        <w:tc>
          <w:tcPr>
            <w:tcW w:w="146" w:type="dxa"/>
            <w:tcBorders/>
            <w:shd w:fill="CFF0FC" w:val="clear"/>
            <w:vAlign w:val="center"/>
          </w:tcPr>
          <w:p>
            <w:pPr>
              <w:pStyle w:val="TableContents"/>
              <w:bidi w:val="0"/>
              <w:spacing w:before="0" w:after="283"/>
              <w:jc w:val="left"/>
              <w:rPr/>
            </w:pPr>
            <w:r>
              <w:rPr/>
              <w:t> </w:t>
            </w:r>
          </w:p>
        </w:tc>
        <w:tc>
          <w:tcPr>
            <w:tcW w:w="651" w:type="dxa"/>
            <w:gridSpan w:val="2"/>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6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100"/>
              <w:jc w:val="right"/>
              <w:rPr/>
            </w:pPr>
            <w:r>
              <w:rPr/>
              <w:t> </w:t>
            </w:r>
          </w:p>
        </w:tc>
      </w:tr>
      <w:tr>
        <w:trPr/>
        <w:tc>
          <w:tcPr>
            <w:tcW w:w="365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Amortization of finance right-of-use assets</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341</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365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Interest on finance lease liabilities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365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Operating lease cost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444</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365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Short-term lease cost</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lease cost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697</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8788" w:type="dxa"/>
        <w:jc w:val="left"/>
        <w:tblInd w:w="0" w:type="dxa"/>
        <w:tblLayout w:type="fixed"/>
        <w:tblCellMar>
          <w:top w:w="28" w:type="dxa"/>
          <w:left w:w="28" w:type="dxa"/>
          <w:bottom w:w="28" w:type="dxa"/>
          <w:right w:w="28" w:type="dxa"/>
        </w:tblCellMar>
      </w:tblPr>
      <w:tblGrid>
        <w:gridCol w:w="7186"/>
        <w:gridCol w:w="146"/>
        <w:gridCol w:w="355"/>
        <w:gridCol w:w="785"/>
        <w:gridCol w:w="316"/>
      </w:tblGrid>
      <w:tr>
        <w:trPr/>
        <w:tc>
          <w:tcPr>
            <w:tcW w:w="7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Lease Information</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316" w:type="dxa"/>
            <w:tcBorders/>
            <w:shd w:fill="CFF0FC" w:val="clear"/>
            <w:vAlign w:val="center"/>
          </w:tcPr>
          <w:p>
            <w:pPr>
              <w:pStyle w:val="TableContents"/>
              <w:bidi w:val="0"/>
              <w:spacing w:before="0" w:after="283"/>
              <w:jc w:val="right"/>
              <w:rPr/>
            </w:pPr>
            <w:r>
              <w:rPr/>
              <w:t> </w:t>
            </w:r>
          </w:p>
        </w:tc>
      </w:tr>
      <w:tr>
        <w:trPr/>
        <w:tc>
          <w:tcPr>
            <w:tcW w:w="71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paid for amounts included in the measurement of lease liability – finance leases</w:t>
            </w:r>
          </w:p>
        </w:tc>
        <w:tc>
          <w:tcPr>
            <w:tcW w:w="1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w:t>
            </w:r>
          </w:p>
        </w:tc>
        <w:tc>
          <w:tcPr>
            <w:tcW w:w="316" w:type="dxa"/>
            <w:tcBorders/>
            <w:shd w:fill="FFFFFF" w:val="clear"/>
            <w:vAlign w:val="center"/>
          </w:tcPr>
          <w:p>
            <w:pPr>
              <w:pStyle w:val="TableContents"/>
              <w:bidi w:val="0"/>
              <w:spacing w:before="0" w:after="283"/>
              <w:jc w:val="left"/>
              <w:rPr/>
            </w:pPr>
            <w:r>
              <w:rPr/>
              <w:t> </w:t>
            </w:r>
          </w:p>
        </w:tc>
      </w:tr>
      <w:tr>
        <w:trPr/>
        <w:tc>
          <w:tcPr>
            <w:tcW w:w="71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paid for amounts included in the measurement of lease liability – operating leases</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900</w:t>
            </w:r>
          </w:p>
        </w:tc>
        <w:tc>
          <w:tcPr>
            <w:tcW w:w="316" w:type="dxa"/>
            <w:tcBorders/>
            <w:shd w:fill="CFF0FC" w:val="cle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remaining lease term – finance leases</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1.96</w:t>
            </w:r>
            <w:r>
              <w:rPr>
                <w:rFonts w:ascii="Times New Roman" w:hAnsi="Times New Roman"/>
                <w:color w:val="000000"/>
                <w:sz w:val="20"/>
              </w:rPr>
              <w:t> </w:t>
            </w:r>
            <w:r>
              <w:rPr>
                <w:rFonts w:ascii="Times New Roman" w:hAnsi="Times New Roman"/>
                <w:b w:val="false"/>
                <w:color w:val="000000"/>
                <w:sz w:val="20"/>
              </w:rPr>
              <w:t>years</w:t>
            </w:r>
          </w:p>
        </w:tc>
        <w:tc>
          <w:tcPr>
            <w:tcW w:w="316" w:type="dxa"/>
            <w:tcBorders/>
            <w:shd w:fill="FFFFFF" w:val="clear"/>
            <w:vAlign w:val="center"/>
          </w:tcPr>
          <w:p>
            <w:pPr>
              <w:pStyle w:val="TableContents"/>
              <w:bidi w:val="0"/>
              <w:spacing w:before="0" w:after="283"/>
              <w:jc w:val="right"/>
              <w:rPr/>
            </w:pPr>
            <w:r>
              <w:rPr/>
              <w:t> </w:t>
            </w:r>
          </w:p>
        </w:tc>
      </w:tr>
      <w:tr>
        <w:trPr/>
        <w:tc>
          <w:tcPr>
            <w:tcW w:w="71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remaining lease term – operating leases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4.27</w:t>
            </w:r>
            <w:r>
              <w:rPr>
                <w:rFonts w:ascii="Times New Roman" w:hAnsi="Times New Roman"/>
                <w:color w:val="000000"/>
                <w:sz w:val="20"/>
              </w:rPr>
              <w:t> </w:t>
            </w:r>
            <w:r>
              <w:rPr>
                <w:rFonts w:ascii="Times New Roman" w:hAnsi="Times New Roman"/>
                <w:b w:val="false"/>
                <w:color w:val="000000"/>
                <w:sz w:val="20"/>
              </w:rPr>
              <w:t>years</w:t>
            </w:r>
          </w:p>
        </w:tc>
        <w:tc>
          <w:tcPr>
            <w:tcW w:w="316" w:type="dxa"/>
            <w:tcBorders/>
            <w:shd w:fill="CFF0FC" w:val="clear"/>
            <w:vAlign w:val="center"/>
          </w:tcPr>
          <w:p>
            <w:pPr>
              <w:pStyle w:val="TableContents"/>
              <w:bidi w:val="0"/>
              <w:spacing w:before="0" w:after="283"/>
              <w:jc w:val="right"/>
              <w:rPr/>
            </w:pPr>
            <w:r>
              <w:rPr/>
              <w:t> </w:t>
            </w:r>
          </w:p>
        </w:tc>
      </w:tr>
      <w:tr>
        <w:trPr/>
        <w:tc>
          <w:tcPr>
            <w:tcW w:w="71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discount rate – finance leases</w:t>
            </w:r>
          </w:p>
        </w:tc>
        <w:tc>
          <w:tcPr>
            <w:tcW w:w="1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1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discount rate – operating leases</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following table reconciles the undiscounted cash flows to the operating and finance lease liabilities at September 30, 2023 (in thousands):</w:t>
      </w:r>
    </w:p>
    <w:p>
      <w:pPr>
        <w:pStyle w:val="TextBody"/>
        <w:bidi w:val="0"/>
        <w:jc w:val="left"/>
        <w:rPr/>
      </w:pPr>
      <w:r>
        <w:rPr/>
        <w:t> </w:t>
      </w:r>
    </w:p>
    <w:tbl>
      <w:tblPr>
        <w:tblW w:w="5845" w:type="dxa"/>
        <w:jc w:val="left"/>
        <w:tblInd w:w="0" w:type="dxa"/>
        <w:tblLayout w:type="fixed"/>
        <w:tblCellMar>
          <w:top w:w="28" w:type="dxa"/>
          <w:left w:w="28" w:type="dxa"/>
          <w:bottom w:w="28" w:type="dxa"/>
          <w:right w:w="28" w:type="dxa"/>
        </w:tblCellMar>
      </w:tblPr>
      <w:tblGrid>
        <w:gridCol w:w="2566"/>
        <w:gridCol w:w="146"/>
        <w:gridCol w:w="320"/>
        <w:gridCol w:w="865"/>
        <w:gridCol w:w="146"/>
        <w:gridCol w:w="146"/>
        <w:gridCol w:w="367"/>
        <w:gridCol w:w="998"/>
        <w:gridCol w:w="2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Remainder of 2023</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w:t>
            </w:r>
          </w:p>
        </w:tc>
        <w:tc>
          <w:tcPr>
            <w:tcW w:w="291" w:type="dxa"/>
            <w:tcBorders/>
            <w:shd w:fill="CFF0FC"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1,212</w:t>
            </w:r>
          </w:p>
        </w:tc>
        <w:tc>
          <w:tcPr>
            <w:tcW w:w="291" w:type="dxa"/>
            <w:tcBorders/>
            <w:shd w:fill="FFFFFF" w:val="clear"/>
            <w:vAlign w:val="center"/>
          </w:tcPr>
          <w:p>
            <w:pPr>
              <w:pStyle w:val="TableContents"/>
              <w:bidi w:val="0"/>
              <w:spacing w:before="0" w:after="283"/>
              <w:jc w:val="left"/>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1,224</w:t>
            </w:r>
          </w:p>
        </w:tc>
        <w:tc>
          <w:tcPr>
            <w:tcW w:w="291" w:type="dxa"/>
            <w:tcBorders/>
            <w:shd w:fill="CFF0FC"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1,013</w:t>
            </w:r>
          </w:p>
        </w:tc>
        <w:tc>
          <w:tcPr>
            <w:tcW w:w="291" w:type="dxa"/>
            <w:tcBorders/>
            <w:shd w:fill="FFFFFF" w:val="clear"/>
            <w:vAlign w:val="center"/>
          </w:tcPr>
          <w:p>
            <w:pPr>
              <w:pStyle w:val="TableContents"/>
              <w:bidi w:val="0"/>
              <w:spacing w:before="0" w:after="283"/>
              <w:jc w:val="left"/>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768</w:t>
            </w:r>
          </w:p>
        </w:tc>
        <w:tc>
          <w:tcPr>
            <w:tcW w:w="291" w:type="dxa"/>
            <w:tcBorders/>
            <w:shd w:fill="CFF0FC"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6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lease payment</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4,929</w:t>
            </w:r>
          </w:p>
        </w:tc>
        <w:tc>
          <w:tcPr>
            <w:tcW w:w="291" w:type="dxa"/>
            <w:tcBorders/>
            <w:shd w:fill="CFF0FC"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interest</w:t>
            </w:r>
          </w:p>
        </w:tc>
        <w:tc>
          <w:tcPr>
            <w:tcW w:w="146" w:type="dxa"/>
            <w:tcBorders/>
            <w:shd w:fill="FFFFFF" w:val="cle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lease liabilities</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3,852</w:t>
            </w:r>
          </w:p>
        </w:tc>
        <w:tc>
          <w:tcPr>
            <w:tcW w:w="291" w:type="dxa"/>
            <w:tcBorders/>
            <w:shd w:fill="CFF0FC"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short-term lease liability</w:t>
            </w:r>
          </w:p>
        </w:tc>
        <w:tc>
          <w:tcPr>
            <w:tcW w:w="146" w:type="dxa"/>
            <w:tcBorders/>
            <w:shd w:fill="FFFFFF" w:val="cle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lease liability</w:t>
            </w:r>
          </w:p>
        </w:tc>
        <w:tc>
          <w:tcPr>
            <w:tcW w:w="146" w:type="dxa"/>
            <w:tcBorders/>
            <w:shd w:fill="CFF0FC" w:val="cle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This Quarterly Report on Form 10-Q (this “Quarterly Report”) contains statements that may constitute “forward-looking statements” within the meaning of Section 27A of the Securities Act of 1933, as amended, or the Securities Act, and Section 21E of the Securities Exchange Act of 1934, as amended, or the Exchange Act, that involve substantial risks and uncertainties. All statements contained in this Quarterly Report other than statements of historical fact, including statements regarding our future results of operations and financial position, our business strategy and plans, and our objectives for future operations, are forward-looking statements. The words “believes,” “expects,” “intends,” “estimates,” “projects,” “anticipates,” “will,” “plan,” “may,” “should,” or similar language are intended to identify forward-looking statements.</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It is routine for our internal projections and expectations to change throughout the year, and any forward-looking statements based upon these projections or expectations may change prior to the end of the next quarter or year. Readers of this Quarterly Report are cautioned not to place undue reliance on any such forward-looking statements. As a result of a number of known and unknown risks and uncertainties, our actual results or performance may be materially different from those expressed or implied by these forward-looking statements. Risks and uncertainties are identified under “Risk Factors” in Item 1A herein and in our other filings with the Securities and Exchange Commission, or the SEC. All forward-looking statements included herein are made only as of the date hereof. Unless otherwise required by law, we do not undertake, and specifically disclaim, any obligation to update any forward-looking statement, whether as a result of new information, future events, or otherwise after the date of such statement.</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You should read the following discussion and analysis of our financial condition and results of operations together with our unaudited condensed financial statements and related notes included elsewhere in this Form 10-Q, and our audited financial statements and related notes for the year ended December 31, 2022 in our Annual Report on Form 10-K for the fiscal year ended December 31, 2022 (the “Annual Report”).</w:t>
      </w:r>
    </w:p>
    <w:p>
      <w:pPr>
        <w:pStyle w:val="TextBody"/>
        <w:bidi w:val="0"/>
        <w:spacing w:before="36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are a clinical-stage biopharmaceutical company focused on the discovery, development and commercialization of gamma-delta T cell product candidates for solid and liquid tumors. Gamma-delta T cells are a specialized population of T cells that possess unique properties. They are naturally occurring immune cells that can intrinsically differentiate between healthy and diseased tissue. These cells serve as a functional bridge between innate and adaptive immunity to contribute to direct tumor killing, as well as immune cell recruitment and activation to drive deeper and more comprehensive immune responses. The pivotal role of gamma-delta T cells in immune function and activation against diseases such as cancer underscores their therapeutic potential across a wide range of solid and hematologic malignancies. We develop ex vivo-expanded and activated gamma-delta T cell candidates based upon our deep expertise in gamma-delta T cell biology, proprietary genetic engineering, and cell-type specific manufacturing capabilities, which we refer to collectively as our DeltEx platform. Our platform employs allogeneic, autologous, induced pluripotent stem cell, or iPSC, and genetically modified cell therapy approaches that are designed to effectively identify and eradicate tumor cells. We are the most clinically advanced gamma-delta T cell focused cellular therapy company and are utilizing our suite of DeltEx platform technologies as we aspire to eliminate cancer cells to achieve our mission of what we refer to as Cancer Zero ─ the elimination of all cancer cells in every patient battling the disease. We believe this lofty aspiration will one day be achievable and that it is our responsibility to directly contribute to related global health efforts by pursuing scientific research that will advance cancer treatment.</w:t>
        <w:br/>
      </w:r>
      <w:r>
        <w:rPr>
          <w:rFonts w:ascii="Times New Roman" w:hAnsi="Times New Roman"/>
          <w:color w:val="000000"/>
          <w:sz w:val="20"/>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recently initiated enrollment in our Phase 2 multi-center clinical trial of our lead product candidate, INB-400, for the treatment of newly diagnosed glioblastoma, or GBM, following clearance of our company-sponsored investigational new drug application, or IND, by the U.S. Food and Drug Administration, or FDA. This trial will expand the assessment of autologous, genetically modified gamma-delta T cells in newly diagnosed GBM patients in specialized brain tumor centers across the United States. We anticipate that the Phase 2 trial will confirm the efficacy signal suggested by the investigator-initiated Phase 1 trial INB-200. We are also seeking to complete the ongoing Phase 1 clinical trial INB-200 for the treatment of newly diagnosed GBM. We expect to complete enrollment of Cohort 3 and to provide clinical updates throughout the remainder of 2023 and the first half of 2024. We presented an interim clinical update to INB-200 in an oral presentation at the American Society of Clinical Oncology, or ASCO Annual Meeting in June 2023. An additional clinical update is expected in the fourth quarter of 2023 at the Society of Neuro-Oncology, or SNO Annual Meeting on November 17, 2023 and presentation of long-term follow-up data at a medical meeting is expected in the first half of 2024. In addition, with additional funding, we plan to submit an IND in 2024 for the Phase 1b clinical trial of INB-400 in which allogeneic genetically modified gamma-delta T cells will be assessed in patients with recurrent GBM. Should a favorable safety profile be determined in this Phase 1b portion of the study, the Phase 2 expansion portion will initiate, whereby GBM patients with recurrent and newly diagnosed GBM would both be eligible to receive the allogeneic genetically modified gamma-delta T cell product. In April 2023, we received orphan drug designation, or ODD, for the autologous and allogeneic INB-400 product from the FDA, covering a broad range of malignant glioma indications, including relapsed and newly diagnosed GBM.</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INB-100, the investigator-initiated Phase 1 trial for treatment of patients with high-risk leukemias undergoing hematopoietic stem cell transplantation, or HSCT, we determined a recommended Phase 2 dose, or RP2D. We also presented a clinical update at the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European Society for Blood and Marrow Transplantation, or EBMT Annual meeting in April 2023. We have completed primary enrollment of the Phase 1 clinical trial with updated results to be presented at the American Society of Hematology, or ASH, Annual Meeting on December 11, 2023 and additional long-term follow-up results expected in 2024 and 2025.</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also have a portfolio of preclinical programs in development, including INB-300, which focuses on addressing various solid and liquid tumors using a dedicated non-signaling gamma-delta T cell based chimeric antigen receptor T cell, or nsCAR, construct. We presented additional preclinical data demonstrating our proof-of-concept studies against the leukemia antigen targets CD19 and CD33, which demonstrated the ability of our nsCAR constructs to distinguish between tumors and healthy tissue at the American Association for Cancer Research, or AACR Annual meeting in 2023 and at our Research &amp; Development Day in October 2023.</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May 2022, we unveiled the expansion of our DeltEx platform capabilities to include induced pluripotent stem cell, or iPSC, derived gamma-delta T cells. iPSCs represent a significant step toward next generation approaches of cellular manufacturing for true allogeneic and potentially ‘off-the-shelf’ innate cell therapies. We provided updates in a presentation at the Society for Immunotherapy of Cancer, or SITC Annual Meeting in November 2023 whereby to date, hundreds of millions of our iPSC derived iVd1+ gamma-delta T cells have been produced from single iPSC clones at a low passage number. These cells demonstrate a profile associated with a reduced risk for cytokine release syndrome, or CRS and robust cytotoxic activity across a variety of solid and liquid cancers, including ovarian cancer, GBM, acute myeloid leukemia, or AML, and chronic myelogenous leukemia, or CML. Furthermore, cryopreservation did not impact the cells with the Vd1+ gamma-delta T cells showing comparable cytotoxicity to fresh cells, which allows them to be expanded and banked for potential on-demand clinical use. These data highlight our ability to manufacture multiple gamma-delta T cell populations in a serum and feeder free process that can be scaled for GMP manufacturing and applied as a potentially ‘off-the-shelf’ platform for allogeneic cell therapy.</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intend to continue advancing our internal research, including the application of our proprietary DeltEx technologies into additional solid tumor indications, such as ovarian cancer. We also announced positive preclinical data in a poster presentation at the American Society of Gene &amp; Cell Therapy, or ASGCT, Annual Meeting in May 2023 demonstrating the potential application of DeltEx DRI in ovarian cancer and showed that our DeltEx gamma-delta T cells were able to target and kill ovarian cancer cells, even in platinum-resistant and treatment-resistant cell lines. We plan to file several company-sponsored IND applications for our pipeline product candidates over the next few years.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Going Concern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Since inception in 2016, our operations have focused on identifying and developing potential product candidates, conducting clinical trials, organizing and staffing, business planning, establishing our intellectual property portfolio, raising capital, and providing general and administrative support for these operations. We do not have any product candidates approved for sale and have not generated any revenue. We have funded our operations primarily through the sale of equity and equity-linked securities, including through our initial public offering, or IPO, follow-on offering and our at-the-market, or ATM, program with Cantor Fitzgerald &amp; Co., or Cantor Fitzgerald, and Truist Securities, or Truist.</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expect to incur additional losses in the future as we advance our product candidates through clinical trials, seek to expand our product candidate portfolio through developing additional product candidates, grow our clinical, regulatory and quality capabilities, and incur costs associated with operating as a public company. Based on our business strategy, our existing cash of $12.9 million as September 30, 2023 will not be sufficient to fund the projected operating expenses and capital expenditure requirements past May 2024. Accordingly, there is substantial doubt about our ability to continue as a going concern.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have taken measures to defer or reduce costs in the near term in order to preserve capital and increase financial flexibility given the on-going market environment for biotechnology stocks. These cash preservation measures may impact our ability and the timing to execute our strategy, including our ability to achieve the anticipated milestones and the timing of regulatory filings for our preclinical and clinical programs. To continue to fund our operations, management has developed plans, which primarily consist of raising additional capital through some combination of equity and/or debt offerings, including through our ATM program, and identifying strategic collaborations, licensing or other arrangements, to support the development of our product candidates. There is no assurance, however, that any additional financing or any revenue-generating collaboration will be available when needed, that management will be able to obtain financing or enter into a collaboration on terms acceptable to us, or that any additional financing or revenue generated through third-party collaborations will be sufficient to fund our operations. If additional capital is not available to us on a timely basis, or at all, we will be required to take additional actions beyond the cost preservation measures initiated to date to address our liquidity needs, including exploring other strategic options, continuing to further reduce operating expense or delaying, reducing the scope of, discontinuing or altering our research and development activities. For additional information, see “—Liquidity” below.</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actual amount of cash that we will need to operate is subject to many factors, including those described in the section titled “Risk Factors.” The condensed financial statements have been prepared on the basis that we will continue as a going concern and do not include adjustments that might result from the outcome of this uncertainty.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br/>
        <w:br/>
      </w:r>
      <w:r>
        <w:rPr>
          <w:rFonts w:ascii="Times New Roman" w:hAnsi="Times New Roman"/>
          <w:b/>
          <w:color w:val="000000"/>
          <w:sz w:val="20"/>
        </w:rPr>
        <w:t>Other Third Quarter Business and Clinical Highlights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Presented two posters reporting biologic correlative data from the ongoing Phase 1 clinical trial of INB-200 in GBM and preclinical data on our iPSC gamma-delta T cell platform at SITC. </w:t>
      </w:r>
      <w:r>
        <w:rPr>
          <w:rFonts w:ascii="Times New Roman" w:hAnsi="Times New Roman"/>
          <w:b w:val="false"/>
          <w:color w:val="000000"/>
          <w:sz w:val="20"/>
        </w:rPr>
        <w:t>The data presented from the INB-200 trial demonstrate the potential of single and repeat doses of DeltEx drug-resistant immunotherapy (DRI) to induce T cell persistence and sustained immune responses. Updated patient, enrollment and survival data from the ongoing INB-200 study will be presented at the SNO Annual Meeting on November 17, 2023. Data from our iPSC platform demonstrate the ability to kill multiple cancer types including ovarian cancer, GBM, CML and AML cell lines along with the potential to generate billions of iPSC-derived Vδ1+ T cells.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Completed dose escalation in the Phase 1 Trial of INB-100 in leukemia patients and will present clinical data at the upcoming ASH Annual Meeting on December 11, 2023.</w:t>
      </w:r>
      <w:r>
        <w:rPr>
          <w:color w:val="000000"/>
        </w:rPr>
        <w:t xml:space="preserve"> </w:t>
      </w:r>
      <w:r>
        <w:rPr>
          <w:rFonts w:ascii="Times New Roman" w:hAnsi="Times New Roman"/>
          <w:b w:val="false"/>
          <w:color w:val="000000"/>
          <w:sz w:val="20"/>
        </w:rPr>
        <w:t>Enrollment in the dose escalation phase of the Phase 1 clinical trial (NCT03533816) of INB-100 is now closed. The presentation at ASH will highlight clinical data updating the efficacy results of INB-100 including complete responses (CRs) and durability.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Initiated enrollment for the company-sponsored Phase 2 trial of INB-400 in GBM.</w:t>
      </w:r>
      <w:r>
        <w:rPr>
          <w:color w:val="000000"/>
        </w:rPr>
        <w:t xml:space="preserve"> </w:t>
      </w:r>
      <w:r>
        <w:rPr>
          <w:rFonts w:ascii="Times New Roman" w:hAnsi="Times New Roman"/>
          <w:b w:val="false"/>
          <w:color w:val="000000"/>
          <w:sz w:val="20"/>
        </w:rPr>
        <w:t>The Phase 2 clinical trial of INB-400 (NCT05664243), a genetically engineered gamma-delta T cell therapy, is open for enrollment and plans to enroll approximately 40 patients in “Arm A” of the study, in which autologous gamma delta cells will be used to treat patients with newly diagnosed GBM. The primary endpoint of the study is 12-month overall survival (OS) rate, and key secondary endpoints include tolerability, progression-free survival (PFS), overall response rate (ORR) and time to progression (TTP). The University of Louisville and The Cleveland Clinic are the first clinical sites activated to enroll patients. We will present a poster at the SNO Annual Meeting.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Hosted R&amp;D Day on October 12, 2023, highlighting our unique Gamma-Delta T cell platform.</w:t>
      </w:r>
      <w:r>
        <w:rPr>
          <w:color w:val="000000"/>
        </w:rPr>
        <w:t xml:space="preserve"> </w:t>
      </w:r>
      <w:r>
        <w:rPr>
          <w:rFonts w:ascii="Times New Roman" w:hAnsi="Times New Roman"/>
          <w:b w:val="false"/>
          <w:color w:val="000000"/>
          <w:sz w:val="20"/>
        </w:rPr>
        <w:t>The event offered the opportunity to gain Key Opinion Leader (KOL) insights into our clinical programs. Featured presentations included those from our management team on gamma-delta T cells, our manufacturing capabilities, an overview of the INB-100, INB-200, and INB-400 clinical programs, as well as presentations from key oncology thought leaders Leo Luznik, M.D., Professor of Oncology at Johns Hopkins Medicine and Michael Bishop, M.D., Director of the David and Etta Jones Center for Cellular Therapy at the University of Chicago, featuring the topics of allogeneic transplantation and the challenges of leukemic relapse.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Pipeline</w:t>
      </w:r>
    </w:p>
    <w:p>
      <w:pPr>
        <w:pStyle w:val="TextBody"/>
        <w:bidi w:val="0"/>
        <w:jc w:val="center"/>
        <w:rPr/>
      </w:pPr>
      <w:r>
        <w:rPr/>
        <w:drawing>
          <wp:inline distT="0" distB="0" distL="0" distR="0">
            <wp:extent cx="6858000" cy="3857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857625"/>
                    </a:xfrm>
                    <a:prstGeom prst="rect">
                      <a:avLst/>
                    </a:prstGeom>
                  </pic:spPr>
                </pic:pic>
              </a:graphicData>
            </a:graphic>
          </wp:inline>
        </w:drawing>
      </w: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Since inception, we have not generated any revenue and do not expect to generate any revenue from the sale of products in the foreseeable future. If our development efforts for one or more of our product candidates are successful and result in regulatory approval, or if we enter into collaboration or license agreements with third parties, we may generate revenue in the future from a combination of product sales or payments from collaboration or license agreements.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sz w:val="20"/>
        </w:rPr>
      </w:pPr>
      <w:r>
        <w:rPr>
          <w:rFonts w:ascii="Times New Roman" w:hAnsi="Times New Roman"/>
          <w:b w:val="false"/>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Research and development expenses consist primarily of costs incurred for our research activities, including our discovery efforts and the development of our product candidates, and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employee-related expenses, including salaries, related-benefits and stock-based compensation expense for employees engaged in research and development functions;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fees paid to consultants for services directly related to our product development and regulatory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expenses associated with conducting preclinical studies performed by ourselves, outside vendors or academic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expenses incurred in connection with conducting clinical trials including investigator grants and site payments for time and pass-through expenses and expenses incurred under agreements with contract research organizations, or CROs, as well as contract manufacturing organizations, or CMOs, and consultants that conduct and provide supplies for our preclinical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costs to manufacture drug product candidates for use in our preclinical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costs associated with preclinical activities and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costs associated with our intellectual property portfolio;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costs related to compliance with regulatory requirements.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condensed financial statements as prepaid or accrued research and development expenses. We allocate our direct external research and development costs across each product candidate. Preclinical expenses consist of external research and development costs associated with activities to support our current and future clinical programs but are not allocated by product candidate due to the overlap of the potential benefit of those efforts across multiple product candidates.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Research and development activities are central to our business. We expect that our research and development expenses will continue to increase for the foreseeable future as we continue clinical development for our product candidates and continue to discover and develop additional product candidates. If any of our product candidates enter into later stages of clinical development, they will generally have higher development costs than those in earlier stages of clinical development, primarily due to the increased size and duration of later-stage clinical trials.</w:t>
      </w:r>
    </w:p>
    <w:p>
      <w:pPr>
        <w:pStyle w:val="TextBody"/>
        <w:bidi w:val="0"/>
        <w:spacing w:before="360" w:after="283"/>
        <w:jc w:val="both"/>
        <w:rPr>
          <w:rFonts w:ascii="Times New Roman" w:hAnsi="Times New Roman"/>
          <w:sz w:val="20"/>
        </w:rPr>
      </w:pPr>
      <w:r>
        <w:rPr>
          <w:rFonts w:ascii="Times New Roman" w:hAnsi="Times New Roman"/>
          <w:b w:val="false"/>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General and administrative expenses consist primarily of salaries and other related costs, including stock-based compensation, for personnel in our executive and finance functions. General and administrative expenses also include professional fees for legal, accounting, auditing, tax and consulting services; travel expenses; director and officer insurance expenses as a publicly traded company; and facility-related expenses, which include allocated expenses for rent and maintenance of facilities and other operating costs not included in research and development.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expect that our general and administrative expenses will increase for the foreseeable future contingent on additional funding as our organization and headcount needed in the future grow to support continued research and development activities and potential commercialization of our product candidates. These increases will likely include increased costs related to building a team to support our administrative, accounting and finance, communications, legal and business development efforts. In addition, we expect increased expenses associated with being a public company, including costs of additional personnel, accounting, audit, legal, regulatory and tax-related services associated with maintaining compliance with exchange listing and SEC requirements; director and officer insurance costs; and investor and public relations costs.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Other Income</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entered into a non-recurring contractual arrangement in early 2023 with a non-related third party to transfer two lots of our clinical scale, GMP grade gamma-delta T cells, in which the third party utilized the cells in their research activities.</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Since our inception, we have not recorded any income tax benefits for the net losses we have incurred or for the research and development tax credits earned in each year, as we believe, based upon the weight of available evidence, that it is more likely than not that all of our net operating loss carryforwards and tax credit carryforwards will not be realized.</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the Three Months Ended September 30, 2023 and 2022</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following table sets forth our results of operations for the three months ended September 30, 2023 and 2022 (in thousands):</w:t>
      </w:r>
      <w:r>
        <w:rPr>
          <w:rFonts w:ascii="Times New Roman" w:hAnsi="Times New Roman"/>
          <w:color w:val="000000"/>
          <w:sz w:val="20"/>
        </w:rPr>
        <w:t xml:space="preserve"> </w:t>
      </w:r>
    </w:p>
    <w:p>
      <w:pPr>
        <w:pStyle w:val="TextBody"/>
        <w:bidi w:val="0"/>
        <w:jc w:val="left"/>
        <w:rPr/>
      </w:pPr>
      <w:r>
        <w:rPr/>
        <w:t> </w:t>
      </w:r>
    </w:p>
    <w:tbl>
      <w:tblPr>
        <w:tblW w:w="6755" w:type="dxa"/>
        <w:jc w:val="left"/>
        <w:tblInd w:w="0" w:type="dxa"/>
        <w:tblLayout w:type="fixed"/>
        <w:tblCellMar>
          <w:top w:w="28" w:type="dxa"/>
          <w:left w:w="28" w:type="dxa"/>
          <w:bottom w:w="28" w:type="dxa"/>
          <w:right w:w="28" w:type="dxa"/>
        </w:tblCellMar>
      </w:tblPr>
      <w:tblGrid>
        <w:gridCol w:w="2511"/>
        <w:gridCol w:w="146"/>
        <w:gridCol w:w="283"/>
        <w:gridCol w:w="849"/>
        <w:gridCol w:w="223"/>
        <w:gridCol w:w="196"/>
        <w:gridCol w:w="283"/>
        <w:gridCol w:w="849"/>
        <w:gridCol w:w="166"/>
        <w:gridCol w:w="146"/>
        <w:gridCol w:w="211"/>
        <w:gridCol w:w="481"/>
        <w:gridCol w:w="41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2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132" w:type="dxa"/>
            <w:gridSpan w:val="2"/>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1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5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3,786</w:t>
            </w:r>
          </w:p>
        </w:tc>
        <w:tc>
          <w:tcPr>
            <w:tcW w:w="223"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(469</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5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3,383</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7,169</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(7,169</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6" w:type="dxa"/>
            <w:tcBorders/>
            <w:shd w:fill="CFF0FC" w:val="cle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(7,169</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6"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val="false"/>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following table summarizes our research and development expenses for the three months ended September 30, 2023 and 2022 (in thousands):</w:t>
      </w:r>
      <w:r>
        <w:rPr>
          <w:rFonts w:ascii="Times New Roman" w:hAnsi="Times New Roman"/>
          <w:color w:val="000000"/>
          <w:sz w:val="20"/>
        </w:rPr>
        <w:t xml:space="preserve"> </w:t>
      </w:r>
    </w:p>
    <w:p>
      <w:pPr>
        <w:pStyle w:val="TextBody"/>
        <w:bidi w:val="0"/>
        <w:spacing w:before="120" w:after="283"/>
        <w:jc w:val="both"/>
        <w:rPr/>
      </w:pPr>
      <w:r>
        <w:rPr/>
        <w:t> </w:t>
      </w:r>
    </w:p>
    <w:tbl>
      <w:tblPr>
        <w:tblW w:w="9421" w:type="dxa"/>
        <w:jc w:val="left"/>
        <w:tblInd w:w="0" w:type="dxa"/>
        <w:tblLayout w:type="fixed"/>
        <w:tblCellMar>
          <w:top w:w="28" w:type="dxa"/>
          <w:left w:w="28" w:type="dxa"/>
          <w:bottom w:w="28" w:type="dxa"/>
          <w:right w:w="28" w:type="dxa"/>
        </w:tblCellMar>
      </w:tblPr>
      <w:tblGrid>
        <w:gridCol w:w="5046"/>
        <w:gridCol w:w="146"/>
        <w:gridCol w:w="302"/>
        <w:gridCol w:w="817"/>
        <w:gridCol w:w="237"/>
        <w:gridCol w:w="209"/>
        <w:gridCol w:w="302"/>
        <w:gridCol w:w="817"/>
        <w:gridCol w:w="146"/>
        <w:gridCol w:w="146"/>
        <w:gridCol w:w="211"/>
        <w:gridCol w:w="631"/>
        <w:gridCol w:w="411"/>
      </w:tblGrid>
      <w:tr>
        <w:trPr/>
        <w:tc>
          <w:tcPr>
            <w:tcW w:w="5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5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research and development expenses:</w:t>
            </w:r>
          </w:p>
        </w:tc>
        <w:tc>
          <w:tcPr>
            <w:tcW w:w="146" w:type="dxa"/>
            <w:tcBorders/>
            <w:shd w:fill="CFF0FC" w:val="clear"/>
            <w:vAlign w:val="center"/>
          </w:tcPr>
          <w:p>
            <w:pPr>
              <w:pStyle w:val="TableContents"/>
              <w:bidi w:val="0"/>
              <w:spacing w:before="0" w:after="283"/>
              <w:jc w:val="left"/>
              <w:rPr/>
            </w:pPr>
            <w:r>
              <w:rPr/>
              <w:t> </w:t>
            </w:r>
          </w:p>
        </w:tc>
        <w:tc>
          <w:tcPr>
            <w:tcW w:w="1119" w:type="dxa"/>
            <w:gridSpan w:val="2"/>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111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0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INB-100</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w:t>
            </w:r>
          </w:p>
        </w:tc>
        <w:tc>
          <w:tcPr>
            <w:tcW w:w="237"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0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INB-200</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w:t>
            </w:r>
          </w:p>
        </w:tc>
        <w:tc>
          <w:tcPr>
            <w:tcW w:w="237"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0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INB-400</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566</w:t>
            </w:r>
          </w:p>
        </w:tc>
        <w:tc>
          <w:tcPr>
            <w:tcW w:w="237"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(1,094</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0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Unallocated expenses</w:t>
            </w:r>
          </w:p>
        </w:tc>
        <w:tc>
          <w:tcPr>
            <w:tcW w:w="146" w:type="dxa"/>
            <w:tcBorders/>
            <w:shd w:fill="CFF0FC" w:val="clear"/>
            <w:vAlign w:val="center"/>
          </w:tcPr>
          <w:p>
            <w:pPr>
              <w:pStyle w:val="TableContents"/>
              <w:bidi w:val="0"/>
              <w:spacing w:before="0" w:after="283"/>
              <w:jc w:val="left"/>
              <w:rPr/>
            </w:pPr>
            <w:r>
              <w:rPr/>
              <w:t> </w:t>
            </w:r>
          </w:p>
        </w:tc>
        <w:tc>
          <w:tcPr>
            <w:tcW w:w="1119" w:type="dxa"/>
            <w:gridSpan w:val="2"/>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111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0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Preclinical expenses</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23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9"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50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Personnel expenses (including stock-based compensation)</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2,096</w:t>
            </w:r>
          </w:p>
        </w:tc>
        <w:tc>
          <w:tcPr>
            <w:tcW w:w="237"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0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Facility-related and other expenses</w:t>
            </w:r>
          </w:p>
        </w:tc>
        <w:tc>
          <w:tcPr>
            <w:tcW w:w="146" w:type="dxa"/>
            <w:tcBorders/>
            <w:shd w:fill="FFFFFF" w:val="cle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680</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0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3,786</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Research and development expenses were $3.8 million for the three months ended September 30, 2023, compared to $4.3 million for the comparable prior year period. The decrease of $0.5 million was primarily due to a $0.9 million decrease in direct clinical costs including a decrease of $1.1 million for INB-400 related to the IND filing completed in the prior period, partially offset by $0.1 million increase for both INB-200 and INB-100. Facility-related and other expenses decreased by $0.1 million primarily due to a decrease in operating lease expenses. The overall decrease was partially offset by an increase of $0.5 million in personnel-related costs, including salaries, benefits and stock-based compensation as a result of the increase in our headcount.</w:t>
      </w:r>
    </w:p>
    <w:p>
      <w:pPr>
        <w:pStyle w:val="TextBody"/>
        <w:bidi w:val="0"/>
        <w:spacing w:before="360" w:after="283"/>
        <w:jc w:val="both"/>
        <w:rPr>
          <w:rFonts w:ascii="Times New Roman" w:hAnsi="Times New Roman"/>
          <w:b w:val="false"/>
          <w:i/>
          <w:color w:val="000000"/>
          <w:sz w:val="20"/>
        </w:rPr>
      </w:pPr>
      <w:r>
        <w:rPr>
          <w:rFonts w:ascii="Times New Roman" w:hAnsi="Times New Roman"/>
          <w:b w:val="false"/>
          <w:i/>
          <w:color w:val="000000"/>
          <w:sz w:val="20"/>
        </w:rPr>
        <w:t>General and Administrative Expenses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General and administrative expenses were $3.4 million for the three months ended September 30, 2023, compared to $3.1 million for the comparable prior year period. The increase of $0.3 million was primarily due to an increase in professional services incurred in the current period.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the Nine Months Ended September 30, 2023 and 2022</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following table sets forth our results of operations for the nine months ended September 30, 2023 and 2022 (in thousands):</w:t>
      </w:r>
      <w:r>
        <w:rPr>
          <w:rFonts w:ascii="Times New Roman" w:hAnsi="Times New Roman"/>
          <w:color w:val="000000"/>
          <w:sz w:val="20"/>
        </w:rPr>
        <w:t xml:space="preserve"> </w:t>
      </w:r>
    </w:p>
    <w:p>
      <w:pPr>
        <w:pStyle w:val="TextBody"/>
        <w:bidi w:val="0"/>
        <w:jc w:val="left"/>
        <w:rPr/>
      </w:pPr>
      <w:r>
        <w:rPr/>
        <w:t> </w:t>
      </w:r>
    </w:p>
    <w:tbl>
      <w:tblPr>
        <w:tblW w:w="6796" w:type="dxa"/>
        <w:jc w:val="left"/>
        <w:tblInd w:w="0" w:type="dxa"/>
        <w:tblLayout w:type="fixed"/>
        <w:tblCellMar>
          <w:top w:w="28" w:type="dxa"/>
          <w:left w:w="28" w:type="dxa"/>
          <w:bottom w:w="28" w:type="dxa"/>
          <w:right w:w="28" w:type="dxa"/>
        </w:tblCellMar>
      </w:tblPr>
      <w:tblGrid>
        <w:gridCol w:w="2511"/>
        <w:gridCol w:w="146"/>
        <w:gridCol w:w="248"/>
        <w:gridCol w:w="866"/>
        <w:gridCol w:w="195"/>
        <w:gridCol w:w="171"/>
        <w:gridCol w:w="248"/>
        <w:gridCol w:w="866"/>
        <w:gridCol w:w="166"/>
        <w:gridCol w:w="146"/>
        <w:gridCol w:w="211"/>
        <w:gridCol w:w="631"/>
        <w:gridCol w:w="39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5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12,305</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5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10,434</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22,739</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2,016</w:t>
            </w:r>
          </w:p>
        </w:tc>
        <w:tc>
          <w:tcPr>
            <w:tcW w:w="391" w:type="dxa"/>
            <w:tcBorders/>
            <w:shd w:fill="FFFFFF" w:val="clear"/>
            <w:vAlign w:val="center"/>
          </w:tcPr>
          <w:p>
            <w:pPr>
              <w:pStyle w:val="TableContents"/>
              <w:bidi w:val="0"/>
              <w:spacing w:before="0" w:after="283"/>
              <w:jc w:val="left"/>
              <w:rPr/>
            </w:pPr>
            <w:r>
              <w:rPr/>
              <w:t> </w:t>
            </w:r>
          </w:p>
        </w:tc>
      </w:tr>
      <w:tr>
        <w:trPr/>
        <w:tc>
          <w:tcPr>
            <w:tcW w:w="2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(22,409</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(22,409</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360" w:after="283"/>
        <w:jc w:val="both"/>
        <w:rPr>
          <w:rFonts w:ascii="Times New Roman" w:hAnsi="Times New Roman"/>
          <w:sz w:val="20"/>
        </w:rPr>
      </w:pPr>
      <w:r>
        <w:rPr>
          <w:rFonts w:ascii="Times New Roman" w:hAnsi="Times New Roman"/>
          <w:b w:val="false"/>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following table summarizes our research and development expenses for the nine months ended September 30, 2023 and 2022 (in thousands):</w:t>
      </w:r>
      <w:r>
        <w:rPr>
          <w:rFonts w:ascii="Times New Roman" w:hAnsi="Times New Roman"/>
          <w:color w:val="000000"/>
          <w:sz w:val="20"/>
        </w:rPr>
        <w:t xml:space="preserve"> </w:t>
      </w:r>
    </w:p>
    <w:p>
      <w:pPr>
        <w:pStyle w:val="TextBody"/>
        <w:bidi w:val="0"/>
        <w:spacing w:before="120" w:after="283"/>
        <w:jc w:val="both"/>
        <w:rPr/>
      </w:pPr>
      <w:r>
        <w:rPr/>
        <w:t> </w:t>
      </w:r>
    </w:p>
    <w:tbl>
      <w:tblPr>
        <w:tblW w:w="9271" w:type="dxa"/>
        <w:jc w:val="left"/>
        <w:tblInd w:w="0" w:type="dxa"/>
        <w:tblLayout w:type="fixed"/>
        <w:tblCellMar>
          <w:top w:w="28" w:type="dxa"/>
          <w:left w:w="28" w:type="dxa"/>
          <w:bottom w:w="28" w:type="dxa"/>
          <w:right w:w="28" w:type="dxa"/>
        </w:tblCellMar>
      </w:tblPr>
      <w:tblGrid>
        <w:gridCol w:w="5046"/>
        <w:gridCol w:w="146"/>
        <w:gridCol w:w="265"/>
        <w:gridCol w:w="849"/>
        <w:gridCol w:w="183"/>
        <w:gridCol w:w="183"/>
        <w:gridCol w:w="265"/>
        <w:gridCol w:w="849"/>
        <w:gridCol w:w="146"/>
        <w:gridCol w:w="146"/>
        <w:gridCol w:w="211"/>
        <w:gridCol w:w="571"/>
        <w:gridCol w:w="411"/>
      </w:tblGrid>
      <w:tr>
        <w:trPr/>
        <w:tc>
          <w:tcPr>
            <w:tcW w:w="5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5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research and development expenses:</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0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INB-100</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380</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0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INB-200</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605</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50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INB-400</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2,690</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0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Unallocated expenses</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0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Preclinical expenses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50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Personnel expenses (including stock-based compensation)</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6,165</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0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Facility-related and other expenses</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2,421</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12,305</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Research and development expenses were $12.3 million for the nine months ended September 30, 2023, compared to $10.1 million for the comparable prior year period. The increase of $2.2 million was primarily due to a $2.0 million increase in personnel-related costs, including salaries, benefits and stock-based compensation as a result of the increase in our headcount. Facility-related and other expenses increased by $0.3 million due primarily to general increases in research and development activities in connection with program development and depreciation expenses, offset in part by decreased rent expenses. The overall increase was partially offset by a decrease of $0.1 million in preclinical costs.</w:t>
      </w:r>
    </w:p>
    <w:p>
      <w:pPr>
        <w:pStyle w:val="TextBody"/>
        <w:bidi w:val="0"/>
        <w:spacing w:before="360" w:after="283"/>
        <w:jc w:val="both"/>
        <w:rPr>
          <w:rFonts w:ascii="Times New Roman" w:hAnsi="Times New Roman"/>
          <w:b w:val="false"/>
          <w:i/>
          <w:color w:val="000000"/>
          <w:sz w:val="20"/>
        </w:rPr>
      </w:pPr>
      <w:r>
        <w:rPr>
          <w:rFonts w:ascii="Times New Roman" w:hAnsi="Times New Roman"/>
          <w:b w:val="false"/>
          <w:i/>
          <w:color w:val="000000"/>
          <w:sz w:val="20"/>
        </w:rPr>
        <w:t>General and Administrative Expenses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General and administrative expenses were $10.4 million for the nine months ended September 30, 2023, compared to $10.6 million for the comparable prior year period. The decrease of $0.2 million was primarily due cost savings related to D&amp;O insurance premiums, offset by an increase in professional services.</w:t>
      </w:r>
    </w:p>
    <w:p>
      <w:pPr>
        <w:pStyle w:val="TextBody"/>
        <w:bidi w:val="0"/>
        <w:spacing w:before="360" w:after="283"/>
        <w:jc w:val="both"/>
        <w:rPr>
          <w:rFonts w:ascii="Times New Roman" w:hAnsi="Times New Roman"/>
          <w:b w:val="false"/>
          <w:i/>
          <w:color w:val="000000"/>
          <w:sz w:val="20"/>
        </w:rPr>
      </w:pPr>
      <w:r>
        <w:rPr>
          <w:rFonts w:ascii="Times New Roman" w:hAnsi="Times New Roman"/>
          <w:b w:val="false"/>
          <w:i/>
          <w:color w:val="000000"/>
          <w:sz w:val="20"/>
        </w:rPr>
        <w:t>Other Income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Other income was $0.3 million for the nine months ended September 30, 2023. We did not have other income for the comparable period in the prior year. The increase of $0.3 million was primarily due to a contractual arrangement with a non-related third party to transfer two lots of our clinical scale, GMP grade gamma-delta T cells, in which the third party utilized the cells in its research activities.</w:t>
      </w:r>
    </w:p>
    <w:p>
      <w:pPr>
        <w:pStyle w:val="TextBody"/>
        <w:bidi w:val="0"/>
        <w:spacing w:before="360" w:after="283"/>
        <w:jc w:val="both"/>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have funded our operations primarily through the sale of equity and equity-linked securities, including through our IPO, follow-on offering and our ATM program. Through the date of this Quarterly Report, we have raised an aggregate of $101.3 million of gross proceeds from the sale of our securities.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As of September 30, 2023, we had cash of $12.9 million. Our plan of operation is to continue implementing our business strategy, continue research and development of INB-100, INB-200, INB-400 and our other product candidates and continue to expand our research pipeline and our internal research and development capabilities. Based on this business strategy, our existing cash as of September 30, 2023 will not be sufficient to fund the projected operating expenses and capital expenditure requirements past May 2024.</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ATM Program</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November 2022, we filed a shelf registration statement on Form S-3 (File No. 333-268288), or the Shelf Registration Statement, with the SEC, which permits the offering, issuance and sale by us of up to a maximum aggregate offering price of $200 million of our securities, of which $50 million of common stock may be issued and sold pursuant to an ATM program. We entered into a Controlled Equity Offering</w:t>
      </w:r>
      <w:r>
        <w:rPr>
          <w:rFonts w:ascii="Times New Roman" w:hAnsi="Times New Roman"/>
          <w:b w:val="false"/>
          <w:color w:val="000000"/>
          <w:sz w:val="13"/>
        </w:rPr>
        <w:t>SM</w:t>
      </w:r>
      <w:r>
        <w:rPr>
          <w:rFonts w:ascii="Times New Roman" w:hAnsi="Times New Roman"/>
          <w:color w:val="000000"/>
          <w:sz w:val="20"/>
        </w:rPr>
        <w:t xml:space="preserve"> </w:t>
      </w:r>
      <w:r>
        <w:rPr>
          <w:rFonts w:ascii="Times New Roman" w:hAnsi="Times New Roman"/>
          <w:b w:val="false"/>
          <w:color w:val="000000"/>
          <w:sz w:val="20"/>
        </w:rPr>
        <w:t>sales agreement, or the Sales Agreement, with Cantor Fitzgerald and Truist, under which Cantor Fitzgerald and Truist agreed to act as our sales agents to sell shares of our common stock, from time to time, through the ATM program. During the nine months ended September 30, 2023, we have sold 7,430,772 shares of common stock under the ATM program for an aggregate of $14.3 million in net proceeds.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Going Concern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Our condensed financial statements have been prepared in conformity with generally accepted accounting principles which contemplate continuation of the Company on a going concern basis. The going concern basis assumes that assets are realized, and liabilities are extinguished in the ordinary course of business at amounts disclosed in the condensed financial statements. We have not yet generated product sales and, as a result, have experienced operating losses since inception. We expect to incur additional losses in the future as we advance our product candidates through clinical trials, seek to expand our product candidate portfolio through developing additional product candidates, grow our clinical, regulatory and quality capabilities, and incur costs associated with operating as a public company. Based on our business strategy, our existing cash of $12.9 million as of September 30, 2023 will not be sufficient to fund the projected operating expenses and capital expenditure requirements past May 2024. We continue to take measures to defer or reduce costs in the near term in order to preserve capital and increase financial flexibility. These cash preservation measures may impact our ability and the timing to execute our strategy, including our ability to achieve the anticipated milestones and the timing of regulatory filings for our preclinical and clinical programs.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To continue to fund our operations, management has developed plans, which primarily consist of raising additional capital through some combination of equity and/or debt offerings, including through our ATM program, and identifying strategic collaborations, licensing or other arrangements to support development of our product candidates. There is no assurance, however, that any additional financing or any revenue-generating collaboration will be available, when needed, that management will be able to obtain financing or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enter into a collaboration on terms acceptable to us, or that any additional financing or revenue generated through third-party collaborations will be sufficient to fund our operations for at least 12 months from the issuance of the condensed financial statements. If additional capital is not available to us on a timely basis, or at all, we will be required to take additional actions beyond the cost preservation measures initiated to address our liquidity needs, including exploring other strategic options, continuing to further reduce operating expense or delaying, reducing the scope of, discontinuing or altering our research and development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actual amount of cash that we will need to operate is subject to many factors, including those described in the section titled “Risk Factors.” Our condensed financial statements have been prepared on the basis that we will continue as a going concern and do not include adjustments that might result from the outcome of this uncertainty.</w:t>
      </w:r>
    </w:p>
    <w:p>
      <w:pPr>
        <w:pStyle w:val="TextBody"/>
        <w:bidi w:val="0"/>
        <w:spacing w:before="360" w:after="283"/>
        <w:jc w:val="both"/>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expect our expenses to increase substantially contingent on additional funding in connection with our ongoing activities, particularly as we advance the preclinical activities and clinical trials of our product candidates. Our primary uses of capital are, and we expect will continue to be, compensation and related expenses, third-party clinical research and development services, the costs of manufacturing our clinical and preclinical product candidates, clinical costs, legal and other regulatory expenses and general overhead costs.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Additionally, the process of testing drug candidates in clinical trials is costly, and the timing of progress in these trials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scope, timing, progress, costs, and results of discovery, preclinical development, and clinical trials for our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number of clinical trials required for regulatory approval of our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costs, timing, and outcome of regulatory review of any of our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cost and timing of manufacturing clinical and commercial supplies of our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costs and timing of future commercialization activities, including manufacturing, marketing, sales, and distribution, for any of our product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revenue, if any, received from commercial sales of our product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expenses to attract, hire and retain skilled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costs of operating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establish a commercially viable pricing structure and obtain approval for coverage and adequate reimbursement from third-party and government payers;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addressing any potential interruptions, delays and/or cost increases resulting from public health crises, increased interest rates and geopolitical tensions, such as the Israel-Hamas war and the Russia-Ukraine war;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economic weakness, including inflation, or political instability in particular economies and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effect of competing technological and market developments;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extent to which we acquire or invest in businesses, products and technologies.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 change in the outcome of any of these variables with respect to the development of a product candidate could mean a significant change in the costs and timing associated with the development of that product candidate.</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Additionally, inflationary factors, such as increases in the cost of our clinical trial materials and supplies, interest rates and overhead costs may adversely affect our operating results. Although we do not believe that inflation has had a material impact on our financial position or results of operations to date, we may experience increases in the near future (especially if inflation rates rise) on our operating costs, including our labor costs and research and development costs, due to supply chain constraints, consequences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associated with the ongoing Russia-Ukraine war, and employee availability and wage increases, which may result in additional stress on our working capital resources.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Since inception, we have not generated any product revenue and have incurred net losses and negative cash flows from our operations. We have not yet commercialized any of our product candidates, which are in various phases of preclinical and clinical development, and we do not expect to generate revenue from sales of any products for the foreseeable future, if at all. It is likely that we will seek third-party collaborators for the future commercialization of our product candidates that are approved for marketing. However, we may seek to commercialize our products at our own expense, which would require us to incur significant additional expenses for marketing, sales, manufacturing and distribution.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Until such time as we can generate significant revenue from product sales, if ever, we expect to continue to finance our operations from the sale of additional equity or debt financings, or other capital which comes in the form of strategic collaborations, licensing, or other arrangements. In the event that additional financing is required, we may not be able to raise it on terms acceptable to us, or at all. If we raise additional funds through the issuance of equity or convertible debt securities, it may result in dilution to our existing stockholders.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If we raise funds through strategic collaboration, licensing or other arrangements, we may relinquish significant rights or grant licenses on terms that are not favorable to us. Our ability to raise additional funds may be adversely impacted by potential worsening global economic conditions, increases in inflation expectations and the recent disruptions to, and volatility in, the credit and financial markets in the United States and worldwide resulting from recent bank failures, public health crises such as the COVID-19 pandemic and other geopolitical tensions, such as the Israel-Hamas war and the Russia-Ukraine war. If we are unable to raise additional funds through equity or debt financings when needed, we may be required to delay, limit, reduce or explore other strategic options for our product development or future commercialization efforts or grant rights to develop and market products or product candidates that we would otherwise prefer to develop and market ourselves.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material cash requirements as of September 30, 2023 included operating lease commitments, including the lease of our current headquarters office in New York, New York, laboratory and office space in Birmingham, Alabama and a manufacturing service agreement with a third party to engage in research of cell therapy products. As of September 30, 2023, we had fixed lease payment obligations of $6.5 million, with $2.0 million payable within 12 months. Refer to Note 12 to our condensed financial statements for additional information.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Except as disclosed above, we have no long-term debt and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These payments are not determinable.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following table summarizes our sources and uses of cash for each of the periods below (in thousands):</w:t>
      </w:r>
      <w:r>
        <w:rPr>
          <w:rFonts w:ascii="Times New Roman" w:hAnsi="Times New Roman"/>
          <w:color w:val="000000"/>
          <w:sz w:val="20"/>
        </w:rPr>
        <w:t xml:space="preserve"> </w:t>
      </w:r>
    </w:p>
    <w:p>
      <w:pPr>
        <w:pStyle w:val="TextBody"/>
        <w:bidi w:val="0"/>
        <w:jc w:val="left"/>
        <w:rPr/>
      </w:pPr>
      <w:r>
        <w:rPr/>
        <w:t> </w:t>
      </w:r>
    </w:p>
    <w:tbl>
      <w:tblPr>
        <w:tblW w:w="6417" w:type="dxa"/>
        <w:jc w:val="left"/>
        <w:tblInd w:w="0" w:type="dxa"/>
        <w:tblLayout w:type="fixed"/>
        <w:tblCellMar>
          <w:top w:w="28" w:type="dxa"/>
          <w:left w:w="28" w:type="dxa"/>
          <w:bottom w:w="28" w:type="dxa"/>
          <w:right w:w="28" w:type="dxa"/>
        </w:tblCellMar>
      </w:tblPr>
      <w:tblGrid>
        <w:gridCol w:w="3466"/>
        <w:gridCol w:w="146"/>
        <w:gridCol w:w="248"/>
        <w:gridCol w:w="866"/>
        <w:gridCol w:w="195"/>
        <w:gridCol w:w="171"/>
        <w:gridCol w:w="248"/>
        <w:gridCol w:w="866"/>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(18,490</w:t>
            </w:r>
          </w:p>
        </w:tc>
        <w:tc>
          <w:tcPr>
            <w:tcW w:w="1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(16,172</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(528</w:t>
            </w:r>
          </w:p>
        </w:tc>
        <w:tc>
          <w:tcPr>
            <w:tcW w:w="19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13,692</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9,241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decrease in cash and restricted cash</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(5,326</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(9,373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val="false"/>
          <w:i/>
          <w:color w:val="000000"/>
          <w:sz w:val="20"/>
        </w:rPr>
        <w:t>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Cash used in operating activities was $18.5 million during the nine months ended September 30, 2023, primarily due to our net loss of $22.4 million and changes in operating assets and liabilities of $1.1 million, partially offset by an increase in non-cash charges of $5.0 million. Decreases in our operating assets and liabilities consisted primarily of $1.2 million in accounts payable and $0.6 million in long-term operating liabilities, partially offset by an increase of $0.3 million in prepaid expenses and other current assets, $0.3 million in accrued expenses and other current liabilities relating to accrued leasehold improvements and accrued manufacturing costs and $0.1 million in short-term operating liabilities. Increases in our non-cash charges consisted primarily of $3.1 million in stock-based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compensation due to increased employee headcount resulting from growth in our business, $1.2 million in amortization of right-of-use assets associated with our operating and finance leases for the period and $0.7 million of depreciation.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Cash used in operating activities was $16.2 million during the nine months ended September 30, 2022, primarily due to our net loss of $20.7 million, partially offset by an increase in our operating assets and liabilities of $1.3 million and non-cash charges of $3.3 million. The increase in our operating assets and liabilities consisted primarily of $1.0 million in accrued expenses and other current liabilities relating to accrued leasehold improvements and accrued manufacturing costs, and $0.7 million in accounts payable, partially offset by $0.4 million in long-term operating lease liabilities due to a manufacturing service agreement that commenced in the third quarter of 2022. Increases in our non-cash charges consisted primarily of $2.5 million in stock-based compensation due to increased employee headcount resulting from growth in our business, $0.7 million in amortization of operating and finance leases for the quarter and $0.1 million of depreciation.</w:t>
      </w:r>
    </w:p>
    <w:p>
      <w:pPr>
        <w:pStyle w:val="TextBody"/>
        <w:bidi w:val="0"/>
        <w:spacing w:before="360" w:after="283"/>
        <w:jc w:val="both"/>
        <w:rPr>
          <w:rFonts w:ascii="Times New Roman" w:hAnsi="Times New Roman"/>
          <w:sz w:val="20"/>
        </w:rPr>
      </w:pPr>
      <w:r>
        <w:rPr>
          <w:rFonts w:ascii="Times New Roman" w:hAnsi="Times New Roman"/>
          <w:b w:val="false"/>
          <w:i/>
          <w:color w:val="000000"/>
          <w:sz w:val="20"/>
        </w:rPr>
        <w:t>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Cash used in investing activities was $0.5 million during the nine months ended September 30, 2023, primarily due to purchases of property and equipment and construction in progress activity in relation to leasehold improvements to the leased space located in Alabama.</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Cash used in investing activities was $2.4 million during the nine months ended September 30, 2022, primarily due to purchases of property and equipment and construction in progress activity in relation to leasehold improvements to the leased space located in Alabama.</w:t>
      </w:r>
    </w:p>
    <w:p>
      <w:pPr>
        <w:pStyle w:val="TextBody"/>
        <w:bidi w:val="0"/>
        <w:spacing w:before="360" w:after="283"/>
        <w:jc w:val="both"/>
        <w:rPr>
          <w:rFonts w:ascii="Times New Roman" w:hAnsi="Times New Roman"/>
          <w:sz w:val="20"/>
        </w:rPr>
      </w:pPr>
      <w:r>
        <w:rPr>
          <w:rFonts w:ascii="Times New Roman" w:hAnsi="Times New Roman"/>
          <w:b w:val="false"/>
          <w:i/>
          <w:color w:val="000000"/>
          <w:sz w:val="20"/>
        </w:rPr>
        <w:t>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Cash provided by financing activities was $13.7 million during the nine months ended September 30, 2023, primarily due to proceeds received from the issuance and sale of common stock pursuant to the ATM program of $14.3 million offset by principal payments of $0.6 million on our leases.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Cash provided by financing activities was $9.2 million during the nine months ended September 30, 2022, primarily due to proceeds received from the issuance and sale of common stock in our underwritten public offering completed in August 2022.</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This Management’s Discussion and Analysis of Financial Condition and Results of Operations is based on our condensed financial statements, which are prepared in accordance with accounting principles generally accepted in the United States of America. The preparation of our condensed financial statements requires us to make estimates, assumptions and judgments that affect the reported amounts of assets, liabilities, costs and expenses. We base our estimates and assumptions on historical experience, known trends and other factors that we believe to be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In making estimates and judgments, management employs critical accounting policies. Our critical accounting policies are described in greater detail in Note 2 to our audited financial statements included in our Annual Report and Note 2 to our condensed financial statements included elsewhere in this Quarterly Report.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We have listed below our critical accounting estimates that we believe to have the greatest potential impact on our condensed financial statements. Historically, our assumptions, judgments and estimates relative to our critical accounting estimates have not differed materially from actual results. </w:t>
        <w:br/>
      </w:r>
      <w:r>
        <w:rPr>
          <w:rFonts w:ascii="Times New Roman" w:hAnsi="Times New Roman"/>
          <w:color w:val="000000"/>
          <w:sz w:val="20"/>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Research and Development Costs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expense all costs incurred in performing research and development activities. Research and development expenses include salaries and benefits, stock-based compensation expense, lab supplies and facility costs, as well as fees paid to nonemployees and entities that conduct certain research and development activities on our behalf and expenses incurred in connection with license agreements. Non-refundable advance payments for goods or services that will be used for rendered or future research and development activities are deferred and amortized over the period that the goods are delivered, or the related services are performed, subject to an assessment of recoverability.</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As part of the process of preparing our financial statements, we are required to estimate our accrued research and development expenses. We make estimates of our accrued expenses as of each balance sheet date in the condensed financial statements based on facts and circumstances known to us at that time.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account for our stock-based compensation as an expense in the statements of operations based on the awards’ grant date fair values. We account for forfeitures as they occur by reversing any expense recognized for unvested awards. We estimate the fair value of options granted using the Black-Scholes option-pricing model. The Black-Scholes option-pricing model requires inputs based on certain subjective assumptions, including (a) the expected stock price volatility, (b) the calculation of expected term of the award, (c) the risk-free interest rate and (d) expected dividends. Due to the lack of company-specific historical and implied volatility data, we have based our estimate of expected volatility on the historical volatility of a group of similar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us, including stage of product development and life science industry focus. We use the simplified method as allowed by the SEC Staff Accounting Bulletin, or SAB, No. 107, Share-Based Payment, to calculate the expected term for options granted to employees, as we do not have sufficient historical exercise data to provide a reasonable basis upon which to estimate the expected term. The risk-free interest rate is based on a treasury instrument whose term is consistent with the expected term of the stock options. The expected dividend yield is assumed to be zero as we have never paid dividends and have no current plans to pay any dividends on our common stock. The fair value of stock-based payments is recognized as an expense over the requisite service period which is generally the vesting period. In the periods prior to the IPO, the determination of fair value of our common stock required significant judgment. In the periods following the IPO, the fair value of our common stock is determined based on the quoted market price of our common stock.</w:t>
      </w:r>
    </w:p>
    <w:p>
      <w:pPr>
        <w:pStyle w:val="TextBody"/>
        <w:bidi w:val="0"/>
        <w:spacing w:before="360" w:after="283"/>
        <w:jc w:val="both"/>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did not adopt any new accounting guidance during the nine months ended September 30, 2023 and as of the date of this report that had a material impact on the condensed financial statements or disclosures. Additionally, there is no pending accounting guidance that we expect to have a material impact on the condensed financial statements.</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Times New Roman" w:hAnsi="Times New Roman"/>
          <w:b/>
          <w:color w:val="000000"/>
          <w:sz w:val="20"/>
        </w:rPr>
        <w:t>Emerging Growth Company and Smaller Reporting Company Status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qualify as an emerging growth company, or EGC, as defined in the Jumpstart Our Business Startups Act, or JOBS Act. As an EGC,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may take advantage of these exemptions until December 31, 2026, or such earlier time that we are no longer an emerging growth company. We would cease to be an EGC earlier if we have more than $1.235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 For so long as we remain an EGC, we are permitted, and intend, to rely on exemptions from certain disclosure requirements that are applicable to other public companies that are not EGCs. We may choose to take advantage of some, but not all, of the available exemptions.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addition,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 Therefore, the reported results of operations contained in our financial statements may not be directly comparable to those of other public companies.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are also a “smaller reporting company,” and we may continue to be a smaller reporting company until either (i) the market value of our stock held by non-affiliates is less than $250.0 million or (ii) our annual revenue is less than $100.0 million during the most recently completed fiscal year and the market value of our stock held by non-affiliates is less than $700.0 million.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and, similar to EGCs, smaller reporting companies have reduced disclosure obligations regarding executive compensation.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bookmarkStart w:id="10" w:name="item_3_quantitative_qualitative_disclosu"/>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are a smaller reporting company as defined by Item 10 of Regulation S-K and are not required to provide the information otherwise required under this item.</w:t>
      </w:r>
      <w:r>
        <w:rPr>
          <w:rFonts w:ascii="Times New Roman" w:hAnsi="Times New Roman"/>
          <w:color w:val="000000"/>
          <w:sz w:val="20"/>
        </w:rPr>
        <w:t xml:space="preserve"> </w:t>
      </w:r>
    </w:p>
    <w:p>
      <w:pPr>
        <w:pStyle w:val="TextBody"/>
        <w:bidi w:val="0"/>
        <w:spacing w:before="360" w:after="283"/>
        <w:jc w:val="both"/>
        <w:rPr>
          <w:rFonts w:ascii="Times New Roman" w:hAnsi="Times New Roman"/>
          <w:b/>
          <w:color w:val="000000"/>
          <w:sz w:val="20"/>
        </w:rPr>
      </w:pPr>
      <w:bookmarkStart w:id="11" w:name="item_4_controls_procedures"/>
      <w:bookmarkEnd w:id="11"/>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Disclosure Controls and Procedures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br/>
      </w:r>
      <w:r>
        <w:rPr>
          <w:rFonts w:ascii="Times New Roman" w:hAnsi="Times New Roman"/>
          <w:color w:val="000000"/>
          <w:sz w:val="20"/>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Quarterly Report. Based on such evaluation, our Chief Executive Officer and Chief Financial Officer have concluded that as of September 30, 2023, our disclosure controls and procedures were effective at the reasonable assurance level.</w:t>
      </w:r>
    </w:p>
    <w:p>
      <w:pPr>
        <w:pStyle w:val="TextBody"/>
        <w:bidi w:val="0"/>
        <w:spacing w:before="360" w:after="283"/>
        <w:jc w:val="both"/>
        <w:rPr>
          <w:rFonts w:ascii="Times New Roman" w:hAnsi="Times New Roman"/>
          <w:b w:val="false"/>
          <w:i/>
          <w:color w:val="000000"/>
          <w:sz w:val="20"/>
        </w:rPr>
      </w:pPr>
      <w:r>
        <w:rPr>
          <w:rFonts w:ascii="Times New Roman" w:hAnsi="Times New Roman"/>
          <w:b w:val="false"/>
          <w:i/>
          <w:color w:val="000000"/>
          <w:sz w:val="20"/>
        </w:rPr>
        <w:t>Changes in Internal Control over Financial Reporting</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There were no changes in our internal control over financial reporting identified in connection with the evaluation required by Rules 13a-15(d) and 15d-15(d) of the Exchange Act that occurred during the nine months ended September 30, 2023, that has materially affected, or is reasonably likely to materially affect, our internal control over financial reporting.</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both"/>
        <w:rPr>
          <w:rFonts w:ascii="Times New Roman" w:hAnsi="Times New Roman"/>
          <w:sz w:val="20"/>
        </w:rPr>
      </w:pPr>
      <w:bookmarkStart w:id="13" w:name="item_1_legal_proceedings"/>
      <w:bookmarkEnd w:id="13"/>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From time to time, we may become involved in various legal proceedings arising in the ordinary course of our business. We are not currently a party to any material legal proceedings that we believe could have a material adverse effect on our business, operating results or financial condition.</w:t>
      </w:r>
    </w:p>
    <w:p>
      <w:pPr>
        <w:pStyle w:val="TextBody"/>
        <w:bidi w:val="0"/>
        <w:spacing w:before="360" w:after="283"/>
        <w:jc w:val="both"/>
        <w:rPr>
          <w:rFonts w:ascii="Times New Roman" w:hAnsi="Times New Roman"/>
          <w:sz w:val="20"/>
        </w:rPr>
      </w:pPr>
      <w:bookmarkStart w:id="14" w:name="risk_factors"/>
      <w:bookmarkEnd w:id="1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i/>
          <w:color w:val="000000"/>
          <w:sz w:val="20"/>
        </w:rPr>
        <w:t>Investing in our common stock involves a high degree of risk. You should carefully consider the risks described below, as well as the other information in this Quarterly Report on Form 10-Q, including our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prospects. In such an event, the market price of our common stock could decline and you may lose all or part of your investment.</w:t>
      </w:r>
      <w:r>
        <w:rPr>
          <w:rFonts w:ascii="Times New Roman" w:hAnsi="Times New Roman"/>
          <w:color w:val="000000"/>
          <w:sz w:val="20"/>
        </w:rPr>
        <w:t xml:space="preserv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Summary of Selected Risk Factors Associated with Our Business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following is a summary of the principal risks associated with an investment in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There is substantial doubt regarding our ability to continue as a going concern. We will require substantial additional funding to finance our operations, and if we are unable to raise capital, we could be forced to delay, reduce or explore other strategic options for certain of our development programs, or even terminate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Raising additional capital may cause dilution to our stockholders, restrict our operations or require us to relinquish rights to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 sale of a substantial number of shares of our common stock may cause the price of our common stock to decline.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report of our independent registered public accounting firm for the years ended December 31, 2022 and 2021 contains an explanatory paragraph regarding substantial doubt about our ability to continue as a going concern.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have incurred significant operating losses since inception and anticipate that we will continue to incur substantial operating losses for the foreseeable future and may never achieve or maintain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raise capital may be limited by applicable laws and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have a limited operating history and have no products approved for commercial sale, which may make it difficult for you to evaluate the success of our business to date and to assess our future viability.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are dependent on the successful clinical development, regulatory approval and commercialization of our gamma-delta T cell product candidates. If we are not able to obtain required regulatory approvals, we will not be able to commercialize our product candidates and our ability to generate product revenue will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DeltEx product candidates utilize novel approaches to cell therapies, including cancer treatment, which presents significant challenges to successfully develop, manufacture and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clinical and commercial utility of our DeltEx platform is uncertain and may never be realized. Additionally, certain aspects of the function and production of gamma-delta T cells are poorly understood or currently unknown, and may only become known through further preclinical and clinical testing.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Clinical product candidate development involves a lengthy and expensive process with uncertain outcomes. We may incur additional costs and encounter substantial delays or difficulties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If we encounter difficulties in enrolling patients in our clinical trials, our clinical development activities could be delayed or otherwise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Development of a product candidate intended for use in combination with an already approved therapy may present increased complexity and more or different challenges than development of a product candidate for use as a single agent or monotherapy.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Public opinion and scrutiny of cell-based immunotherapy and genetic modification approaches may impact public perception of our company and product candidates, or may adversely affect our ability to conduct our business, raise additional capital and our business plans.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face significant competition, and many of our competitors have substantially greater experience and resources than we have.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manufacturing process is complex, and we may encounter difficulties in production, which would delay or prevent our ability to provide a sufficient supply of our product candidates for future clinical trials or commercialization,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may rely on third-party contractors or contract development manufacturing organization for the manufacturing of our product candidates, and failure by those parties to adequately perform their obligations could harm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currently store our gamma-delta T cells and biologic correlative and research specimens from clinical trials and development programs and clinical lentivectors at our research and development facilities and at the facilities of our clinical and/or manufacturing partners, and any damage or loss to our storage freezers and/or facilities from natural disasters or otherwise would cause delays in replacement, and our business could suffer.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are currently dependent on a single third-party supplier for manufacture of our automated manufacturing device and our lentiviral vectors. These are critical products required for the manufacturing of our product candidates, including INB-100, INB-200 and INB-400. Any damage or loss to the ability of our suppliers to deliver supplies in a timely manner could cause delays in manufacturing or our clinical trials and our business could suffer.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rely on third-party healthcare professionals to administer gamma-delta T cells to patients, and our business could be harmed if these third parties administer these cells incorrectly.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Licensing of intellectual property is of critical importance to our business and involves complex legal, business and scientific issues. If we breach our license agreements with the University of Alabama at Birmingham Research Foundation, Children’s Healthcare of Atlanta, Inc. and Emory University, or any of the other agreements under which we acquired, or will acquire, the intellectual property rights to our product candidates, we could lose the ability to continue the development and commercialization of the related product.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If we are unable to obtain and maintain patent protection for our product candidates and technology, or if the scope of the patent protection obtained is not sufficiently broad or robust, our competitors could develop and commercialize products and technology similar or identical to ours, and our ability to successfully commercialize our product candidates and technology may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compete in the pharmaceuticals industry depends upon our ability to attract and retain highly qualified managerial, scientific, medical and other personnel. We are highly dependent on the services of our co-founders, William Ho, our President and Chief Executive Officer, and Dr. Lawrence Lamb, our Chief Scientific Officer, and the loss of these members of our management team or other key employees could impede, delay or prevent the successful development of our product pipeline, the completion of our current and planned clinical trials, and the commercialization of our products or in-licensing or acquisition of new assets, and could negatively impact our ability to successfully implement our business plan.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Actual or perceived failures to comply with applicable data privacy and security obligations, including laws, regulations, standards and other requirements could lead to regulatory investigations or actions, litigation, fines and penalties, disruptions of our business operations, reputational harm, loss of revenue or profits, and other adverse business consequences.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Unstable market and economic conditions, including as a result of recent bank closures, public health crises or geopolitical tensions, such as the Russia-Ukraine and the Israel-Hamas war, may have serious adverse consequences on our business, ability to raise capital, financial condition and share price.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maintain cash deposits in excess of federally insured limits. Adverse developments affecting the financial services industry, such as actual events or concerns involving liquidity, defaults or non-performance by financial institutions could adversely affect our liquidity, current financial condition and projected business operations.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Financial Position and Capital Needs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There is substantial doubt regarding our ability to continue as a going concern. We will require substantial additional funding to finance our operations, and if we are unable to raise capital, we could be forced to delay, reduce or explore other strategic options for certain of our development programs, or even terminate our operations.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Based on our current business strategy, there is substantial doubt concerning our ability to continue as a going concern. Our existing cash as of September 30, 2023 will not allow us to fund our operations past May 2024. We have taken measures to defer or reduce costs in the near term in order to preserve capital and increase financial flexibility. These cash preservation measures may impact our ability and the timing to execute our strategy. Our ability to continue as a going concern will depend on our ability to obtain additional funding, as to which no assurances can be given. We continue to analyze various alternatives, including debt or equity financings or other arrangements.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expect our expenses to continue to increase in connection with our ongoing activities, particularly as we conduct clinical trials of, and seek marketing approval for, our product candidates and advance our other programs. Developing pharmaceutical products, including conducting preclinical studies and clinical trials, is a very time-consuming, expensive and uncertain process that takes years to complete. Other unanticipated costs may also arise. Because the design and outcome of our ongoing and anticipated clinical trials are highly uncertain, we cannot reasonably estimate the actual amount of resources and funding that will be necessary to successfully complete the development and commercialization of any product candidate we develop. Moreover, we will need to obtain substantial additional funding in connection with our continuing operations and planned research and clinical development activities. Our future capital requirements will depend on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timing, progress, costs and results of our ongoing preclinical studies and clinical trials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scope, progress, results and costs of preclinical development, laboratory testing and clinical trials of other product candidates that we may pursue;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establish collaborations on favorable terms,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costs, timing and outcome of regulatory review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costs and timing of future commercialization activities, including product manufacturing, marketing, sales, reimbursement and distribution, for any of our product candidates for which we may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revenue, if any, received from commercial sales of our product candidates for which we may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cost of any milestone and royalty payments with respect to any approved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costs of operating as a public company;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extent to which we acquire or in-license other product candidates and technologies.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may never generate the necessary data or results required to obtain regulatory approval in order to generate revenue from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Our ability to raise additional capital may be adversely impacted by potential worsening global economic conditions, inflation expectations, and the recent disruptions to and volatility in the credit and financial markets in the United States and worldwide resulting from public health crises and geopolitical tensions, such as the Israel-Hamas war and the Russia-Ukraine war. If we are unable to raise capital when needed or on acceptable terms, we could be forced to delay, reduce, or explore other strategic options for our research and development programs or other opportunities, or even our operations. If we do not obtain additional financing and are required to terminate our operations, our stockholders will lose their investment.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Raising additional capital may cause dilution to our stockholders, restrict our operations or require us to relinquish rights to our product candidates.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Until such time, if ever, as we can generate substantial product revenue, we will need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if available, through the sale of equity or convertible debt securities, including through our ATM program, your ownership interest in our company may be diluted, and the terms of these securities may include liquidation or other preferences that adversely affect your rights as a stockholder. 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If we raise additional capital through future collaborations, strategic alliances or third-party licensing arrangements, we may have to relinquish valuable rights to our intellectual property, future revenue streams, research programs or product candidates, or grant licenses on terms that may not be favorable to us, if at all. If we are unable to raise additional capital when needed, we may be required to delay, limit, reduce or explore other strategic options for our product candidate development or future commercialization efforts, or grant rights to develop and market product candidates that we would otherwise develop and market ourselves.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 sale of a substantial number of shares of our common stock may cause the price of our common stock to decline.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report of our independent registered public accounting firm for the years ended December 31, 2022 and 2021 contains an explanatory paragraph regarding substantial doubt about our ability to continue as a going concern.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Due to the uncertainty of our ability to meet our current operating and capital expenses, in its report on our audited annual financial statements as of and for the year ended December 31, 2022, our independent auditors included an explanatory paragraph regarding our ability to continue as going concern. Substantial doubt about our ability to continue as a going concern may materially and adversely affect the price per share of our common stock and we may have a more difficult time obtaining financing. Further, the perception that we may be unable to continue as a going concern may impede our ability to raise additional funds or operate our business due to concerns regarding our ability to discharge our contractual obligations.</w:t>
      </w:r>
    </w:p>
    <w:p>
      <w:pPr>
        <w:pStyle w:val="TextBody"/>
        <w:bidi w:val="0"/>
        <w:spacing w:before="360" w:after="283"/>
        <w:jc w:val="both"/>
        <w:rPr>
          <w:rFonts w:ascii="Times New Roman" w:hAnsi="Times New Roman"/>
          <w:sz w:val="20"/>
        </w:rPr>
      </w:pPr>
      <w:r>
        <w:rPr>
          <w:rFonts w:ascii="Times New Roman" w:hAnsi="Times New Roman"/>
          <w:b/>
          <w:i/>
          <w:color w:val="000000"/>
          <w:sz w:val="20"/>
        </w:rPr>
        <w:t>We have incurred significant operating losses since inception and anticipate that we will continue to incur substantial operating losses for the foreseeable future and may never achieve or maintain profitability.</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have incurred significant operating losses since inception. Our net loss was $22.4 million and $20.7 million for the nine months ended September 30, 2023 and 2022, respectively. As of September 30, 2023, we had an accumulated deficit of $83.6 million. We expect to continue to incur significant expenses and increasing operating losses for the foreseeable future. Since inception, we have devoted substantially all of our efforts to research and preclinical and clinical development of our product candidates, organizing and staffing our company, business planning, raising capital, establishing our intellectual property portfolio and conducting clinical trials. To date, we have never obtained regulatory approval for, or commercialized, any product candidates. It could be several years, if ever, before we have a commercialized product. The net losses we incur may fluctuate significantly from quarter to quarter and year to year. We anticipate that our expenses will increase substantially if, and as, we: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conduct our current and future clinical trials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continue to develop and advance our preclinical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seek regulatory and marketing approvals for any of our current and future product candidates that successfully complete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establish our manufacturing capability, including developing our contract development and manufacturing relationships, and building our internal manufacturing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maintain, expand and protect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expand our operational, financial, and management systems and increase personnel, including personnel to support our preclinical and clinical development, manufacturing and commercialization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establish a sales, marketing and distribution infrastructure in the future to commercialize any current or future product candidate for which we may obtain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seek to identify, discover, develop and commercialize additional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incur additional legal, accounting or other expenses in operating our business, including the additional costs associated with operating as a public company.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To become and remain profitable, we must succeed in developing and eventually commercializing products that generate significant revenue. This will require us to be successful in a range of challenging activities, including completing preclinical studies and clinical trials of our current and future product candidates, obtaining regulatory approval, establishing and validating commercial-scale current good manufacturing practices, or cGMP, facilities, marketing and selling any products for which we obtain regulatory approval (including through third parties), as well as discovering or acquiring and developing additional product candidates. We are only in the preliminary stages of some of these activities. As inflation expectations remain uncertain in the United States and globally, we expect the costs of certain activities will increase. Should suppliers and consultants increase prices to cover increased wages and materials costs, we expect our expenses and cash utilization could increase substantially. We may never succeed in these activities and, even if we do, may never generate revenues that are sufficient to offset our expenses and achieve profitability.</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Because of the numerous risks and uncertainties associated with product candidate development, we are unable to accurately predict the timing or amount of expenses or when, or if, we will be able to achieve profitability. If we are required by regulatory authorities to perform clinical trials or preclinical studies in addition to those currently expected, or if there are any delays in the initiation and completion of our clinical trials or the development of any of our product candidates, our expenses could increase.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common stock could also cause you to lose all or part of your investment.</w:t>
      </w:r>
    </w:p>
    <w:p>
      <w:pPr>
        <w:pStyle w:val="TextBody"/>
        <w:bidi w:val="0"/>
        <w:spacing w:before="360" w:after="283"/>
        <w:jc w:val="both"/>
        <w:rPr>
          <w:rFonts w:ascii="Times New Roman" w:hAnsi="Times New Roman"/>
          <w:sz w:val="20"/>
        </w:rPr>
      </w:pPr>
      <w:r>
        <w:rPr>
          <w:rFonts w:ascii="Times New Roman" w:hAnsi="Times New Roman"/>
          <w:b/>
          <w:i/>
          <w:color w:val="000000"/>
          <w:sz w:val="20"/>
        </w:rPr>
        <w:t>Our ability to raise capital may be limited by applicable laws and regulations.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Using a shelf registration statement on Form S-3 to raise additional capital generally takes less time and is less expensive than other means, such as conducting an offering under a Form S-1 registration statement. However, our ability to raise capital using a shelf registration statement may be limited by, among other things, SEC rules and regulations. Under SEC rules and regulations, if our public float (the market value of our common stock held by non-affiliates) is less than $75.0 million, then the aggregate market value of securities sold by us or on our behalf under our Form S-3 in any 12-month period is limited to an aggregate of one-third of our public float. As our public float is currently less than $75.0 million, we are currently subject to this limitation. If our ability to utilize a Form S-3 registration statement for a primary offering of our securities continues to be limited to one-third of our public float, we may need to conduct such an offering pursuant to an exemption from registration under the Securities Act or under a Form S-1 registration statement, which we would increase the cost of raising additional capital relative to utilizing a Form S-3 registration statement.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a limited operating history and have no products approved for commercial sale, which may make it difficult for you to evaluate the success of our business to date and to assess our future viability.</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are an early clinical-stage biotechnology company with a limited operating history upon which you can evaluate our business and prospects. Our operations to date have been limited to financing and staffing our company, developing our technology, identifying and developing our product candidates, undertaking preclinical studies, initiating and conducting clinical trials for INB-200, INB-100 and INB-400, business planning and raising capital. Other than INB-200, INB-100 and INB-400, all of our research programs are still in the preclinical or research stage of development, and the risk of failure in the biopharmaceutical industry for programs or products candidates at such stage of development is even higher than those in the clinical stage of development. We have not yet demonstrated an ability to successfully conduct or complete any clinical trials, including large-scale, multi-center pivotal clinical trials, obtain marketing approval, manufacture a clinical or commercial scale product or arrange for a third party to do so on our behalf or conduct sales and marketing activities necessary for successful product commercialization. Typically, it takes about six to 10 years to develop a new drug from the time it enters Phase 1 clinical trials to when it is approved for treating patients, but in many cases it may take longer. Consequently, predictions about our future success or viability may not be as accurate as they could be if we had a longer operating history or a history of successfully developing and commercializing genetic medicine product candidates.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addition, as a business with a limited operating history, we may encounter unforeseen expenses, difficulties, complications, delays and other known and unknown factors. We will eventually need to transition from a company with a research and clinical focus to a company, if any of our product candidates are approved, capable of supporting commercial activities. We may not be successful in such a transition.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the Development of Our Product Candidates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dependent on the successful clinical development, regulatory approval and commercialization of our gamma-delta T cell product candidates. If we are not able to obtain required regulatory approvals, we will not be able to commercialize our product candidates and our ability to generate product revenue will be adversely affected.</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Our business is dependent on our ability to successfully complete development of, obtain regulatory approval for, and, if approved, successfully commercialize our product candidates in a timely manner. We may face unforeseen challenges in our product candidate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development strategy, and we can provide no assurances that our product candidate or clinical trial design will prove to be effective, that we will be able to take advantage of abbreviated regulatory pathways for any of our product candidates, or that we will ultimately be successful in our future clinical trials. We expect that a substantial portion of our efforts and expenses over the next several years will be devoted to the development of our lead product candidates, INB-400, INB-200, and INB-100, in our ongoing clinical trials. We expect that a substantial portion of our efforts and expenses over the next several years will be devoted to the development of our lead product candidates, INB-400, INB-200, and INB-100, in ongoing clinical trials. Our product candidates are in early stages of development and may never be commercialized.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currently anticipate seeking initial regulatory approvals in the United States and the European Union but may in the future submit applications for the regulatory approval of one or more of our product candidates to additional foreign regulatory authorities. We have not applied or obtained regulatory approval for any product candidate in the United States or abroad, and it is possible that neither our current product candidates nor any product candidates we may seek to develop in the future will obtain regulatory approval. Neither we nor any of our partners are permitted to market any of our product candidates in the United States or abroad until we receive regulatory approval from the FDA or the applicable foreign regulatory agency.</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All of our product candidates will require additional clinical and non-clinical development, regulatory review and approval in multiple jurisdictions, substantial investment, access to sufficient commercial manufacturing capacity and significant marketing efforts before they can be successfully commercialized. Prior to obtaining approval to commercialize any product candidate in the United States or abroad, we must demonstrate with substantial evidence from well-controlled clinical trials, and to the satisfaction of the FDA or comparable foreign regulatory authorities, that such product candidate is safe and effective for its intended uses. Results from preclinical studies and clinical trials can be interpreted in different ways. Even if we believe that the preclinical or clinical data for our product candidates are promising, such data may not be sufficient to support approval by the FDA and other regulatory authorities. The FDA may also require us to conduct additional preclinical studies, assay development or clinical trials for our product candidates either pre- or post-approval, or it may object to elements of our clinical development program, requiring their alteration. We may also decide to modify clinical protocols or procedures in future clinical trials based on clinical and experimental data.</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Of the large number of products in development, only a small percentage successfully complete the FDA or comparable foreign regulatory authorities’ approval processes and are commercialized. The lengthy approval or marketing authorization process as well as the unpredictability of future clinical trial results may result in our failing to obtain regulatory approval or marketing authorization to market our product candidates, which would significantly harm our business, financial condition, results of operations and prospects.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product candidates could fail to receive regulatory approval from the FDA or a comparable foreign regulatory authority for many reasons, including,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disagreement with the design or conduct of any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failure to demonstrate to the satisfaction of regulatory agencies that our product candidates are safe and effective, or have a positive benefit/risk profile for its proposed indication;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failure of clinical trials to meet the level of statistical significance required for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disagreement with our interpretation of data from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insufficiency of data collected from clinical trials of our product candidates to support the submission and filing of a Biologics License Application, or BLA, or other submission or to obtain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failure to obtain approval of our manufacturing processes or facilities of third-party manufacturers with whom we contract for clinical and commercial supplies or our own manufacturing facility;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changes in the approval policies or regulations that render our preclinical and clinical data insufficient for approval.</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Additionally, any delay in, or termination of, our clinical trials will delay the submission of a BLA to the FDA or other similar applications with other relevant foreign regulatory authorities and, ultimately, our ability to commercialize our product candidates, if approved, and generate product revenue.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Even if we eventually complete clinical testing and receive approval of a BLA, or foreign marketing application for our product candidates, the FDA or the comparable foreign regulatory authorities may grant approval or other marketing authorization contingent on the performance of costly additional clinical trials, including post-market clinical trials. The FDA or the comparable foreign regulatory authorities also may approve or authorize for marketing a product candidate for a more limited indication or patient population than we originally request, and the FDA or comparable foreign regulatory authorities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adversely impact our business and prospects.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Moreover, because all of our product candidates are based on the same core gamma-delta T cell technology, if any of our product candidates encounter safety or efficacy problems, developmental delays or regulatory issues or other problems including the failure to demonstrate comparability or equivalence, these could impact the development plans for our other product candidates. Our failure to timely complete clinical trials, obtain regulatory approval or, if approved, commercialize our product candidates could adversely affect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 candidates are in early stages of development, and therefore they will require extensive additional preclinical and clinical testing. Success in preclinical studies or early-stage clinical trials may not be indicative of results in future clinical trials and we cannot assure you that any ongoing, planned or future clinical trials will lead to results sufficient for the necessary regulatory approvals.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Because our product candidates are in early stages of development, they will require extensive preclinical and clinical testing. INB-100, INB-200 and INB-400 are our only product candidates in clinical trials. Success in preclinical testing and early-stage clinical trials does not ensure that later clinical trials and/or product candidate will generate the same results or otherwise provide adequate data to demonstrate the efficacy, safety and equivalency of a product candidate. Preclinical studies and Phase 1 clinical trials are primarily designed to test safety, to study pharmacokinetics and pharmacodynamics and to understand the side effects of product candidates at various doses and schedules. Success in preclinical studies and earlier clinical trials does not ensure that later efficacy trials will be successful, nor does it predict final results. Our product candidates may fail to show the desired safety and efficacy in clinical development despite positive results in preclinical studies or even if they successfully advance through earlier clinical trials.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For example, although we have undertaken Phase 1 clinical trials for INB-200 and INB-100, the FDA has not yet made any determination regarding safety and efficacy of either product candidate in the targeted indications. Further, our novel approaches to immune cell therapies are unproven and as such, the cost and time needed to develop our product candidates is difficult to predict and our efforts may not be successful. If we do not observe favorable results in clinical trials of our product candidates, we may decide to delay or abandon clinical development of such product candidate. Any such delay or abandonment could harm our business, financial condition, results of operations and prospects.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addition, the design of a clinical trial can determine whether its results will support approval of a product, and flaws in the design of a clinical trial may not become apparent until the clinical trial is well advanced. As an organization, we have limited experience designing clinical trials and may be unable to design and execute a clinical trial to support regulatory approval. Many companies in the pharmaceutical and biotechnology industries have suffered significant setbacks, including failure in late-stage clinical trials even after achieving promising results in preclinical testing and earlier clinical trials. Data obtained from preclinical and clinical activities are subject to varying interpretations, which may delay, limit or prevent regulatory approval.</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Further, we cannot predict with any certainty if or when we might submit a BLA for regulatory approval for any of our product candidates or whether any such BLA will be accepted for review by the FDA, or whether any BLA will be approved upon review. Even if our clinical trials are completed as planned, we cannot be certain that their results will support our proposed indications. Success in preclinical testing and early clinical trials does not ensure that later clinical trials will be successful, and we cannot be sure that the results of later clinical trials will replicate the results of prior clinical trials and preclinical testing. The clinical trial process may fail to demonstrate that our product candidates are safe and effective for their proposed uses. This failure could cause us to abandon a product candidate and may delay development of other product candidates. Any delay in, or termination of, our clinical trials will delay and possibly preclude the filing of any BLAs with the FDA and, ultimately, our ability to commercialize our product candidates and generate product revenues.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From time to time, we may publish interim, “topline” or preliminary data from our clinical trials. Interim, “topline” or preliminary data from clinical trials that we may complete are subject to the risk that one or more of the clinical outcomes may materially change as patient enrollment continues and more patient data become available. Interim, “topline” and preliminary data also remain subject to audit and verification procedures that may result in the final data being materially different from the preliminary data we previously published. As a result, interim, “topline,” and preliminary data should be viewed with caution until the final data are available. Differences between interim, “topline” and preliminary data and final data could significantly harm our business prospects and may cause the trading price of our common stock to fluctuate significantly.</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DeltEx product candidates utilize novel approaches to cell therapies, including cancer treatment, which presents significant challenges to successfully develop, manufacture and commercialize our product candidates.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believe that our product candidates represent a novel approach to immunotherapy, including cancer treatment, and we have concentrated significant research and development efforts to date developing our INB-100, INB-200 and INB-400 product candidates, as well as our additional drug-resistant immunotherapy, or DRI, gamma-delta T cell preclinical product candidates. Gamma-delta T cell immunotherapy is a newly emerging field and our approaches, including genetic modification and DeltEx DRI gamma-delta T cells, have not been extensively tested over any significant period. We have not yet succeeded and may never succeed in demonstrating efficacy and safety for any of our product candidates in clinical trials or in obtaining marketing approval thereafter.</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For example, INB-100, our novel allogeneic gamma-delta T cell product candidate that we are initially developing for the treatment of patients with acute leukemia undergoing hematopoietic stem cell transplantation, is manufactured from healthy donor T cells using our proprietary manufacturing process. Allogeneic versions of cell therapy and gamma-delta T cell product candidates is an unproven field of development and is subject to particular risks that are difficult to quantify, including understanding and addressing variability in the quality and quantity of a donor’s T cells and the patient’s potential immune reaction to the foreign donor cells, which could ultimately affect safety, efficacy and our ability to produce product in a reliable and consistent manner. As such, we may be faced with unforeseen results, delays and setbacks, in addition to the other foreseeable risks and uncertainties associated with developing immune cell therapies.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Additionally, we are the first company to advance a genetically modified gamma-delta T cell product candidate, INB-200, which we are currently developing for the treatment of certain solid tumors, into the clinic. The manufacture of our cell therapies involves complex processes, including, for INB-100, where blood cells are isolated from an allogeneic donor via leukapheresis, gamma-delta T cells are expanded and activated, and other cells are removed through magnetic separation and then cryopreserved. For INB-200, blood cells are isolated from the patient via leukapheresis, the gamma-delta T cells are transduced, expanded and activated, and, if required, other cells are removed through magnetic separation prior to cryopreservation.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Any delay or difficulties in manufacturing lentiviral vector and/or clinical supply of INB-200, INB-100, INB-400 or any of our other current or future product candidates would adversely affect our business and operations. For additional details surrounding risks related to our manufacturing process, see the risks highlighted in “Risks Related to Manufacturing and our Dependence on Third Parties,” including “— </w:t>
      </w:r>
      <w:r>
        <w:rPr>
          <w:rFonts w:ascii="Times New Roman" w:hAnsi="Times New Roman"/>
          <w:b w:val="false"/>
          <w:i/>
          <w:color w:val="000000"/>
          <w:sz w:val="20"/>
        </w:rPr>
        <w:t>Our manufacturing process is complex and we may encounter difficulties in production, which would delay or prevent our ability to provide a sufficient supply of our product candidates for future clinical trials or commercialization, if approved.</w:t>
      </w:r>
      <w:r>
        <w:rPr>
          <w:rFonts w:ascii="Times New Roman" w:hAnsi="Times New Roman"/>
          <w:color w:val="000000"/>
          <w:sz w:val="2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Advancing product candidates utilizing such novel approaches to immunotherapy creates significant challenges for us, including,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manufacturing our product candidate to our specifications and in a timely manner to support our clinical trials, and, if approved, commercialization;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sourcing clinical and, if approved, commercial supplies for the raw materials used to manufacture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understanding and addressing variability in the quality of a donor’s T cells, which could ultimately affect our ability to produce our product candidates in a reliable and consistent manner;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conditioning patients with chemotherapy or other lymphodepletion agents in advance of administering our product candidates, which may increase the risk of adverse side effects;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educating medical personnel regarding how to properly administer our cells and the potential side effect profile of our product candidates, such as cytokine release syndrome, neurotoxicity, graft versus host disease, prolonged cytopenia, infections, hygromas and neutropenic sepsis,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enrolling sufficient numbers of patients in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training a sufficient number of technicians in how to properly manufacture our cells;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developing a reliable, safe, effective and cost-effective means of consistently expanding and manufacturing our cells;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understanding and addressing variability in demand for manufacturing and its impact on capacity utilization of available infrastructure and costs;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developing a reliable, safe and effective means of genetically modifying our cells;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submitting applications for and obtaining regulatory approval, as the FDA and other regulatory authorities have limited experience with commercial development of immunotherapies for cancer and viral associated infectious diseases;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establishing sales and marketing capabilities, as well as developing a manufacturing process and distribution network to support the commercialization of any approved products.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must be able to overcome these challenges in order for us to successfully develop, commercialize and manufacture our product candidates utilizing our novel approaches to gamma-delta T cell therapies.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clinical and commercial utility of our DeltEx platform is uncertain and may never be realized. Additionally, certain aspects of the function and production of gamma-delta T cells are poorly understood or currently unknown, and may only become known through further preclinical and clinical testing.</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To date, gamma-delta T cells have only been evaluated in early clinical trials. These clinical trials were primarily designed to evaluate safety and tolerability, and not designed to produce statistically significant results as to efficacy. Most of the data to date regarding gamma-delta T cells were derived from clinical trials not conducted by us, including physician-sponsored clinical trials, and utilizing gamma-delta T cells not manufactured by us. We currently have two ongoing clinical trials to evaluate gamma-delta T cells in investigator-sponsored clinical trials, which have enrolled and dosed only a limited number of patients to date. Success in early clinical trials does not ensure that large-scale clinical trials will be successful, nor does it predict final results. Even after the completion of our ongoing Phase 1 clinical trials, our gamma-delta T cell product candidates will have only been tested in a small number of patients. Results from these clinical trials may not necessarily be indicative of the safety and tolerability or efficacy of our product candidates as we expand into larger clinical trials.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may not ultimately be able to provide the FDA with substantial clinical evidence to support a claim of safety, efficacy, equivalency, purity and potency sufficient to enable the FDA to approve our DeltEx platform product candidates for any indication. This may be because early clinical trials do not meet their endpoints, because later clinical trials fail to reproduce favorable data obtained in earlier clinical trials, because the results of such trials are not statistically significant, because the FDA disagrees with how we interpret the data from these clinical trials, or because the FDA does not accept these therapeutic effects as valid endpoints in pivotal clinical trials necessary for market approval. For example, we are developing INB-100 for the treatment of patients undergoing hematopoietic stem cell transplantation for the treatment of hematological malignancies, and our manufacturing process is predominantly based on cells received from healthy haploidentical related donors with at least half of the major human leukocyte antigen, or HLA, types matched. Our clinical development plan for INB-100 will seek to determine the safety of HLA mismatched, donor-derived gamma-delta T cells and establish the risk of graft versus host disease, or GvHD, if any. While mismatched gamma-delta T cells are not known to initiate GvHD, we have observed grade 1 and/or 2 GvHD in all patients treated with INB-100 to date. We will also seek to better understand the persistence of mismatched gamma-delta T cells and their potential impact on immune reconstitution, clinical activity and duration of response. While we have observed grade 1/2 GvHD that has been responsive to steroids treatment, we believe that a high degree of HLA matching will not be required to prevent or reduce the risks of GvHD or for clinically meaningful activity and durability of response, if it becomes apparent through preclinical testing or clinical trials that such matching is required, an allogeneic or an “off-the-shelf” product may not be attainable, which would prevent the further advancement of our INB-100 allogeneic product candidate and adversely affect our business and current development plans. We will also need to demonstrate that our DeltEx platform product candidates are safe. We do not have data on possible harmful long-term effects of our DeltEx platform product candidates and do not expect to have this data in the near future. As a result, our ability to generate clinical safety and efficacy data sufficient to support submission of a marketing application or commercialization of our DeltEx platform product candidates is uncertain and is subject to significant risk.</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Moreover, actual or perceived safety issues, including adoption of new therapeutics or novel approaches to treatment, may adversely influence the willingness of subjects to participate in clinical trials, or if approved by applicable regulatory authorities, of physicians to subscribe to the novel treatment mechanics. The FDA or other applicable regulatory authorities may impose specific post-market requirements, such as establishment of a Risk Evaluation and Mitigation Strategy, or REMS, and request additional information informing benefits or risks of our products may emerge at any time prior to or after regulatory approval.</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Physicians, hospitals and third-party payors are often slow to adopt new products, technologies and treatment practices that require additional upfront costs and training. Based on these and other factors, hospitals and payors may decide that the benefits of this new therapy do not or will not outweigh its costs.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Clinical product candidate development involves a lengthy and expensive process with uncertain outcomes. We may incur additional costs and encounter substantial delays or difficulties in our clinical trials.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may not commercialize, market, promote or sell any product candidate without obtaining marketing approval from the FDA or other comparable regulatory authority, and we may never receive such approvals. It is impossible to predict when or if any of our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product candidates will prove effective or safe in humans and will receive regulatory approval. Before obtaining marketing approval from regulatory authorities for the sale of our product candidates, we must complete preclinical development and then conduct extensive clinical trials to demonstrate the safety and efficacy of our product candidates in humans. Clinical testing is expensive, is difficult to design and implement, can take many years to complete and is uncertain as to outcome.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 failure of one or more clinical trials can occur at any stage of testing.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Additionally, our ongoing Phase 1 trials for INB-200, INB-100 and INB-400 involve studying a relatively small patient population, which makes it difficult to predict whether the favorable results observed in such clinical trial will be repeated in larger and more advanced clinical trials.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may experience numerous unforeseen events prior to, during, or as a result of, clinical trials that could delay or prevent our ability to receive marketing approval or commercialize our product candidates, including the following (among other unforeseen events included in this “—Risks Related to the Development of our Product Candidates” subsection):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delays in reaching a consensus with regulatory authorities on the design, location or implementation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delays or setbacks in patient enrollment;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clinical trials of our product candidates may produce negative or inconclusive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number of patients required for clinical trials for our product candidates may be larger than we anticipate, enrollment in these clinical trials may be slower than we anticipate or may be lower than we anticipate due to challenges in recruiting and enrolling suitable patients that meet the study criteria, participants may drop out of these clinical trials at a higher rate than we anticipate or the duration of these clinical trials may be longer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impact of future public health crises, which may slow potential enrollment, impact hospital clinical and/or administrative support staff, reduce the number of eligible patients for clinical trials, or reduce the number of patients that remain in our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imposition of a clinical hold by regulatory authorities as a result of, among other reasons, a serious adverse event, a failure in the chemistry manufacturing and controls requirements, or a failed inspection of our clinical trial operations, trial sites or manufacturing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occurrence of serious adverse events associated with the product candidate that are viewed to outweigh its potential benefits;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need to conduct additional clinical trials or abandon product development programs.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Any inability to successfully complete preclinical and clinical development could result in additional costs to us or impair our ability to generate revenue from future product sales or other sources.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competing products to market before we do, which could impair our ability to successfully commercialize our product candidates and may harm our business, financial condition, results of operations and prospects.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addition, the clinical trial requirements of the FDA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Regulatory agencies administering existing or future regulations or legislation may not allow production and marketing of products utilizing gene regulation technology in a timely manner or under technically or commercially feasible conditions. Regulatory action or private litigation could result in expenses, delays or other impediments to our research programs or the commercialization of resulting products.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Further, if the results of our clinical trials are inconclusive or if there are safety concerns or serious adverse events associated with our product candidates, we may be delayed in obtaining marketing approval, or not obtain marketing approval at all, obtain approval with labeling that includes significant use or distribution restrictions or safety warnings, and/or have regulatory authorities withdraw or suspend their approval or impose restrictions on distribution in the form of a modified risk evaluation and mitigation strategy, or REMS, among other results. We could also encounter delays if physicians encounter unresolved ethical issues associated with enrolling patients in clinical trials of our product candidates in lieu of prescribing existing treatments that have established safety and efficacy profiles.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Additionally, the FDA or an independent institutional review board, or IRB, may also suspend our clinical trials at any time if it appears that we or our collaborators are failing to conduct a trial in accordance with regulatory requirements, including the FDA’s current Good Clinical Practice, or GCP, regulations, that we are exposing participants to unacceptable health risks, or if the FDA finds deficiencies in our investigational new drug applications, or INDs, or the conduct of these trials. Therefore, we cannot predict with any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certainty the schedule for commencement and completion of future clinical trials. 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Development of a product candidate intended for use in combination with an already approved therapy may present increased complexity and more or different challenges than development of a product candidate for use as a single agent or monotherapy.</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are developing certain of our product candidates, including INB-200 and INB-400, to be used in combination with approved therapies, such as chemotherapy, which may present additional challenges. For example, the FDA may require us to use more complex clinical trial designs, to evaluate the contribution of each product and product candidate to any observed effects. It is possible that the results of these trials could show that most or any positive results are attributable to the already approved product. Moreover, following product approval, the FDA may require that products used in conjunction with each other be cross-labeled. To the extent that we do not have rights to already approved products, this may require us to work with another company to satisfy such a requirement. Moreover, developments related to the already approved therapies may impact our clinical trials for the combination as well as our commercial prospects should we receive marketing approval. Such developments may include changes to the approved therapy’s safety or efficacy profile, changes to the availability of the approved therapy, and changes to the standard of care.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encounter difficulties in enrolling patients in our clinical trials, our clinical development activities could be delayed or otherwise adversely affected.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timely completion of clinical trials in part depends on patient enrollment, and as such identifying and qualifying patients to participate in our clinical trials is critical to our success. We may encounter difficulties in enrolling a sufficient number of eligible patients to participate in our clinical trials, thereby delaying or preventing development and approval of our product candidates. Even once enrolled, we may be unable to retain a sufficient number of patients to complete any of our trials. Because our focus includes rare disorders, there are limited patient pools from which to draw in order to complete our clinical trials in a timely and cost-effective manner. Additionally, some of the initial indications for which we are developing our current product candidates, including glioblastoma, primarily affect an elderly population over the age of 65, who might suffer from other age-related and unknown and/or pre-existing ailments or health concerns. If any such patient enrolled in our smaller-scale Phase 1 trials has to drop out due to pre-existing health issues or due to a serious adverse effect, or otherwise dies, and we are not able to recruit additional patients in a timely manner, or at all, our clinical trials could be delayed or otherwise halted. As such, despite diligent planning of our clinical trials and analysis of their feasibility regarding patient recruitment, we may experience difficulties, delays or inability in patient enrollment in our clinical trials for a variety of reasons,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size and nature of the patient population;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severity and incidence of the disease under investigation;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design of the trial and the complexity for patients and clinical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general health condition of the patient and their gamma-delta T cells and immune cells broadly;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risk that patients’ general health conditions do not allow the conduct of study/screening procedures (such as leukapheresis) the manufacture of therapeutic product or application of the appropriate standard-of-care treatment or application of the Stupp regimen;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ability to consistently manufacture gamma-delta T cell product candidates in sufficient quantities at sufficient activity and/or transduction efficiency to provide a suitable therapeutic dose of gamma-delta T cells;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competing clinical trials for similar therapies, other new therapeutics, new combination treatments, new medicinal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clinicians’ and patients’ perceptions as to the potential advantages and side effects of the product candidate being studied in relation to other available therapies, including any new drugs or treatments that may be approved or become standard of care for the indications we are investigating;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ability to obtain and maintain patient consents due to various reasons, including but not limited to, patients’ unwillingness to participate due to public health crises;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risk that enrolled subjects will drop out, develop complications or die before completion of the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ability to develop and provide appropriate screening, product characterization and release assays;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patients failing to complete a clinical trial or returning for post-treatment follow-up;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manufacture the requisite materials for a patient and clinical trial; and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inability of clinical sites to enroll patients as health care capacities are required to cope with natural disasters, epidemics or other health system emergencies.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efforts to build relationships with patient communities may not succeed, which could result in delays in patient enrollment in our clinical trials. Any negative results we may report in clinical trials of our product candidates may make it difficult or impossible to recruit and retain patients in other clinical trials of that same product candidate. Delays or failures in planned patient enrollment or retention may result in increased costs, program delays or both, which could have a harmful effect on our ability to develop our product candidates or could render further development impossible. In addition, we may rely on clinical research organizations, or CROs, and clinical trial sites to ensure proper and timely conduct of our future clinical trials and, while we intend to enter into agreements governing their services, we will be limited in our ability to ensure their actual performance.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During the conduct of clinical trials, patients report changes in their health, including illnesses, injuries and discomforts, to their doctor. Often, it is not possible to determine whether or not the product candidate being studied caused these conditions. Regulatory authorities may draw different conclusions or require additional testing to confirm these determinations, if they occur. Many times, side effects are only detectable after investigational drugs are tested in large-scale pivotal trials or, in some cases, after they are made available to patients on a commercial scale after approval. If additional clinical experience indicates that any of our product candidates have side effects or cause serious or life-threatening side effects, the development of the product candidate may fail or be delayed, or, if the product candidate has received regulatory approval, such approval may be revoked, which would harm our business, prospects, operating results and financial condition.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Undesirable side effects caused by our product candidates, implanted devices, delivery methods or dosage levels could cause us or regulatory authorities to interrupt, delay or halt clinical trials and could result in a more restrictive label or the delay or denial of regulatory approval by the FDA or other comparable foreign regulatory authority. As a result of safety or toxicity issues that we may experience in our clinical trials, we may be placed on clinical hold and not receive approval to market any product candidates, which could prevent us from ever generating revenues or achieving profitability. Results of our trials could reveal an unacceptably high severity and incidence of side effects, or side effects outweighing the benefits of our product candidates. In such an event, our studies could be delayed,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subjects to complete the trial or result in potential product liability claims.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To date, we have only tested INB-200 and INB-100 in a limited number of patients with cancer and these clinical trial participants have only been observed for a limited period of time after dosing at a single site. To date, our clinical trials have been run at academic/tertiary care centers. As we continue developing our lead product candidates and initiate multi-center clinical trials of our product candidates, including potentially at community hospitals, SAEs, undesirable or potentially fatal side effects, cytokine release syndrome, viral or bacterial infections,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 Should we observe SAEs in our clinical trials or identify undesirable side effects or other unexpected findings, our trials could be delayed or even terminated, and our development programs may be halted entirely.</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seek breakthrough therapy or Fast Track designations and may pursue accelerated approval for some or all of our current product candidates, but we may be unable to obtain such designations or, where obtained, we may be unable to maintain breakthrough therapy designation or obtain or maintain the benefits associated with such designations.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may seek breakthrough therapy or Fast Track designations and may pursue accelerated approval for INB-100, INB-200, INB-400 and some or all of our other and future product candidates. Breakthrough therapy designation is 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intensive guidance on an efficient drug development program, beginning as early as Phase 1, organizational commitment involving senior managers; and eligibility for rolling review and priority review. Breakthrough therapy designation does not change the standards for product approval. There can be no assurance that we will receive breakthrough therapy designation for any product candidate or any particular indication.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may also seek Fast Track designation. If a drug or biologic candidate is intended for the treatment of a serious or life-threatening condition or disease and the drug demonstrates the potential to address unmet medical needs for the condition, the sponsor may apply for Fast Track designation. Even if we do apply for and receive Fast Track designation, we may not experience a faster development, review or approval process compared to conventional FDA procedures. The FDA may rescind Fast Track designation if it believes that the designation is no longer supported by data from our clinical development program.</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Additionally, we may also seek accelerated approval under the FDA’s accelerated approval programs. The FDA may approve a drug or biologic for a serious or life-threatening disease or condition that generally provides meaningful advantages over available treatments and demonstrates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Seeking and obtaining these designations is dependent upon results of our clinical program, and we cannot guarantee whether and when we may have the data from our clinical programs to support an application to obtain any such designation. The FDA and comparable foreign regulatory agencies have broad discretion whether or not to grant any of these or similar designations, so even if we believe a particular product candidate is eligible for one or more of these designations, we cannot assure you that the applicable regulatory authority would decide to grant it. Even if we do receive the designations we may apply for, we may not experience a faster development process, review or approval compared to conventional procedures, as applicable. The FDA or other regulatory agencies may also rescind any granted designations if it believes that the designation is no longer supported by data from our clinical development program.</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sought and may continue to seek orphan drug designation for some or all of our current or future product candidates, we may be unsuccessful or may be unable to maintain the benefits associated with orphan drug designation, including the potential for supplemental market exclusivity.</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have sought and may continue to seek orphan drug designation for one or more of our current or future product candidates. Under the Orphan Drug Act, the FDA may grant orphan designation to a drug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As previously announced, we received such orphan drug designation for both INB-400 autologous and allogeneic products for malignant gliomas in April 2023. In the United States, orphan drug designation entitles a party to financial incentives such as opportunities for grant funding towards clinical trial costs, tax advantages and user-fee waivers. After the FDA grants orphan drug designation, the identity of the biologic and its potential orphan use are disclosed publicly by the FDA. Orphan drug designation does not convey any advantage in, or shorten the duration of, the regulatory review and approval process.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If a product that has orphan drug designation subsequently receives the first FDA approval for the particular active ingredient in the product treating the disease for which it has such orphan drug designation, that product is entitled to orphan product exclusivity. This means that the FDA may not approve any other applications, including a BLA, to market the same product for the same indication for seven years. However, that exclusivity may be nullified in limited circumstances in which another product shows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exclusivity, the FDA can still approve other products that have a different active ingredient for use in treating the same indication or disease. Further, the FDA can waive orphan exclusivity if we are unable to manufacture sufficient supply of our product.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may seek orphan drug designation for INB-100 and some or all of our other or future product candidates in additional orphan indications in which there is a medically plausible basis for the use of these product candidates. Even when we obtain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intend to seek orphan drug designation for other product candidates, we may never receive these designations. For example, the FDA has expressed concerns regarding the regulatory considerations for orphan drug designation as applied to tissue agnostic therapies, and the FDA may interpret the Federal Food, Drug and Cosmetic Act, and regulations promulgated thereunder, in a way that limits or blocks our ability to obtain orphan drug designation or orphan drug exclusivity, if our product candidates are approved, for our targeted indications.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be able to identify or discover other product candidates and may fail to capitalize on programs or product candidates that may present a greater commercial opportunity or for which there is a greater likelihood of success.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efforts to identify and develop, additional product candidates will require substantial technical, financial and human resources, whether or not any product candidates are ultimately identified. We may also broaden the reach of our DeltEx platform by selectively in-licensing technologies or product candidates. Our efforts may initially show promise in identifying potential product candidates, yet fail to yield product candidates for clinical development, approved products or commercial revenues for many reasons,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methodology used may not be successful in identifying potential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competitors may develop alternatives that render any product candidates we develop obsolete;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any product candidates we develop may be covered by third parties’ patents or other exclusive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 product candidate may demonstrate harmful side effects or other characteristics that indicate it is unlikely to be effective or otherwise does not meet applicable regulatory criteria;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 product candidate may not be capable of being produced in commercial quantities at an acceptable cost, or at all;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 product candidate may not be accepted as safe and effective by physicians, patients, the medical community or third-party payors.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have limited financial and management resources and, as a result, we may forego or delay pursuit of opportunities with other product candidates or other indications that later prove to have greater market potential. Our resource allocation decisions may cause us to fail to capitalize on viable commercial products, including attractive or profitable market opportunities. If we do not accurately evaluate the commercial potential or target market for a particular product candidate, we may relinquish valuable rights to that product candidate through collaboration, licensing or other royalty arrangements in circumstances under which it would have been more advantageous for us to retain sole development and commercialization rights to such product candidate. In addition, we may not be successful in replicating our approach to product candidate development for other disease indications. If we are unsuccessful in identifying and developing additional product candidates or are unable to do so, our business may be harmed.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Public opinion and scrutiny of cell-based immunotherapy and genetic modification approaches may impact public perception of our company and product candidates, or may adversely affect our ability to conduct our business and our business plans.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DeltEx platform utilizes a relatively novel technology involving the genetic modification of human cells and utilization of those modified cells in other individuals. Public perception may be influenced by negative claims about our DeltEx platform, or that of competitor’s products and/or programs such as claims that cell-based immunotherapy is unsafe, unethical, inefficacious, expensive or immoral and, consequently, our approach may not gain the acceptance of the public or the medical community. Negative public reaction to cell-based immunotherapy in general and a recent increase in patient deaths and clinical holds by other companies could result in greater government regulation and stricter labeling requirements of cell-based immunotherapy products, including any of our product candidates, and could cause a decrease in the demand for any products we may develop. Negative public attitudes may adversely impact our ability to enroll patients in clinical trials. Moreover, our success will depend upon physicians specializing in the treatment of those diseases that our product candidates target, and their patients being willing to receive, treatments that involve the use of our product candidates in lieu of, or in addition to, existing treatments they are already familiar with and for which greater clinical data may be available. More restrictive government regulations or negative public opinion could have an adverse effect on our business, ability to raise additional capital and/or financial condition and may delay or impair the development and commercialization of our product candidates or demand for any products we may develop. Adverse events in our clinical trials, even if not ultimately attributable to our product candidates,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face significant competition, and many of our competitors have substantially greater experience and resources than we have.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clinical and commercial landscape in the indications we are targeting, as well as in the field of immuno-oncology, is highly competitive. We may face potential competition with respect to our current product candidates and may face competition with respect to any other product candidates that we may seek to develop or commercialize in the future from pharmaceutical and biotechnology companies, academic institutions, government agencies and other public and private research institutions.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Many of our current or potential competitors have greater financial and other resources, larger research and development staffs, and more experienced capabilities in researching, developing and testing products than we do. Many of these companies also have more experience in conducting clinical trials, obtaining FDA and other regulatory approvals, and manufacturing, marketing and distributing therapeutic products. Smaller or clinical-stage companies like us may successfully compete by establishing collaborative relationships with larger pharmaceutical companies or academic institutions. Mergers and acquisitions in the pharmaceutical and biotechnology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cancer and other diseases, which could give such products significant regulatory and market timing advantages over any of our product candidates. In addition, large pharmaceutical companies or other companies with greater resources or experience than us may choose to forgo therapy opportunities that would have otherwise been complementary to our product development and collaboration plans. Our competitors may succeed in developing, obtaining patent protection for, or commercializing their products more rapidly than us, which could result in our competitors establishing a strong market position before we are able to enter the market. A competing company developing or acquiring rights to a more effective therapeutic product for the same diseases targeted by us, or one that offers significantly lower costs of treatment could render our products noncompetitive or obsolete. We may not be successful in marketing any product candidates we may develop against competitors.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expect the product candidates we develop will be regulated as biologics, and therefore they may be subject to competition sooner than anticipated.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Biologics Price Competition and Innovation Act of 2009, or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The law is complex and is still being interpreted and implemented by the FDA. As a result, its ultimate impact, implementation, and meaning are subject to uncertainty. While it is uncertain when processes intended to implement BPCIA may be fully adopted by the FDA, any of these processes could have a material adverse effect on the future commercial prospects for our biological products.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addition, the approval of a biologic product biosimilar to one of our products could have a material adverse impact on our business as it may be significantly less costly to bring to market and may be priced significantly lower than our products.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Manufacturing and Our Dependence on Third Parties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manufacturing process is complex, and we may encounter difficulties in production, which would delay or prevent our ability to provide a sufficient supply of our product candidates for future clinical trials or commercialization, if approved.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Some of our product candidates, including INB-200, INB-300 and INB-400, are genetically engineered human cells, and the process of manufacturing such product candidates, as well as the lentiviral vectors, is complex, highly regulated, variable and subject to numerous risks. Manufacturing our product candidates involves harvesting cells from a donor, isolating cells via leukapheresis, activating and expanding the gamma-delta T cells, cryopreservation, testing, storage and eventually shipment and infusion of the cell product into the patient’s body.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manufacturing process will be susceptible to product loss or failure, or product variation that may negatively impact patient outcomes, due to logistical issues associated with the collection of starting material from the donor, shipping such material to the manufacturing site, shipping the final product back to the recipient, preparing the product for administration, infusing the patient with the product, manufacturing issues or different product characteristics resulting from the inherent differences in donor starting materials, variations between reagent lots, interruptions in the manufacturing process, contamination, equipment or reagent failure, improper installation or operation of equipment and/or programs, vendor or operator error, inconsistency in cell growth and variability in product characteristics.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Even minor variations in starting reagents and materials, or deviations from normal manufacturing processes could result in reduced production yields, product defects, manufacturing failure and other supply disruptions. If, for any reason in our clinical trials, we lose the starting material for a manufactured product for one of our patients at any point in the process, or the expansion or transduction procedures in the manufacturing process should fail for any reason, such patient would no longer receive a dose of the therapy and may end participation in our clinical trial. For instance, operator errors impacting machine function, gas or airflow, or reagent addition can negatively impact the process. Manufacturing by a previously contracted facility has resulted in such operator errors; however, we identified these errors through our quality control procedures prior to patient administration.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We will be required to maintain a chain of identity with respect to materials as they move from the donor to the manufacturing facility, through the manufacturing process and back to the clinical trial recipient. Maintaining a chain of identity is difficult and complex, and failure to do so could result in adverse patient outcomes, loss of product or regulatory action, including withdrawal of our products from the market, if licensed. Any failure in the foregoing processes could render a batch of product unusable, could affect the regulatory approval of such product candidate, could cause us to incur fines or penalties or could harm our reputation and that of our product candidates.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may make changes to our manufacturing process for various reasons, such as to control costs, increase yield or dose, achieve commercial scale, decrease processing time, increase manufacturing success rate or for other reasons. We recently relocated clinical trial manufacturing for one of our clinical development programs to an academic GMP facility closer to our laboratory headquarters in Birmingham, Alabama to permit us contractual direct access as a means of preventing manufacturing errors. However, even with this contractual direct access and closer collaboration with the facility’s manufacturing staff, there can be no guarantee that manufacturing errors will not occur.</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Changes to our process made during the course of clinical development could require us to show the comparability of the product used in earlier clinical phases or at earlier portions of a trial to the product used in later clinical phases or later portions of the trial. Other changes to our manufacturing process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rely on third-party contractors or contract development manufacturing organization for the manufacturing of our product candidates, and failure by those parties to adequately perform their obligations could harm our business.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Although we endeavor to build a manufacturing facility in the future, we do not currently own any facility that may be used as our clinical or commercial-scale manufacturing and processing facility and expect that we will rely on outside vendors for at least a portion of the manufacturing of our cell therapy product candidates that we develop. For example, in September 2022, we announced a partnership with the Dunbar CAR T-Cell Program at the University of Louisville as the manufacturing center for our INB-400 clinical program. The facilities used by our partners and contract manufacturers must be submitted and disclosed to the FDA or other foreign regulatory agencies and may be selected for inspection or audit following the submission of an application to the FDA or other foreign regulatory agencies. To the extent that we engage third parties for manufacturing services, we will not control the manufacturing process of, and will be completely dependent on, our contract manufacturing partners for compliance with confidentiality agreements and the cGMP requirements for the manufacture of our product candidates. We have not yet had any product candidates to be manufactured or processed on a commercial scale and may not be able to do so. We will make changes as we work to optimize the manufacturing process, and we cannot be sure that even minor changes in the process will result in products that meet specifications are capable or safe and effective. If such contract manufacturers cannot successfully manufacture material that conforms to our specifications and the strict regulatory requirements of the FDA or others, we will not be able to secure and/or maintain regulatory approval for our product candidates. In addition, we have no control over the ability of third parties to maintain adequate quality control, quality assurance and qualified personnel. If the FDA or a comparable foreign regulatory authority does not agree that these facilities for the manufacture of our product candidates are acceptable or if it withdraws any such approval or acceptance in the future, we may need to find alternative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manufacturing facilities, which would significantly impact our ability to develop, obtain regulatory approval for or market our product candidates, if approved. Any significant delay in the supply of a product candidate, or the raw material components thereof, for an ongoing clinical trial due to the need to replace a third-party manufacturer could considerably delay completion of our clinical trials, product testing and potential regulatory approval of our product candidates.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Moreover, the process of manufacturing lentiviral vector and cell therapies is susceptible to product loss due to contamination, equipment failure or improper installation, maintenance or operation of equipment, or vendor or operator error. Even minor deviations from normal manufacturing and distribution processes for any of our product candidates could result in reduced production yields, increased costs, impact to key product quality attributes, and other supply disruptions. Such minor deviations did in fact occur in our previously contracted manufacturing facility due to operator error.</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Product defects can also occur unexpectedly. If microbial, viral or other contaminations are discovered in our product candidates, manufacturing reagents, raw materials, or in the manufacturing facilities in which our product candidates and/or their precursors are made, these manufacturing facilities may need to be closed for an extended period of time to allow us to investigate and remedy the contamination. Because some of our cell therapy product candidates are manufactured from the blood of third-party donors, the process of manufacturing is susceptible to the availability and variability of the third-party donor material. The process of developing products that can be commercialized may be particularly challenging, even if they otherwise prove to be safe and effective. The manufacture of these product candidates involves complex processes. Some of these processes require specialized equipment and highly skilled and trained personnel. The process of manufacturing these product candidates will be susceptible to additional risks, given the need to maintain aseptic conditions throughout the manufacturing process. Contamination with viruses or other pathogens in either the donor material or materials utilized in the manufacturing process or ingress of microbiological material at any point in the process may result in contaminated or unusable product and patients may not receive a dose. These types of contaminations could result in delays in the manufacture of products which could result in delays in the development of our product candidates. These contaminations could also increase the risk of adverse side effects. Furthermore, the selection and distribution of the appropriate cell product for therapeutic use in a patient requires close coordination between the manufacturing facility, clinical operations, supply chain and quality assurance personnel.</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also intend to rely on third-party manufacturers to supply us with additional quantities of our product candidates to be used, if approved, for commercialization. We do not yet have a commercial supply agreement for commercial quantities of product. If we are not able to meet market demand for any approved product, it would negatively impact our ability to generate revenue, harm our reputation, and could have an adverse effect on our business and financial condition.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Further, our reliance on third-party manufacturers entails risks to which we would not be subject if we manufactured product candidates ourselves,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inability to meet our product specifications and quality requirements consistently;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delay or inability to procure or expand sufficient manufacturing capacity;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issues related to scale-up of manufacturing;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costs and validation of new equipment and facilities required for scale-up;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third-party manufacturers may not be able to execute our manufacturing procedures and other logistical support requirements appropriately;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third-party manufacturers may fail to comply with cGMP requirements and other inspections by the FDA or other comparable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inability to negotiate manufacturing agreements with third parties under commercially reasonable terms,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breach, termination or nonrenewal of manufacturing agreements with third parties in a manner or at a time that is costly or damaging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reliance on single sources for reagents and components;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lack of qualified backup suppliers for those components that are currently purchased from a sole or single-source supplier;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third-party manufacturers may not devote sufficient resources to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may not own, or may have to share, the intellectual property rights to any improvements made by our third-party manufacturers in the manufacturing process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operations of our third-party manufacturers or suppliers could be disrupted by conditions unrelated to our business or operations, including the bankruptcy of the manufacturer or supplier;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carrier disruptions or increased costs that are beyond our control.</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addition, if we enter into a strategic collaboration with a third party for the commercialization of our current or any future product candidates, we will not be able to control the amount of time or resources that they devote to such efforts. If any strategic collaborator does not commit adequate resources to the marketing and distribution of our current or any future product candidates, it could limit our potential revenues.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Any adverse developments affecting manufacturing operations for our product candidates may result in lot failures, inventory shortages, shipment delays, product withdrawals or recalls or other interruptions in the supply of our drug product which could prevent the administration to patients and delay the development of our product candidates. We may also have to write off inventory, incur other charges and expenses for supply of drug product that fails to meet specifications, undertake costly remediation efforts, or seek more costly manufacturing alternatives.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Any of these events could lead to clinical trial delays or failure to obtain regulatory approval or impact our ability to successfully commercialize our current or any future product candidates once approved. Some of these events could be the basis for FDA action, including injunction, request for recall, seizure, or total or partial suspension of production.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currently store our gamma-delta T cells and biologic correlative and research specimens from clinical trials and development programs and clinical lentivectors at our research and development facilities and at the facilities of our clinical and/or manufacturing partners, and any damage or loss to our storage freezers and/or facilities from natural disasters or otherwise would cause delays in replacement, and our business could suffer.</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Specimens are stored in our freezers at our research and development facilities. If these cells are damaged, including by the loss or malfunction of our freezers or our back-up power systems, as well as by damage from fire or other natural disasters, our development program could be delayed or terminated and our business could suffer. Loss of a significant supply would require manufacturing of additional vector which could cause us to incur significant additional expenses and liability.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currently dependent on a single third-party supplier for manufacture of our automated manufacturing device and our lentiviral vectors. These are critical products required for the manufacturing of our product candidates, including INB-100, INB-200 and INB-400. Any damage or loss to the ability of our suppliers to deliver supplies in a timely manner could cause delays in manufacturing, and our clinical trials and our business could suffer.</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gamma-delta T cell products for INB-100, INB-200 and INB-400 are manufactured in a programmable, cell-manufacturing, closed system device. We have multiple devices, including backup devices in all facilities if the primary instrument breaks, however, if the devices are damaged and cannot be repaired or the supplier cannot deliver new devices in a timely manner, or at all, our ability to manufacture and supply sufficient quantities of our products for clinical or commercial usage could be delayed, or potentially hindered. In addition, there is currently a significant backlog for lentiviral vector manufacturing due to increased demand. Our current supply of vectors will cover approximately 200 patients after an additional large manufacturing run was completed in the first half of 2023. If our third-party contractor is unable to provide adequate lentiviral vectors in a timely manner, our ability to manufacture and supply sufficient quantities of our product candidates for clinical or commercial usage will be delayed or hindered, and our business could suffer.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rely on third-party healthcare professionals to administer gamma-delta T cells to patients, and our business could be harmed if these third parties administer these cells incorrectly.</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rely on the expertise of physicians, nurses and other associated medical personnel to administer gamma-delta T cells to clinical trial patients. If these medical personnel are not properly trained to administer, or do not properly administer, gamma-delta T cells, the therapeutic effect of gamma-delta T cells may be diminished or the patient may suffer injury.</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addition, if we achieve the ability to freeze and thaw our gamma-delta T cells, third-party medical personnel will have to be trained on proper methodology for thawing gamma-delta T cells received from us. If this thawing is not performed correctly, the cells may become damaged and/or the patient may suffer injury. While we intend to provide training materials and other resources to these third-party medical personnel, the thawing of gamma-delta T cells will occur outside our supervision and may not be administered properly. If, due to a third-party error, people believe that gamma-delta T cells are ineffective or harmful, the desire to use gamma-delta T cells may decline, which would negatively impact our business, reputation and prospects. We may also face significant liability even though we may not be responsible for the actions of these third parties.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believe we may require an updated and validated protocol for commercial-scale expansion and manufacturing of gamma-delta T cells for conducting pivotal trials and for commercialization of our product candidates, if approved.</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Future clinical trials that we conduct, as well as any potential commercialization of our product candidates when approved, will depend on the reliability, safety and efficacy of our protocols for expanding, transducing and manufacturing gamma-delta T cells at scale. Our efforts to scale up production of our gamma-delta T cells in anticipation of future clinical trials or commercialization may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reveal, an inability to overcome biology or may otherwise encounter challenges, including scrutiny from regulatory authorities. To the extent we encounter any such difficulties, our ability to conduct additional clinical trials or to scale for commercialization will be hindered or prevented, which would have an adverse effect on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not yet developed commercial-scale infrastructure for freezing and thawing large quantities of gamma-delta T cells, which we believe will be required for the storage and distribution of our gamma-delta T cell product candidates at commercial scale.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have not demonstrated that gamma-delta T cells can be frozen and thawed in large commercial-scale quantities without damage, in a cost-efficient manner and without degradation over long periods of time. We may encounter difficulties not only in developing freezing and thawing, but also in obtaining the necessary regulatory approvals for using such in treatment. If we cannot adequately demonstrate similarity of our frozen product to the unfrozen form to the satisfaction of the FDA, we could face substantial delays in our regulatory approvals. If we are unable to freeze gamma-delta T cells for shipping purposes, our ability to promote adoption and standardization of our products, as well as achieve economies of scale by centralizing our production facility, will be limited. Even if we are able to successfully freeze and thaw gamma-delta T cells in large quantities, we will still need to develop a cost-effective and reliable distribution and logistics network, which we may be unable to accomplish. For these and other reasons, we may not be able to commercialize gamma-delta T cells on a large scale or in a cost-effective manner.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business involves the use of hazardous materials and we and our third-party manufacturers and suppliers must comply with environmental, health and safety laws and regulations, which can be expensive and restrict or interrupt our business.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research and development activities and our third-party manufacturers’ and suppliers’ activities involve the generation, storage, use and disposal of hazardous materials, including the components of our product candidates, such as genetically modified cells, and other hazardous compounds and wastes. We and our manufacturers and suppliers are subject to environmental, health and safety laws and regulations governing, among other matters, the use, manufacture, generation, storage, handling, transportation, discharge and disposal of these hazardous materials and wastes and worker health and safety. In some cases, these hazardous materials and various wastes resulting from their use are stored at our and our manufacturers’ facilities pending their use and disposal. We cannot eliminate the risk of contamination or injury, which could result in an interruption of our commercialization efforts, research and development efforts and business operations, damages and significant cleanup costs and liabilities under applicable environmental, health and safety laws and regulations. We also cannot guarantee that the safety procedures utilized by our third-party manufacturers for handling and disposing of these materials and wastes generally comply with the standards prescribed by these laws and regulations. We may be held liable for any resulting damages costs or liabilities, which could exceed our resources, and state or federal or other applicable authorities may curtail our use of certain materials and/or interrupt our business operations. Furthermore, environmental, health and safety laws and regulations are complex, change frequently and have tended to become more stringent. We cannot predict the impact of such changes and cannot be certain of our future compliance. Failure to comply with these environmental, health and safety laws and regulations may result in substantial fines, penalties or other sanctions. We do not currently carry hazardous waste insurance coverage.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intend to partner with third parties, such as academic institutions and CROs, to conduct, supervise and monitor some of our preclinical studies and clinical trials, and if those third parties perform in an unsatisfactory manner, it may harm our business and delay or impair our ability to obtain regulatory approval or otherwise commercialize our product candidates.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Although we are conducting our current Phase 1 clinical trials through our direct contractual agreements with hospitals, we intend to rely on CROs and clinical trial sites to conduct our future preclinical studies and clinical trials, and we expect to have limited influence over their actual performance. We intend to rely upon CROs to monitor and manage data for our clinical programs, as well as the execution of future preclinical studies. We expect to control only certain aspects of the activities of our third-party service providers, including investigators and CROs. Nevertheless, we will be responsible for ensuring that each of our preclinical studies and clinical trials is conducted in accordance with the applicable protocol, legal, regulatory and scientific standards, and our reliance on third parties does not relieve us of our regulatory responsibilities.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are, and our future CROs will be, required to comply with the good laboratory practices, or GLPs, and GCPs, which are regulations and guidelines enforced by the FDA and comparable foreign regulatory authorities in the form of International Council for Harmonization guidelines for any of our product candidates that are in preclinical and clinical development. The regulatory authorities enforce GCPs through periodic inspections of trial sponsors, principal investigators and clinical trial sites. Although we rely on CROs to conduct GCP-compliant clinical trials, we remain responsible for ensuring that each of our GLP preclinical studies and clinical trials is conducted in accordance with its investigational plan and protocol and applicable laws and regulations. If we or our future CROs fail to comply with GCPs, the clinical data generated in our clinical trials may be deemed unreliable, and the FDA or comparable foreign regulatory authorities may require us to perform additional clinical trials before approving our marketing applications. Accordingly, if CROs fail to comply with these regulations or fail to recruit a sufficient number of subjects, we may be required to repeat clinical trials, which would delay the regulatory approval process.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reliance on third parties to conduct clinical trials will result in less direct control over the management of data developed through clinical trials than would be the case if we were relying entirely upon our own staff. Communicating with CROs and other third parties can be challenging, potentially leading to mistakes as well as difficulties in coordinating activities. Such parties may: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have staffing difficulties;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fail to comply with contractual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experience regulatory compliance issues;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undergo changes in priorities or become financially distressed.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These factors may adversely affect the willingness or ability of third parties to conduct our clinical trials and may subject us to unexpected cost increases that are beyond our control. If our future CROs, or hospitals where we conduct our clinical trials, do not successfully carry out their contractual duties or obligations with us or regulatory agencies, fail to meet necessary safety measures and protocols, fail to meet expected deadlines, or fail to comply with regulatory and/or IRB requirements,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any product candidate that we develop. As a result, our financial results and the commercial prospects for any product candidate that we develop would be harmed, our costs could increase, and our ability to generate revenue could be delayed. While we will have agreements governing their activities, our CROs will not be our employees, and we will not control whether or not they devote sufficient time and resources to our future clinical and preclinical programs. These CROs may also have relationships with other commercial entities, including our competitors, for whom they may also be conducting clinical trials, or other drug development activities which could harm our business. We face the risk of potential unauthorized disclosure or misappropriation of our intellectual property by CROs, which may reduce our trade secret protection and allow our potential competitors to access and exploit our proprietary technology.</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Additionally, the FDA or other regulatory authorities may disagree with the sufficiency of our right of reference to the preclinical, manufacturing or clinical data generated by investigator-initiated trials or our interpretation of preclinical, manufacturing or clinical data from these investigator-initiated trials. If so, regulatory authorities may require us to obtain and submit additional preclinical, manufacturing or clinical data before we may initiate further clinical trials and/or obtain any regulatory approvals.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If our relationships with any CROs or hospitals where we conduct our current clinical trials terminate, we may not be able to enter into arrangements with alternative CROs and other third parties or do so on commercially reasonable terms. Switching or adding additional CROs involves substantial cost and requires management time and focus. In addition, there is a natural transition period when a new CRO commences work. As a result, delays occur, which can negatively impact our ability to meet our desired clinical development timelines. While we intend to carefully manage our relationships with our CROs, there can be no assurance that we will not encounter challenges or delays in the future or that these delays or challenges will not have a negative impact on our business, financial condition and prospects.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our product candidates.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employees, principal investigators, consultants and commercial partners may engage in misconduct or other improper activities, including noncompliance with regulatory standards and requirements and insider trading.</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are exposed to the risk of fraud or other misconduct by our employees, collaborators, principal investigators, consultants, commercial partners and outside actors.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instituted against us and we are not successful in defending ourselves or asserting our rights, those actions could result in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Disruptions at the FDA and other government agencies caused by funding shortages or global health concerns could hinder their ability to hire, retain or deploy key leadership and other personnel, or otherwise prevent new or modified products from being advanced, developed, cleared or approved or commercialized in a timely manner or at all, which could negatively impact our business.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ability of the FDA to review and approve new products or regulatory submissions can be affected by a variety of factors, including government budget and funding levels, statutory, regulatory, and policy changes, the FDA’s ability to hire and retain key personnel and accept the payment of user fees, and other events, such as public health crises,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cleared or approved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For example, in response to the COVID-19 pandemic, the FDA temporarily postponed routine surveillance inspections of manufacturing facilities. The FDA has since resumed certain on-site inspections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have adopted similar restrictions or other policy measures in the past.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Licensing of intellectual property is of critical importance to our business and involves complex legal, business and scientific issues. If we breach our license agreements with the University of Alabama at Birmingham Research Foundation, Children’s Healthcare of Atlanta, Inc. and Emory University, or any of the other agreements under which we acquired, or will acquire, the intellectual property rights to our product candidates, we could lose the ability to continue the development and commercialization of the related product.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licensing of intellectual property is of critical importance to our business and to our current and future product candidates, and we expect to enter into additional such agreements in the future. In particular, our current product candidates INB-200, INB-400 and INB-100 are dependent on our license agreements with The UAB Research Foundation, or UABRF, Children’s Healthcare of Atlanta, Inc., or CHOA, and Emory University, or Emory and, together with UABRF and CHOA, the Licensors, pursuant to which we have obtained exclusive worldwide licenses under certain immunotherapy related patents and know-how that are critically important for these product candidates.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Although we have been granted exclusive licenses under the UABRF, CHOA and Emory license agreements, we do not have the right to control the preparation, filing, prosecution and maintenance of patents and patent applications covering the technology that we license from UABRF and Emory. Therefore, we cannot always be certain that these patents and patent applications will be prepared, filed, prosecuted and maintained in a manner consistent with the best interests of our business. Although we have a right to have our comments considered in connection with the prosecution process, if the Licensors fail to prosecute and maintain such patents, or loses rights to those patents or patent applications as a result of its control of the prosecution activities, the rights we have licensed may be reduced or eliminated, and our right to develop and commercialize any of our product candidates that are the subject of such licensed rights could be adversely affected.</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If we fail to meet our obligations under the UABRF, CHOA or Emory license agreements in any material respect, and fail to cure such breach in a timely fashion, then the Licensors may terminate their applicable license agreement. If the license agreements are terminated, and we lose our intellectual property rights thereunder, this may result in a complete termination of our product development and any commercialization efforts for INB-100, INB-200, INB-300, and INB-400. While we would expect to exercise all rights and remedies available to us, including seeking to cure any breach by us, and otherwise seek to preserve our rights under the license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agreements, we may not be able to do so in a timely manner, at an acceptable cost or at all. For more information on the UABRF, CHOA and Emory license agreements, see Note 9 in our condensed financial statements contained elsewhere in this Quarterly Report.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Furthermore, license agreements we enter into in the future may not provide exclusive rights to use intellectual property and technology in all relevant fields of use and in all territories in which we may wish to develop or commercialize our technology and products. As a result, we may not be able to prevent competitors from developing and commercializing competitive products in territories included in all of our licenses.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addition, the research resulting in certain of our in-licensed patent rights was funded in part by the U.S. federal or state governments. As a result, the government may have certain rights, including march-in rights, to such patent rights.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are unable to obtain and maintain patent protection for our product candidates and technology, or if the scope of the patent protection obtained is not sufficiently broad or robust, our competitors could develop and commercialize products and technology similar or identical to ours, and our ability to successfully commercialize our product candidates and technology may be adversely affected.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success depends, in large part, on our ability to obtain and maintain patent protection in the United States and other countries with respect to our product candidates and our technology. We and our licensors have sought, and intend to seek, to protect our proprietary position by filing patent applications in the United States and abroad related to our product candidates and our technology that are important to our business. As of September 30, 2023, we owned, co-owned or exclusively licensed three issued U.S. patents, five issued European patents, 11 other issued foreign patents, nine pending U.S. applications, one pending PCT application and 49 other foreign national-stage applications, including six European regional-phase applications that are important to the development of our business.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which protect our technology or product candidates or which effectively prevent others from commercializing competitive technologies and product candidates. Since patent applications in the United States and most other countries are confidential for a period of time after filing, and some remain so until issued, we cannot be certain that we or our licensors were the first to file a patent application relating to any particular aspect of a product candidate. As a result of these and other factors,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Moreover, we may be subject to a third-party pre-issuance submission of prior art or become involved in opposition, derivation, reexamination, </w:t>
      </w:r>
      <w:r>
        <w:rPr>
          <w:rFonts w:ascii="Times New Roman" w:hAnsi="Times New Roman"/>
          <w:b w:val="false"/>
          <w:i/>
          <w:color w:val="000000"/>
          <w:sz w:val="20"/>
        </w:rPr>
        <w:t>inter partes</w:t>
      </w:r>
      <w:r>
        <w:rPr>
          <w:rFonts w:ascii="Times New Roman" w:hAnsi="Times New Roman"/>
          <w:color w:val="000000"/>
          <w:sz w:val="20"/>
        </w:rPr>
        <w:t xml:space="preserve"> </w:t>
      </w:r>
      <w:r>
        <w:rPr>
          <w:rFonts w:ascii="Times New Roman" w:hAnsi="Times New Roman"/>
          <w:b w:val="false"/>
          <w:color w:val="000000"/>
          <w:sz w:val="20"/>
        </w:rPr>
        <w:t>review, post-grant review or interference proceedings challenging our patent rights or the patent rights of others.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before it is too late to obtain patent protection.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or our licensors have not pursued or maintained, and may not pursue or maintain in the future, patent protection for our product candidates in every country or territory in which we may sell our products, if approved. In addition, the laws of some foreign countries do not protect intellectual property rights to the same extent as federal and state laws in the United States. Consequently, we may not be able to prevent third parties from infringing our patents in all countries outside the United States, or from selling or importing products that infringe our patents in and into the United States or other jurisdictions.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Moreover, the coverage claimed in a patent application can be significantly reduced before the patent is issued, and its scope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issuance of a patent is not conclusive as to its inventorship, scope, validity or enforceability, and our patents may be challenged in the courts or patent offices in the United States and abroad.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Furthermore, our owned and in-licensed patents may be subject to a reservation of rights by one or more third parties. For example, the research resulting in certain of our owned and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Obtaining and maintaining our patent rights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patents and/or patent applications will have to be paid to the USPTO and various government patent agencies outside the United States over the lifetime of our owned and licensed patents and/or applications and any patent rights we may own or license in the future. We rely on our service providers or our licensors to pay these fees. The USPTO and various non-U.S. government patent agencies require compliance with several procedural, documentary, fee payment and other similar provisions during the patent application process. We employ reputable law firms and other professionals to help us comply, and we are also dependent on our licensors to take the necessary action to comply with these requirements with respect to our licensed intellectual property.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our service providers or our licensors fail to maintain the patents and patent applications covering our products or technologies, we may not be able to stop a competitor from marketing products that are the same as or similar to our product candidates, which would have an adverse effect on our business.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addition, if we fail to apply for or otherwise fail to obtain applicable patent term extensions or adjustments, we will have a more limited time during which we can enforce our granted patent rights. In addition, if we are responsible for patent prosecution and maintenance of patent rights in-licensed to us, any of the foregoing could expose us to liability to the applicable patent owner.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candidates for an adequate amount of time.</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Given the amount of time required for the development, testing and regulatory review of product candidates such as INB-100, INB-200 and INB-400, patents protecting such candidates might expire before or shortly after such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normal expiration of the patent. However, the extension cannot extend the total patent term beyond 14 years from the date of drug approval, which is limited to the approved indication (or any additional indications approved during the period of extension). Furthermore, only one patent per approved product can be extended and only those claims covering the approved product, a</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method for using it or a method for manufacturing it may be extended.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the period during which we can enforce our patent rights for the applicable product candidate will be shortened and our competitors may obtain approval to market competing products sooner. Additionally, our competitors may be able to take advantage of our investment in development and clinical trials by referencing our clinical and preclinical data and launch their product earlier than might otherwise be the case.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Third parties may initiate legal proceedings alleging that we are infringing, misappropriating or otherwise violating their intellectual property rights and/or trademark, the outcome of which would be uncertain and could have a negative impact on the success of our business.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Our commercial success depends, in part, upon our ability and the ability of others with whom we may collaborate to develop, manufacture, market and sell our current and any future product candidates and use our proprietary technologies without infringing, misappropriating or otherwise violating the intellectual property, trademarks and other proprietary rights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current and any future product candidates and technology, names, including interference proceedings, post grant review and </w:t>
      </w:r>
      <w:r>
        <w:rPr>
          <w:rFonts w:ascii="Times New Roman" w:hAnsi="Times New Roman"/>
          <w:b w:val="false"/>
          <w:i/>
          <w:color w:val="000000"/>
          <w:sz w:val="20"/>
        </w:rPr>
        <w:t>inter partes</w:t>
      </w:r>
      <w:r>
        <w:rPr>
          <w:rFonts w:ascii="Times New Roman" w:hAnsi="Times New Roman"/>
          <w:color w:val="000000"/>
          <w:sz w:val="20"/>
        </w:rPr>
        <w:t xml:space="preserve"> </w:t>
      </w:r>
      <w:r>
        <w:rPr>
          <w:rFonts w:ascii="Times New Roman" w:hAnsi="Times New Roman"/>
          <w:b w:val="false"/>
          <w:color w:val="000000"/>
          <w:sz w:val="20"/>
        </w:rPr>
        <w:t>review before the USPTO.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is a high burden and requires us to present clear and convincing evidence as to the invalidity of any such U.S. patent claim, there is no assurance that a court of competent jurisdiction would invalidate the claims of any such U.S. patent. Moreover, given the vast number of patents in our field of technology, we cannot be certain that we do not infringe existing patents or that we will not infringe patents that may be granted in the future. Other companies and research institutions have filed, and may file in the future, patent applications related to gamma-delta T cell immunotherapy. Some of these patent applications have already been allowed or issued, and others may issue in the future. 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our product candidate infringes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If we are found to infringe a third party’s valid and enforceable intellectual property rights, we could be required to obtain a license from such third party to continue developing, manufacturing and marketing our product candidate(s) and technology. Under any such license, we would most likely be required to pay various types of fees, milestones, royalties or other amounts. Moreover, we may not be able to obtain any required license on commercially reasonable terms or at all.</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licensing or acquisition of third-party intellectual property rights is a competitive area, and more established companies may also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an adverse effect on our business, financial condition, results of operations and prospects. Furthermore,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 In addition, we could be found liable for monetary damages, including treble damages and attorneys’ fees, if we are found to have willfully infringed a patent or other intellectual property right. We may be required to indemnify collaborators or contractors against such claims. A finding of infringement could prevent us from manufacturing and commercializing our current or any future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product candidates or force us to cease some or all of our business operations, which could harm our business. Even if we are successful in defending against such claims, litigation can be expensive and time-consuming and would divert management’s attention from our core business.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Claims that we have misappropriated the confidential information or trade secrets of third parties could have a similar negative impact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addition, we may in the future be subject to claims by our former employees or consultants asserting an ownership right in our patents or patent applications, as a result of the work they performed on our behalf.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involved in lawsuits to protect or enforce our patents, the patents of our licensors or our other intellectual property rights, which could be expensive, time-consuming and unsuccessful.</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Competitors may infringe, misappropriate or otherwise violate our patents, the patents of our licensors or our other intellectual property rights. To counter infringement or unauthorized use, we may be required to file legal claims, which can be expensive and time-consuming and are likely to divert significant resources from our core business, including distracting our technical and management personnel from their normal responsibilities.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owned or licensed patents at risk of being invalidated or interpreted narrowly and could put our owned or licensed patent applications at risk of not issuing. The initiation of a claim against a third party might also cause the third party to bring counterclaims against us, such as claims asserting that our patent rights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w:t>
      </w:r>
      <w:r>
        <w:rPr>
          <w:rFonts w:ascii="Times New Roman" w:hAnsi="Times New Roman"/>
          <w:color w:val="000000"/>
          <w:sz w:val="20"/>
        </w:rPr>
        <w:t xml:space="preserve"> </w:t>
      </w:r>
      <w:r>
        <w:rPr>
          <w:rFonts w:ascii="Times New Roman" w:hAnsi="Times New Roman"/>
          <w:b w:val="false"/>
          <w:i/>
          <w:color w:val="000000"/>
          <w:sz w:val="20"/>
        </w:rPr>
        <w:t xml:space="preserve">ex parte </w:t>
      </w:r>
      <w:r>
        <w:rPr>
          <w:rFonts w:ascii="Times New Roman" w:hAnsi="Times New Roman"/>
          <w:b w:val="false"/>
          <w:color w:val="000000"/>
          <w:sz w:val="20"/>
        </w:rPr>
        <w:t xml:space="preserve">reexaminations, </w:t>
      </w:r>
      <w:r>
        <w:rPr>
          <w:rFonts w:ascii="Times New Roman" w:hAnsi="Times New Roman"/>
          <w:b w:val="false"/>
          <w:i/>
          <w:color w:val="000000"/>
          <w:sz w:val="20"/>
        </w:rPr>
        <w:t>inter partes</w:t>
      </w:r>
      <w:r>
        <w:rPr>
          <w:rFonts w:ascii="Times New Roman" w:hAnsi="Times New Roman"/>
          <w:color w:val="000000"/>
          <w:sz w:val="20"/>
        </w:rPr>
        <w:t xml:space="preserve"> </w:t>
      </w:r>
      <w:r>
        <w:rPr>
          <w:rFonts w:ascii="Times New Roman" w:hAnsi="Times New Roman"/>
          <w:b w:val="false"/>
          <w:color w:val="000000"/>
          <w:sz w:val="20"/>
        </w:rPr>
        <w:t>review, post-grant review, or oppositions or similar proceedings outside the United States, in parallel with litigation or even outside the context of litigation. The outcome following legal assertions of invalidity and unenforceability is unpredictable. We cannot be certain that there is or will be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or if the license offered as a result is not on commercially reasonable terms. Any litigation or other proceedings to enforce our intellectual property rights may fail, and even if successful, may result in substantial costs and distract our management and other employees.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an adverse effect on our ability to compete in the marketplace.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U.S. patent law or the patent law of other countries or jurisdictions could diminish the value of patents in general, thereby impairing our ability to protect our current and any future product candidates.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of a patent by USPTO-administered post-grant proceedings, including post-grant review, </w:t>
      </w:r>
      <w:r>
        <w:rPr>
          <w:rFonts w:ascii="Times New Roman" w:hAnsi="Times New Roman"/>
          <w:b w:val="false"/>
          <w:i/>
          <w:color w:val="000000"/>
          <w:sz w:val="20"/>
        </w:rPr>
        <w:t xml:space="preserve">inter partes </w:t>
      </w:r>
      <w:r>
        <w:rPr>
          <w:rFonts w:ascii="Times New Roman" w:hAnsi="Times New Roman"/>
          <w:b w:val="false"/>
          <w:color w:val="000000"/>
          <w:sz w:val="20"/>
        </w:rPr>
        <w:t>review, and derivation proceedings. The America Invents Act and its implementation could increase the uncertainties and costs surrounding the prosecution of our patent applications and the enforcement or defense of our issued patents, all of which could have an adverse effect on our business, financial condition, results of operations, and prospects.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 which could negatively impact our business.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Filing, prosecuting and defending patents covering our current and any future product candidates in all countries throughout the world would be prohibitively expensive. Competitors may use our technologies in jurisdictions where we or our licensors have not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Reliance on third parties requires us to share our trade secrets, which increases the possibility that a competitor will discover them or that our trade secrets will be misappropriated or disclosed.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Since we rely on third parties to help us discover, develop and manufacture our current and any future product candidates, or if we collaborate with third parties for the development, manufacturing or commercialization of our current or any future product candidates, we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 In addition, from time to time we may hire scientists or other employees or consultants who originate from jurisdictions, including China, that have a history of engaging in misappropriation or theft of trade secrets or other acts of trade secret espionage; if any such individuals are found to be engaging in such illegal behavior, it could have a material adverse effect on our ability to protect our intellectual property and our business prospects more generally.</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or unlawfully obtained and is using our trade secrets, like patent litigation, is expensive and time-consuming, and the outcome is unpredictable. In addition, courts outside the United States are sometimes less willing to protect trade secrets.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addition to seeking patent and trademark protection for our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advisors and consultants. Despite these efforts, any of these parties may breach the agreements and disclose our proprietary information, including our trade secrets. Further, we cannot guarantee that we have entered into such agreements with each party that may have or has had access to our trade secrets or other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Moreover, our competitors may independently develop knowledge, methods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Any trademarks we may obtain may be infringed or successfully challenged, resulting in harm to our business.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expect to rely on trademarks as one means to distinguish any of our product candidates that are approved for marketing from the products of our competitors. We have not yet selected trademarks for our product candidates and have not yet begun the process of applying to register trademarks for our current or any future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addition, any proprietary name we propose to use with our current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 to our business.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degree of future protection afforded by our intellectual property rights is uncertain because intellectual property rights have limitations and may not adequately protect our business. The following examples are illustrative: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others may be able to make cells, cell products, genetic modifications, compounds or formulations that are similar to our product candidates but that are not covered by the claims of any patents, should they issue,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or our licensors might not have been the first to make the inventions covered by the issued patents or pending patent applications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or our licensors might not have been the first to file patent applications covering certain of our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it is possible that our pending patent applications will not lead to issued patents;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issued patents that we own or license may not provide us with any competitive advantages, or may be held invalid or unenforceable as a result of legal challenges;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drugs for sale in our major commercial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may not develop additional proprietary technologies that are patentable;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patents of others may have an adverse effect on our business.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Business Operations, Employee Matters and Managing Growth</w:t>
      </w:r>
    </w:p>
    <w:p>
      <w:pPr>
        <w:pStyle w:val="TextBody"/>
        <w:bidi w:val="0"/>
        <w:spacing w:before="120" w:after="283"/>
        <w:jc w:val="both"/>
        <w:rPr>
          <w:rFonts w:ascii="Times New Roman" w:hAnsi="Times New Roman"/>
          <w:sz w:val="20"/>
        </w:rPr>
      </w:pPr>
      <w:r>
        <w:rPr>
          <w:rFonts w:ascii="Times New Roman" w:hAnsi="Times New Roman"/>
          <w:b/>
          <w:i/>
          <w:color w:val="000000"/>
          <w:sz w:val="20"/>
        </w:rPr>
        <w:t>Our ability to compete in the pharmaceuticals industry depends upon our ability to attract and retain highly qualified managerial, scientific, medical and other personnel. We are highly dependent on the services of our co-founders, William Ho, our President and Chief Executive Officer, and Dr. Lawrence Lamb, our Chief Scientific Officer, and the loss of these members of our management team or other key employees could impede, delay or prevent the successful development of our product pipeline, the completion of</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current and planned clinical trials, and the commercialization of our products or in-licensing or acquisition of new assets, and could negatively impact our ability to successfully implement our business plan.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are highly dependent on our co-founders, President and Chief Executive Officer, William Ho, and our Chief Scientific Officer, Dr. Lawrence Lamb. Each of them may currently terminate their employment with us at any time. The loss of the services of either of these persons could impede the achievement of our research, development and commercialization objectives.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Recruiting and retaining other senior executives,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lead,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future performance will also depend, in part, on our ability to successfully integrate newly hired executive officers into our management team and our ability to develop an effective working relationship among senior management. Our failure to integrate these individuals and create effective working relationships among them and other members of management could result in inefficiencies in the development and commercialization of our product candidates, harming future regulatory approvals, sales of our product candidates and our results of operations. Additionally, we currently only maintain “key person” life insurance for our President and Chief Executive Officer.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plan to expand our organization, and we may experience difficulties in managing this growth, which could disrupt our operations.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As of September 30, 2023, we had 31 full-time employees. As the clinical development of our product candidates progresses, we expect to need to hire employees and expand the scope of our operations, particularly in the areas of research, drug development, manufacturing, clinical operations, regulatory affairs, business and development, finance and accounting and, if any of our product candidates receives marketing approval, sales, marketing and distribution. To manage any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potential growth, we may not be able to effectively manage the expansion of our operations or recruit and train additional qualified personnel. Any expansion of our operations may lead to significant costs and may divert our management and business development resources. Any inability to manage growth could delay the execution of our business plans or disrupt our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explore strategic collaborations that may never materialize, or we may be required to relinquish important rights to and control over the development and commercialization of our product candidates to any future collaborators.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business strategy includes broadening our DeltEx platform by exploring strategic partnerships that maximize the potential of our gamma-delta T cell programs. As a result, we intend to periodically explore a variety of possible strategic partnerships in an effort to gain access to additional product candidates or resources. These strategic partnerships may include partnerships with large strategic partners. At the current time, however, we cannot predict what form such a strategic collaboration might take. We are likely to face significant competition in seeking appropriate strategic collaborators, and strategic collaborations can be complicated and time consuming to negotiate and document. We may not be able to negotiate strategic collaborations on acceptable terms, if at all. If and when we collaborate with a third party for development and commercialization of a product candidate, we can expect to relinquish some or all of the control over the future success of that product candidate to the third party. We are unable to predict when, if ever, we will enter into any strategic partnerships because of the numerous risks and uncertainties associated with establishing them,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expenditure of substantial operational, financial and management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dilutive issuances of our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substantial actual or contingent liabilities;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termination or expiration of the arrangement, which would delay the development and may increase the cost of developing our product candidates.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Strategic partners may also delay clinical trials, experience financial difficulties, provide insufficient funding, terminate a clinical trial or abandon a product candidate, which could negatively impact our development efforts. Additionally, strategic partners may not properly maintain, enforce or defend our intellectual property rights or may use our proprietary information in a manner that could jeopardize or invalidate our proprietary information or expose us to potential litigation, any of which could adversely affect our business, financial position and operations.</w:t>
      </w:r>
    </w:p>
    <w:p>
      <w:pPr>
        <w:pStyle w:val="TextBody"/>
        <w:bidi w:val="0"/>
        <w:spacing w:before="360" w:after="283"/>
        <w:jc w:val="both"/>
        <w:rPr>
          <w:rFonts w:ascii="Times New Roman" w:hAnsi="Times New Roman"/>
          <w:sz w:val="20"/>
        </w:rPr>
      </w:pPr>
      <w:r>
        <w:rPr>
          <w:rFonts w:ascii="Times New Roman" w:hAnsi="Times New Roman"/>
          <w:b/>
          <w:i/>
          <w:color w:val="000000"/>
          <w:sz w:val="20"/>
        </w:rPr>
        <w:t>If our information technology systems or sensitive information, or those of our collaborators or other contractors or consultants, are or were compromised, we could experience adverse consequences resulting from such compromise, including but not limited to, a significant disruption of our product development programs and our ability to operate our business effectively, regulatory investigations or actions, litigation, fines and penalties, reputational harm, loss of revenue or profits, and other adverse consequences.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are increasingly dependent upon information technology systems, infrastructure and data to operate our business. In the ordinary course of business, we collect, store, receive, process, generate, use, transfer, disclose, make accessible, protect, secure, dispose of, share, and transmit proprietary, confidential, and sensitive data, including but not limited to, personal data (such as health-related data), intellectual property, and trade secrets (collectively, sensitive information). It is critical that we do so in a secure manner to maintain the confidentiality and integrity of such sensitive information. We also have outsourced elements of our operations to third parties, and as a result we manage a number of third-party vendors and other contractors and consultants who have access to our sensitive information. Our ability to monitor these third parties’ information security practices is limited, and these third parties may not have adequate information security measures in place.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internal computer systems, cloud-based computing services and those of our current and any future collaborators and other contractors or consultants are vulnerable to damage or interruption from a variety of sources, including cyberattacks, malicious internet-based activity, and online and offline fraud. These threats include, but are not limited to, malicious code (such as viruses and worms), malware (including as a result of advanced persistent threat intrusions), data corruption, intentional or accidental actions or inactions by our employees or others with access to our network, supply chain attacks, ransomware attacks, denial-of-service attacks (such as credential stuffing), software bugs, server malfunctions, software or hardware failures, loss of data or other information technology assets, adware, natural disasters, terrorism, war and telecommunication and electrical failures, and other similar threats that affect service reliability and threaten the confidentiality, integrity, and availability of information. Attacks upon information technology systems are increasing in their frequency, levels of persistence, sophistication and intensity, and are being conducted by sophisticated and organized groups and individuals with a wide range of motives and expertise, including traditional computer “hackers,”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cyber-attacks, that could materially disrupt our systems and operations, supply chain, and ability to produce, sell and distribute our goods and services.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We may also face increased cybersecurity risks due to our reliance on internet technology and the number of our employees who are working remotely, which may create additional opportunities for cybercriminals to exploit vulnerabilities.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incidents that may remain undetected for an extended period. If any of the previously identified or similar threats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Furthermore, our software systems include cloud-based applications that are hosted by third-party service providers with security and information technology systems subject to similar risks.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If we (or a third party upon whom we rely) experience a security incident or are perceived to have experienced a security incident, we could incur liability, our competitive position could be harmed and the further development and commercialization of our product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candidates could be delayed. Federal, state and international laws and regulations, such as HIPAA, the GDPR, or CCPA, can expose us to enforcement actions and investigations by regulatory authorities, and potentially result in regulatory penalties and significant legal liability. Additionally, applicable data privacy and security obligations may require us to notify relevant stakeholders of security incidents. Such disclosures are costly, and the disclosure or the failure to comply with such requirements could lead to adverse consequences.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Despite our efforts to identify and address vulnerabilities, if any, in our information technology systems, our efforts may not be successful. Further, we may experience delays in developing and deploying remedial measures designed to address any such identified vulnerabilities.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ability to use our net operating losses to offset future taxable income may be subject to certain limitations.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have incurred substantial losses since inception and do not expect to become profitable in the near future, if ever. In general, under Section 382 of the United States Internal Revenue Code of 1986, as amended, or the Code, a corporation that undergoes an “ownership change” is subject to limitations on its ability to utilize its pre-change net operating losses, or NOLs, to offset future taxable income. We may have experienced ownership changes in the past and may experience ownership changes in the future as a result of subsequent changes in our stock ownership (some of which are outside our control). As a result, if and to the extent that we earn net taxable income, our ability to use our pre-change NOLs to offset such taxable income may be subject to limitations.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Under current U.S. federal tax law, NOLs arising in tax years beginning after December 31, 2017 can be carried forward indefinitely, but the deductibility of these carryforwards is limited. Our NOL carryforwards could expire unused and be unavailable to offset future income tax liabilities.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It is uncertain if and to what extent various states will conform to the federal law. In addition, at the state level, there may be periods during which the use of NOLs is suspended or otherwise limited, which could accelerate or permanently increase the state taxes owed.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order to realize the future tax benefits of our NOL carryforwards, we must generate taxable income, of which there is no assurance. Accordingly, we have provided a full valuation allowance for deferred tax assets as of December 31, 2022.</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There are risks inherent in our business that may subject us to potential product liability suits and other claims, which may require us to engage in expensive and time-consuming litigation or pay substantial damages and may harm our reputation and reduce the demand for our product.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business exposes us to product liability risks, which are inherent in the testing, manufacturing, marketing and sale of biopharmaceutical products. For example, we may be sued if any product we develop allegedly causes or is perceived to cause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and/or trademarks. Claims could also be asserted under state consumer protection acts. If we cannot successfully defend ourselves against product liability claims, we may incur substantial liabilities or be required to limit commercialization of our products. Even a successful defense would require significant financial and management resources.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Certain aspects of how gamma-delta T cells are processed and administered may increase our exposure to liability. Medical personnel administer gamma-delta T cells to patients in an outpatient procedure. This procedure poses risks to the patient similar to those occurring with infusions of other cell products, such as T cells and stem cells, including blood clots, infection and mild to severe allergic reactions. Additionally, gamma-delta T cells or components of our gamma-delta T cell therapy may cause unforeseen harmful side effects. For example, a patient receiving gamma-delta T cells could have a severe allergic reaction, severe graft versus host disease, cytokine release syndrome, or could develop an autoimmune condition to materials infused with gamma-delta T cells.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addition, we have not conducted studies on the long-term effects associated with the media and/or expansion process that we use to grow our gamma-delta T cells. Similarly, we expect to use media in freezing our gamma-delta T cells for storage and shipment. These media and other reagents used in the manufacturing process could contain substances that have proved harmful if used in certain quantities. As we continue to develop our gamma-delta T cell therapy, we may encounter harmful side effects that we did not observe in our prior studies and clinical trials. Additionally, the discovery of unforeseen side effects of gamma-delta T cells could also lead to lawsuits against us.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Regardless of merit or eventual outcome, product liability or other claims may, among other things,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decreased demand for any approved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injury to our reputation and significant negative media attention;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withdrawal of clinical trial participants or cancellation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costs to defend the related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 diversion of management’s time and our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substantial monetary awards to clinical trial participants or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regulatory investigations, product recalls, withdrawals or labeling, marketing or promotional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exhaustion of any available insurance and our capital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loss of revenue;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 potential decrease in our stock price;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inability to commercialize any products we develop.</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inability to obtain and maintain sufficient product liability insurance at an acceptable cost and scope of coverage to protect against potential product liability claims could prevent or inhibit the commercialization of our products. We obtained product liability insurance covering our clinical trials with policy limits that we believe are customary for similarly situated companies and adequate to provide us with coverage for foreseeable risks. Although we maintain such insurance, any claim that may be brought against us could result in a court judgment or settlement in an amount that is not covered, in whole or in part, by our insurance or that is in excess of the limits of our insurance coverage. Moreover, in the future, we may not be able to maintain insurance coverage at a reasonable cost or in sufficient amounts to protect us against losses. If we determine that it is prudent to increase our product liability coverage due to the commercial launch of any approved product, we may be unable to obtain such increased coverage on acceptable terms, or at all.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Commercialization and Regulatory Compliance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Even if we obtain regulatory approvals for our product candidates, they will remain subject to ongoing regulatory oversight.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Even if we obtain regulatory approvals for our product candidates, such approvals will be subject to ongoing regulatory requirements for manufacturing, labeling, packaging, storage, advertising, promotion, sampling, record keeping and submission of safety and other post-market information. Any regulatory approvals that we receive for our product candidates may also be subject to a REMS, to limitations on the approved indicated uses for which the product candidate may be marketed or to the conditions of approval, or may contain requirements for potentially costly post-marketing testing, including Phase 4 trials, and for surveillance to monitor the quality, safety and efficacy of the product candidate. Such regulatory requirements may differ from country to country depending on where we have received regulatory approval.</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addition, product candidate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product candidate, such as adverse events of unanticipated severity or frequency, or problems with the facility where the product candidate is manufactured or if a regulatory authority disagrees with the promotion, marketing or labeling of that product candidate, a regulatory authority may impose restrictions relative to that product candidate, the manufacturing facility or us, including requesting a recall or requiring withdrawal of the product candidate from the market or suspension of manufacturing.</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If we fail to comply with applicable regulatory requirements following approval of our product candidates, a regulatory authority may, among other things, issue warning letters or untitled letters, mandate modifications to promotional materials or require us to provide corrective information to healthcare practitioners, or require other restrictions on the labeling or marketing of such products, require us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to enter into a consent decree, which can include imposition of various fines, reimbursements for inspection costs, required due dates for specific actions and penalties for noncompliance, seek an injunction or impose administrative, civil or criminal penalties or monetary fines, suspend or modify any ongoing clinical trials, or suspend, modify withdraw regulatory approval or restrict the marketing or manufacturing of the product candidate.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Moreover, the FDA and other regulatory authorities strictly regulate the promotional claims that may be made about biologic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harm our business, financial condition, results of operations and prospects.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FDA’s and other regulatory authorities’ policies may change and additional government regulations may be enacted that could prevent, limit or delay regulatory approval of our product candidates.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cannot predict the likelihood, nature or extent of government regulation that may arise from future legislation or administrative or executive action, either in the United States or abroad.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Even if any product candidate receives marketing approval, it may fail to achieve market acceptance by physicians, patients, third-party payors or others in the medical community necessary for commercial success.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Even if any product candidate receives marketing approval, it may fail to gain market acceptance by physicians, patients, third-party payors and others in the medical community. If any such product candidate does not achieve an adequate level of acceptance, we may not generate significant product revenue and may not become profitable. The degree of market acceptance of any product candidate, if approved for commercial sale, will depend on a number of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cost, efficacy, safety profile, convenience, ease of administration and other potential advantages compared to alternative treatments and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willingness of the target patient population to try new therapies and of physicians to prescribe these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strength of our relationships with patient communities;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availability of third-party coverage and adequate reimbursement;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prevalence and severity of any side effects;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any restrictions on the use of the product candidate together with other medications.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efforts to educate physicians, patients, third-party payors and others in the medical community on the benefits of our product candidates may require significant resources and may never be successful. Such efforts may require more resources than are typically required due to the complexity and uniqueness of our product candidates. Because we expect sales of our product candidates, if approved, to generate substantially all of our revenues for the foreseeable future, the failure of our product candidates to find market acceptance would harm our business.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Furthermore, the attention to different types of prospective treatments and proposed cures for cancers has historically varied. In recent years, various forms of oncological immunotherapy have been prominent areas for academic and clinical advancement. While gamma-delta T cell therapy has not yet received prominent negative attention from the mainstream media or the scientific press, it is possible that it could, and it is possible that if immunotherapy generally falls out of favor with these key constituencies, whether due to the failure of one or more competitive products or technologies or otherwise, our business, including our ability to conduct our planned clinical trials and to raise capital, may in turn suffer.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are unable to establish sales and marketing capabilities or enter into agreements with third parties to market and sell our product candidates, we may not be successful in commercializing them, if and when they are approved.</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To successfully commercialize any product candidate that may result from our development programs, we will need to build out our sales and marketing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seek to enter into collaborations with other entities to utilize their established marketing and distribution capabilities, but we may be unable to enter into such agreements on favorable terms, if at all. If any current or future collaborators do not commit sufficient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resources to commercialize our product candidates, or we are unable to develop the necessary capabilities on our own, we may be unable to generate sufficient revenue to sustain our business. We compete with many companies that currently have extensive, experienced and well-funded marketing and sales operations to recruit, hire, train and retain marketing and sales personnel. We will likely also face competition if we seek third parties to assist us with the sales and marketing efforts of our product candidates. Without an internal team or the support of a third party to perform marketing and sales functions, we may be unable to compete successfully against these more established companies.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Even if we obtain and maintain approval for our product candidates from the FDA, we may never obtain approval outside the United States, which would limit our market opportunities.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Sales of our product candidates outside the United States will be subject to foreign regulatory requirements governing clinical trials and marketing approval. Even if the FDA grants marketing approval for a product candidate, comparable foreign regulatory authorities also must approve the manufacturing and marketing of the product candidate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any product candidates, if approved, is also subject to approval. Obtaining approval for our product candidates in the European Union from the European Commission following the opinion of the European Medicines Agency, or the EMA, if we choose to submit a marketing authorization application there, would be a lengthy and expensive process. Even if a product candidate is approved, the EMA may limit the indications for which the product may be marketed, require extensive warnings on the labeling or require expensive and time-consuming additional clinical trials or reporting as conditions of approval. Obtaining foreign regulatory approvals and compliance with foreign regulatory requirements could result in significant delays, difficulties and costs for us and could delay or prevent the introduction of our product candidates in certain countries.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commercialize our product candidates outside the United States, a variety of risks associated with international operations could harm our business.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While we have not taken any steps to obtain approval of our product candidates outside of the United States, and do not plan to seek approval in the near term, we may do so in the future. If we market approved products outside the United States, we expect that we will be subject to additional risks in commercialization,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different regulatory requirements for approval of therapies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reduced protection for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unexpected changes in tariffs, trade barriers and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economic weakness, including inflation, or political instability in particular economies and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compliance with tax, employment, immigration and labor laws for employees living or traveling abroad;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foreign currency fluctuations, which could result in increased operating expenses and reduced revenues, and other obligations incident to doing business in another country;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foreign reimbursement, pricing and insurance regimes;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workforce uncertainty due to labor unrest;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production shortages resulting from any events affecting raw material supply or manufacturing capabilities abroad;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business interruptions resulting from geopolitical actions, including war and terrorism such as the Israel-Hamas war and the Russia-Ukraine war, natural disasters including earthquakes, typhoons, floods and fires, and public health emergencies.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have no prior experience in these areas. In addition, there are complex regulatory, immigration, tax, labor and other legal requirements imposed by many of the individual countries in which we may operate, including the United States and, with which we will need to comply. Many biopharmaceutical companies have found the process of marketing their products in foreign countries to be challenging.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relationships with customers, physicians, and third-party payors are subject, directly or indirectly, to federal and state healthcare fraud and abuse laws, including anti-kickback and false claims laws, transparency laws, and other healthcare laws and regulations. If we are unable to comply, or have not fully complied, with such laws, we could face substantial penalties.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including, without limitation, the federal Anti-Kickback Statute, the federal civil and criminal false claims laws and the law commonly referred to as the Physician Payments Sunshine Act and the regulations promulgated thereunder. For additional information on the healthcare laws and regulations that we may be subject to, see the section captioned “Business—Government Regulation” in our Annual Report.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Ensuring that our business arrangements with third parties comply with applicable healthcare laws and regulations will likely be costly. It is possible that governmental authorities will conclude that our business practices, including our relationships with physicians, some of whom are compensated with a stipend or stock options for services performed for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If the physicians or other providers or entities with whom we expect to do business are found not to be in compliance with applicable laws, they may be subject to significant criminal, civil or administrative sanctions, including exclusions from government-funded healthcare programs.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an adverse effect on our ability to compete in the marketplace.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Coverage and adequate reimbursement may not be available for our product candidates, which could make it difficult for us to sell profitably, if approved.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Market acceptance and sales of any product candidates that we commercialize, if approved, will depend in part on the extent to which reimbursement for these products and related treatments will be available from third-party payors, including government health administration authorities, managed care organizations and other private health insurers. Third-party payors decide which therapies they will pay for and establish reimbursement levels. While no uniform policy for coverage and reimbursement exists in the United States,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Therefore, one payor’s determination to provide coverage for a product does not assure that other payors will also provide coverage, and adequate reimbursement, for the product. Additionally, a third-party payor’s decision to provide coverage for a therapy does not imply that an adequate reimbursement rate will be approved. Each payor determines whether or not it will provide coverage for a therapy, what amount it will pay the manufacturer for the therapy, and on what tier of its formulary it will be placed. The position on a payor’s list of covered products, or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unless coverage is provided and reimbursement is adequate to cover a significant portion of the cost of our products.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Third-party payors have attempted to control costs by limiting coverage and the amount of reimbursement for particular medications. Currently, in the allogeneic transplant setting, reimbursement is often made based on a capitated payment system, and obtaining reimbursement for our products may be particularly difficult because of the higher prices often associated with drugs administered under the supervision of a physician. Therefore, our product candidates may not be reimbursed separately but their cost may instead be bundled as part of a capitated payment received by the provider for the procedure only. We cannot be sure that the clinical results of our trials will be sufficient or meaningful to convince hospitals and/or clinicians to utilize our product or to get third-party payors to change reimbursement to separate outside of the current bundle. A decision by a third-party payor not to cover or separately reimburse for our product candidates or procedures using our product candidates, could reduce physician utilization of our products once approved. We cannot be sure that coverage and reimbursement will be available for any product that we commercialize and, if reimbursement is available, what the level of reimbursement will be. Inadequate coverage and reimbursement may impact the demand for, or the price of, any product for which we obtain marketing approval. If coverage and adequate reimbursement are not available, or are available only at limited levels, we may not be able to successfully commercialize any product candidates that we develop.</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Healthcare legislative reform measures may have a negative impact on our business and results of operations.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the United States and some foreign jurisdictions, there have been, and continue to be,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For example, in March 2010, the Patient Protection and Affordable Care Act of 2010, as amended by the Health Care and Education Reconciliation Act of 2010, or, collectively, the ACA, was passed, which substantially changed the way healthcare is financed by both governmental and private payors in the United States. Since its enactment, however, there have been executive, judicial and Congressional challenges to the ACA. For example, the Tax Act included a provision that repealed, effective January 1, 2019, the tax-based shared responsibility payment imposed by the ACA on certain individuals who fail to maintain qualifying health coverage for all or part of a year, which is commonly referred to as the “individual mandate.”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On June 17, 2021, the U.S. Supreme Court dismissed a challenge on procedural grounds that argued the ACA is unconstitutional in its entirety because the “individual mandate” was repealed by Congress. Prior to the U.S. Supreme Court ruling, President Biden issued an executive order that initiated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any such challenges, and the healthcare reform measures of the Biden administration will impact the ACA and our business.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Other legislative changes have been proposed and adopted since the ACA was enacted. These changes include aggregate reductions to Medicare payments to providers of 2% per fiscal year pursuant to the Budget Control Act of 2011, which began in 2013, and due to subsequent legislative amendments to the statute, which will remain in effect until 2031, unless additional Congressional action is taken. Under current legislation, the actual reduction in Medicare payments will vary from 1% in 2022 to up to 4% in the final fiscal year of this sequester.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 More recently, on August 16, 2022, President Biden signed the Inflation Reduction Act of 2022, or the IRA, into law, which included a number of significant drug pricing reforms, including extending enhanced subsidies for individuals purchasing health insurance coverage in ACA marketplaces through plan year 2025 and a redesign of the Part D benefit, as part of which manufacturers are required to provide discounts on Part D drugs and Part D beneficiaries’ annual out-of-pocket spending will be capped at $2,000 beginning in 2025.</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Additional changes that may affect our business include the expansion of new programs such as Medicare payment for performance initiatives for physicians under the Medicare Access and CHIP Reauthorization Act of 2015. At this time, the full impact to overall physician reimbursement as a result of the introduction of the Medicare quality payment program remains unclear.</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Further, in the United States there has been heightened governmental scrutiny over the manner in which manufacturers set prices for their marketed products, which has resulted in several Congressional inquiries, Presidential executive orders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to advance these principles. Further, the IRA, among other things, (1) directs HHS to negotiate the price of certain single-source drugs and biologics covered under Medicare and (2) imposes rebates under Medicare Part B and Medicare Part D to penalize price increases that outpace inflation. These provisions take effect progressively starting in fiscal year 2023. On August 29, 2023, HHS announced the list of the first ten drugs that will be subject to price negotiations, although the Medicare drug price negotiation program is currently subject to legal challenges. It is currently unclear how the IRA will be implemented but is likely to have a significant impact on the pharmaceutical industry.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 initiatives will be implemented in the future. Further, we expect that additional U.S. federal healthcare reform measures will be adopted in the future, any of which could limit the amounts that the U.S. federal government will pay for healthcare products and services, which could result in reduced demand for our current or any future product candidates or additional pricing pressures. We cannot predict the likelihood, nature or extent of government regulation that may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arise from future legislation or administrative action in the United States or any other jurisdiction, particularly in light of the new presidential administration. If we or any third parties we may engage are slow or unable to adapt to changes in existing or new requirements or policies, or if we or such third parties are not able to maintain regulatory compliance, our current or any future product candidates we may develop may lose any regulatory approval that may have been obtained and we may not achieve or sustain profitability.</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expect that these and other healthcare reform measures that may be adopted in the future may result in more rigorous coverage criteria and in additional downward pressure on the price that we receive for any approved drug, which could have an adverse effect on demand for our product candidates.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 For additional information on healthcare reform, see the section captioned “Business — Government Regulation” in our Annual Report.</w:t>
      </w:r>
      <w:r>
        <w:rPr>
          <w:rFonts w:ascii="Times New Roman" w:hAnsi="Times New Roman"/>
          <w:color w:val="000000"/>
          <w:sz w:val="20"/>
        </w:rPr>
        <w:t xml:space="preserv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Actual or perceived failures to comply with applicable data privacy and security obligations, including laws, regulations, standards and other requirements could lead to regulatory investigations or actions, litigation, fines and penalties, disruptions of our business operations, reputational harm, loss of revenue or profits, and other adverse business consequences.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global data protection landscape is rapidly evolving, and we are or may become subject to numerous data privacy and security obligations, such as various state, federal and foreign laws, regulations, guidance, industry standards, external and internal privacy and security policies, contracts and other obligations governing the processing of personal data and other sensitive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process sensitive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sensitive information could result in negative publicity, government investigations and enforcement actions, claims by third parties and damage to our reputation, any of which could have a material adverse effect on our operations, financial performance and business.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As our operations and business grow, we may become subject to or affected by new or additional data protection laws and regulations and face increased scrutiny or attention from regulatory authorities. In the United States, numerous federal and state laws and regulations, including state data breach notification laws, state health information privacy laws, and federal and state consumer protection laws and regulations (i.e., Section 5 of the FTC Act), that govern the collection, use, disclosure, and protection of health-related and other personal data could apply to our operations or the operations of our partners. In addition, we may obtain health information from third parties (including research institutions from which we obtain clinical trial data) that are subject to data privacy and security requirements under HIPAA as amended, and regulations promulgated thereunder, or HIPAA. Depending on the facts and circumstances, we could be subject to significant penalties if we violate HIPAA.</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Certain states have also adopted comparable data privacy and security laws and regulations, some of which may be more stringent than HIPAA. For example, California enacted the CCPA, which gives California residents expanded rights. These obligations include, but are not limited to, providing specific disclosures in privacy notices and affording California residents certain rights related to their personal data. The CCPA allows for statutory fines for noncompliance (up to $7,500 per violation). Although the CCPA exempts some data processed in the context of clinical trials, the CCPA may increase compliance costs and potential liability with respect to other personal data we may maintain about California residents. Further, it is anticipated that the California Privacy Rights Act, or CPRA, effective January 1, 2023, will expand the CCPA. It will also create a new California Privacy Protection Agency authorized to issue substantive regulations and enforce the CPRA, which could result in increased privacy and information security enforcement. Other states have enacted data privacy laws as well. For example, Colorado, Connecticut, Utah and Virginia have passed comprehensive data privacy laws, all of which became effective in 2023, and recently enacted date privacy laws in Indiana, Iowa, Montana, Tennessee and Texas will become effective in coming years. In addition, data privacy and security laws have been proposed at the federal, state, and local levels in recent years, which could further complicate compliance efforts.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addition, all 50 U.S. states and the District of Columbia have enacted breach notification laws that may require us to notify patients, employees or regulators in the event of unauthorized access to or disclosure of personal or confidential information experienced by us or our service providers. These laws are not consistent, and compliance in the event of a widespread data breach is difficult and may be costly. In addition to government regulation, privacy advocates and industry groups have and may in the future propose self-regulatory standards from time to time. These and other industry standards may legally or contractually apply to us, or we may elect to comply with such standards.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Outside the United States, an increasing number of laws, regulations, and industry standards apply to data privacy and security. For example, the EU GDPR and the UK GDPR impose strict requirements for processing personal data. For example, under the EU</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GDPR, government regulators may impose temporary or definitive bans on data processing, as well as fines of up to 20 million euros or 4% of annual global revenue, whichever is greater. Further, individuals may initiate litigation related to processing of their personal data. In Canada, the PIPEDA and various related provincial laws, may apply to our operations.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Certain jurisdictions have enacted data localization laws and cross-border personal data transfer laws, which could make it more difficult to transfer information across jurisdictions (such as transferring or receiving personal data that originates in the EU or in other foreign jurisdictions). Existing mechanisms that facilitate cross-border personal data transfers may change or be invalidated. For example, absent appropriate safeguards or other circumstances, the EU GDPR generally restricts the transfer of personal data to countries outside of the EEA, that the European Commission does not consider to provide an adequate level of data privacy and security, such as the United States. Alternative transfer mechanisms may be used, including the standard contractual clauses, or SCCs. Currently, these SCCs are a valid mechanism to transfer personal data outside of the EEA, but there exists some uncertainty regarding whether the SCCs will remain a valid mechanism. Additionally, the SCCs impose additional compliance burdens, such as conducting transfer impact assessments to determine whether additional security measures are necessary to protect the at-issue personal data. At present, there are few if any viable alternatives to the SCCs, so future developments may necessitate further expenditures on local infrastructure, changes to internal business processes, or may otherwise affect or restrict sales and operations.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addition, Switzerland and the UK similarly restrict personal data transfers outside of those jurisdictions to countries such as the United States that do not provide an adequate level of personal data protection, and certain countries outside Europe (i.e., Russia) have also passed or are considering laws requiring local data residency or otherwise impeding the transfer of personal data across borders, any of which could increase the cost and complexity of doing business.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including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Preparing for and complying with these obligations requires significant resources and may necessitate changes to our information technologies, systems, and practices and to those of any third parties that process personal data on our behalf.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and compliance posture. Any failure or perceived failure by us or our employees, representatives, contractors, consultants, CROs, collaborators, or other third parties to comply with such requirements or adequately address data privacy and security concerns, even if unfounded, could result in additional cost and liability to us, damage our reputation, or adversely affect our business and results of operations. For example, we may experience adverse consequences such as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 government enforcement actions (i.e., investigations, fines, penalties, audits, inspections, and similar); litigation (including class-related claims); additional reporting requirements and/or oversight; bans on processing personal data; orders to destroy or not use personal data; and imprisonment of company officials.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the Ownership of Our Common Stock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An active trading market for our common stock may not continue to be developed or sustained, and you may not be able to sell your shares quickly or at the market price.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Although our common stock is traded on the Nasdaq Stock Market LLC, the liquidity in our common stock on that stock market remains thin. If an active trading market for our common stock does not continue to be developed or sustained, you may not be able to sell your shares quickly or at all at the market price. An inactive market may also impair our ability to raise capital to continue to fund operations by selling shares of our common stock and may impair our ability to acquire other companies or technologies by using our common stock as consideration.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market price of our common stock is volatile and may fluctuate substantially, and you could lose all or part of your investment.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market price of our common stock is volatile. The stock market in general, and the market for biopharmaceutical and pharmaceutical companies in particular, has experienced extreme volatility that has often been unrelated to the operating performance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of particular companies. In addition to the factors discussed in this “Risk Factors” section, the market price for our common stock may be influenced by, among other factors: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commencement, enrollment or results of our planned or future clinical trials of our product candidates or those of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success and failures of competitive products or therapies or announcements, including patient deaths and clinical holds, by potential competitors of their product development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regulatory or legal developments in the United States and other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changes in the structure of healthcare payment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coordinated buying or selling activity in our common stock, including market manipulation;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unusual trading in our common stock or securities derivative thereof, including pursuant to naked, or uncovered, short positions or “short squeezes;”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commentary by investors on the prospects for our business or our common stock on the internet, including blogs, articles and message board, and/or social media and resulting in trading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developments or disputes concerning patent applications, issued patents or other proprietary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actual or anticipated changes in estimates as to financial results, development timelines or recommendations by securities analysts;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significant lawsuits, including patent or stockholder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stock price and volume fluctuations attributable to inconsistent trading volume levels and a wide bid-ask in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announcement or expectation of additional financing efforts or sales by our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general economic, political, and market conditions and overall fluctuations in the financial markets in the United States and abroad, including as a result of recent bank closures, public health crises or geographical tensions and wars, such as the Russia-Ukraine war;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investors’ general perception of us and our business.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addition, 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Concentration of ownership of our common stock among our existing executive officers, directors and principal stockholders may prevent new investors from influencing significant corporate decisions.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Based upon shares of our common stock outstanding as of September 30, 2023, our executive officers, directors and stockholders who own more than 5% of our outstanding common stock will, in the aggregate, beneficially own shares representing 37% of our outstanding common stock as of the date of this Quarterly Report. If our executive officers, directors and stockholders who own more than 5% of our outstanding common stock acted together, they may be able to significantly influence all matters requiring stockholder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stockholders may desire or result in the management of our company in ways with which other stockholders disagree.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Provisions in our corporate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establish a classified board of directors such that not all members of the board are elected at one time;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allow the authorized number of our directors to be changed only by resolution of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provide that our directors may be removed for cause only upon the vote of at least 66 2/3% of our outstanding shares of voting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establish advance notice requirements for stockholder proposals that can be acted on at stockholder meetings and nominations to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require that stockholder actions must be effected at a duly called stockholder meeting and prohibit actions by our stockholders by written consent;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limit who may call stockholder meetings;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authorize our board of directors to issue, without further action by the stockholders, shares of undesignated preferred stock with terms, rights and preferences determined by our board of directors that may be senior to our common stock;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require the approval of the holders of at least 66 2∕3% of the votes that all our stockholders would be entitled to cast to amend or repeal certain provisions of our charter or bylaws.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Moreover, because we are incorporated in Delaware, we are governed by the provisions of Section 203 of the Delaware General Corporation Law,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We have not elected to opt out of DGCL Section 203.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amended and restated certificate of incorporation provides that, with respect to any state actions or proceedings under Delaware statutory or common law, the Court of Chancery of the State of Delaware is the exclusive forum for: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any derivative action or proceeding brought on our behalf;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any action or proceeding asserting a breach of fiduciary duty;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any action or proceeding asserting a claim against us or any of our directors, officers, employees or agents arising under the DGCL, our amended and restated certificate of incorporation or our amended and restated bylaws;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any action or proceeding to interpret, apply, enforce or determine the validity of our amended and restated certificate of incorporation or our amended and restated bylaws;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any action or proceeding asserting a claim against us or any of our directors, officers, employees or agents that is governed by the internal-affairs doctrine.</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This provision would not apply to suits brought to enforce a duty or liability created by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be the exclusive forum for resolving any complaint asserting a cause or causes of action arising under the Securities Act, including all causes of action asserted against any defendant to such complaint.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an exclusive-forum provision in our amended and restated certificate of incorporation to be inapplicable or unenforceable in an action, we may incur additional costs associated with resolving the dispute in other jurisdictions, which could harm our business.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Unstable market and economic conditions, including as a result of recent bank closures, public health crises or geopolitical tensions such as the Russia-Ukraine and/or the Israel-Hamas war, may have serious adverse consequences on our business, financial condition and share price.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macroeconomic uncertainty and volatile business environment have resulted in ongoing inflation, volatility in the capital markets, significantly reduced liquidity and credit availability, decreases in consumer demand and confidence, declines in economic growth, increases in unemployment rates and uncertainty about economic stability. Our general business strategy may be materially or adversely impacted by if these unpredictable and unstable market conditions continue. Additionally, the Russia-Ukraine and the Israel-Hamas wars have created extreme volatility in the global capital markets and is expected to have further global economic consequences, including potential disruptions of the global supply chain, manufacturing and energy markets. Any such volatility and disruptions may have adverse consequences on us or the third parties on whom we rely. If the equity and credit markets deteriorate, including as a result of inflation expectations, recent bank closures, the changing interest rate environment,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 Any significant increases in inflation and related increase in interest rates could have a material adverse effect on our business, results of operations and financial condition.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maintain cash deposits in excess of federally insured limits. Adverse developments affecting the financial services industry, such as actual events or concerns involving liquidity, defaults or non-performance by financial institutions could adversely affect our liquidity, current financial condition and projected business operations.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maintain domestic cash deposits in Federal Deposit Insurance Corporation, or FDIC, insured banks that exceed the FDIC insurance limits. Bank failures, events involving limited liquidity, defaults, non-performance, or other adverse developments that affect financial institutions, or concerns or rumors about such events, may lead to liquidity constraints. For example, the Federal Deposit Insurance Corporation (“FDIC”) has taken Silicon Valley Bank, Signature Bank, Silvergate Capital Corp., and most recently, First Republic Bank, into receivership. Although the FDIC announced that all deposits with these banks would be fully insured, there continues to be uncertainty in the markets regarding the stability of regional banks and the safety of deposits in excess of the FDIC insured deposit limits. If other banks and financial institutions enter receivership or become insolvent in the future in response to financial conditions affecting the banking system and financial markets, our ability to access our existing cash may be threatened. The FDIC only insures accounts in amounts up to $250,000 per depositor per insured bank. If any of the banking institutions in which we have deposited funds ultimately fails, we may lose our deposits over $250,000. The loss of our deposits would have a material adverse effect on our business and financial condition. here can be no assurance that our deposits in excess of the FDIC or other comparable insurance limits will be backstopped by the FDIC or U.S. government, or that any bank or financial institution with which we do business will be able to obtain needed liquidity from other banks, government institutions, or by acquisition in the event of a failure or liquidity crisis. The ultimate outcome of these events cannot be predicted, but these events could have a material adverse effect on our business.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research analysts do not publish research or reports, or publish unfavorable research or reports, about us, our business or our market, our stock price and trading volume could decline.</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trading market for our common stock will be influenced by the research and reports that industry or financial analysts publish about us or our business. We currently have research coverage by a few industry or financial analysts and may never obtain additional coverage. Equity research analysts may elect not to provide research coverage of our common stock, or may drop coverage and such lack of research coverage may adversely affect the market price of our common stock. In the event we do have additional equity research analyst coverage, we will not have any control over the analysts or the content and opinions included in their reports. The price of our shares could decline if one or more equity research analysts downgrade our shares, reduce their price-targets, or issue other unfavorable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commentary or research about us. If one or more equity research analysts cease coverage of us or fail to publish reports on us regularly, demand for our shares could decrease, which in turn could cause the trading price or trading volume of our common stock to decline.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will continue to incur increased costs as a result of operating as a public company, and our management will continue to be required to devote substantial time to new compliance initiatives.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As a public company, and particularly after we are no longer an emerging growth company, or EGC, as defined under the Jobs Act, or smaller reporting company, we will continue to incur significant legal, accounting and other expenses that we did not incur as a private company. In addition, the Sarbanes-Oxley Act of 2002, or the Sarbanes-Oxley Act, and rules subsequently implemented by the SEC and The Nasdaq Stock Market LLC impose various requirements on public companies, including establishment and maintenance of effective disclosure and financial controls and corporate governance practices. Our management and other personnel will need to devote a substantial amount of time to comply with these requirements. Moreover, these rules and regulations will increase our legal and financial compliance costs and will make some activities more time-consuming and costly.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Pursuant to Section 404 of the Sarbanes-Oxley Act, or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EGC or a smaller reporting company with less than $100 million in annual revenue, we will not be required to include an attestation report on internal control over financial reporting issued by our independent registered public accounting firm. We could be an EGC until the end of the fiscal year following the fifth anniversary of our initial public offering.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addition, our assessment of internal controls and procedures may not detect material weaknesses in our internal control over financial reporting. Undetected material weaknesses in our internal control over financial reporting could lead to financial statement restatements and require us to incur the expense of remediation, which could have a negative effect on the trading price of our stock. These events could result in an adverse reaction in the financial markets due to a loss of confidence in the reliability of our financial statements.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 Recent Sales of Unregistered Equity Securities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 Use of Proceeds from Initial Public Offering of Common Stock</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 Issuer Purchases of Equity Securities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360" w:after="283"/>
        <w:jc w:val="both"/>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360" w:after="283"/>
        <w:jc w:val="both"/>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360" w:after="283"/>
        <w:jc w:val="left"/>
        <w:rPr>
          <w:rFonts w:ascii="Times New Roman" w:hAnsi="Times New Roman"/>
          <w:sz w:val="20"/>
        </w:rPr>
      </w:pPr>
      <w:bookmarkStart w:id="18" w:name="item_5_or_information"/>
      <w:bookmarkEnd w:id="18"/>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Not applicable.</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bookmarkStart w:id="19" w:name="item_6_exhibits_financial_statement_sche"/>
      <w:bookmarkEnd w:id="19"/>
      <w:r>
        <w:rPr>
          <w:rFonts w:ascii="Times New Roman" w:hAnsi="Times New Roman"/>
          <w:b/>
          <w:color w:val="000000"/>
          <w:sz w:val="20"/>
        </w:rPr>
        <w:t>Item 6. Exhibits, Financial Statement Schedules.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(3)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82"/>
        <w:gridCol w:w="146"/>
        <w:gridCol w:w="9277"/>
      </w:tblGrid>
      <w:tr>
        <w:trPr/>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7" w:type="dxa"/>
            <w:tcBorders/>
            <w:vAlign w:val="center"/>
          </w:tcPr>
          <w:p>
            <w:pPr>
              <w:pStyle w:val="TableContents"/>
              <w:bidi w:val="0"/>
              <w:spacing w:before="0" w:after="283"/>
              <w:jc w:val="left"/>
              <w:rPr>
                <w:sz w:val="4"/>
                <w:szCs w:val="4"/>
              </w:rPr>
            </w:pPr>
            <w:r>
              <w:rPr>
                <w:sz w:val="4"/>
                <w:szCs w:val="4"/>
              </w:rPr>
            </w:r>
          </w:p>
        </w:tc>
      </w:tr>
      <w:tr>
        <w:trPr/>
        <w:tc>
          <w:tcPr>
            <w:tcW w:w="782"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7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b w:val="false"/>
                  <w:color w:val="0000FF"/>
                  <w:sz w:val="20"/>
                  <w:u w:val="single"/>
                </w:rPr>
                <w:t>Amended and Restated Certificate of Incorporation of the Company (incorporated herein by reference to Exhibit 3.1 to the Company’s Current Report on Form 8-K (File No. 001-39692), filed with the SEC on August 3, 2021)</w:t>
              </w:r>
            </w:hyperlink>
            <w:r>
              <w:rPr>
                <w:rFonts w:ascii="Times New Roman" w:hAnsi="Times New Roman"/>
                <w:b w:val="false"/>
                <w:color w:val="000000"/>
                <w:sz w:val="20"/>
              </w:rPr>
              <w:t>.</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b w:val="false"/>
                  <w:color w:val="0000FF"/>
                  <w:sz w:val="20"/>
                  <w:u w:val="single"/>
                </w:rPr>
                <w:t>Amended and Restated Bylaws of the Company (incorporated herein by reference to Exhibit 3.2 to the Company’s Current Report on Form 8-K (File No. 001-39692), filed with the SEC on August 3, 2021)</w:t>
              </w:r>
            </w:hyperlink>
            <w:r>
              <w:rPr>
                <w:rFonts w:ascii="Times New Roman" w:hAnsi="Times New Roman"/>
                <w:b w:val="false"/>
                <w:color w:val="000000"/>
                <w:sz w:val="20"/>
              </w:rPr>
              <w:t>.</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nab-ex31_1.htm">
              <w:r>
                <w:rPr>
                  <w:rStyle w:val="InternetLink"/>
                  <w:rFonts w:ascii="Times New Roman" w:hAnsi="Times New Roman"/>
                  <w:b w:val="false"/>
                  <w:color w:val="0000FF"/>
                  <w:sz w:val="20"/>
                  <w:u w:val="single"/>
                </w:rPr>
                <w:t>Certification of Principal Executive Officer pursuant to Rule 13a-14(a) and Rule 15d-14(a) of the Securities Exchange Act of 1934, as adopted pursuant to Section 302 of the Sarbanes-Oxley Act of 2002, as amended</w:t>
              </w:r>
            </w:hyperlink>
            <w:r>
              <w:rPr>
                <w:rFonts w:ascii="Times New Roman" w:hAnsi="Times New Roman"/>
                <w:b w:val="false"/>
                <w:color w:val="000000"/>
                <w:sz w:val="20"/>
              </w:rPr>
              <w:t>.</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nab-ex31_2.htm">
              <w:r>
                <w:rPr>
                  <w:rStyle w:val="InternetLink"/>
                  <w:rFonts w:ascii="Times New Roman" w:hAnsi="Times New Roman"/>
                  <w:b w:val="false"/>
                  <w:color w:val="0000FF"/>
                  <w:sz w:val="20"/>
                  <w:u w:val="single"/>
                </w:rPr>
                <w:t>Certification of Principal Financial Officer pursuant to Rule 13a-14(a) and Rule 15d-14(a) of the Securities Exchange Act of 1934, as adopted pursuant to Section 302 of the Sarbanes-Oxley Act of 2002, as amended</w:t>
              </w:r>
            </w:hyperlink>
            <w:r>
              <w:rPr>
                <w:rFonts w:ascii="Times New Roman" w:hAnsi="Times New Roman"/>
                <w:b w:val="false"/>
                <w:color w:val="000000"/>
                <w:sz w:val="20"/>
              </w:rPr>
              <w:t>.</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nab-ex32_1.htm">
              <w:r>
                <w:rPr>
                  <w:rStyle w:val="InternetLink"/>
                  <w:rFonts w:ascii="Times New Roman" w:hAnsi="Times New Roman"/>
                  <w:b w:val="false"/>
                  <w:color w:val="0000FF"/>
                  <w:sz w:val="20"/>
                  <w:u w:val="single"/>
                </w:rPr>
                <w:t>Certification of Principal Executive Officer and Principal Financial Officer Pursuant to 18 U.S.C. Section 1350, as Adopted Pursuant to Section 906 of the Sarbanes-Oxley Act of 2002</w:t>
              </w:r>
            </w:hyperlink>
            <w:r>
              <w:rPr>
                <w:rFonts w:ascii="Times New Roman" w:hAnsi="Times New Roman"/>
                <w:b w:val="false"/>
                <w:color w:val="000000"/>
                <w:sz w:val="20"/>
              </w:rPr>
              <w:t>.</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Inline XBRL Instance Document – the instance document does not appear in the Interactive Data File because XBRL tags are embedded within the Inline XBRL document</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Cover Page Interactive Data File (embedded within the Inline XBRL document)</w:t>
            </w:r>
          </w:p>
        </w:tc>
      </w:tr>
    </w:tbl>
    <w:p>
      <w:pPr>
        <w:pStyle w:val="TextBody"/>
        <w:bidi w:val="0"/>
        <w:jc w:val="both"/>
        <w:rPr/>
      </w:pPr>
      <w:r>
        <w:rPr/>
        <w:t> </w:t>
      </w:r>
    </w:p>
    <w:p>
      <w:pPr>
        <w:pStyle w:val="TextBody"/>
        <w:pBdr>
          <w:bottom w:val="single" w:sz="4" w:space="1" w:color="000000"/>
        </w:pBdr>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6"/>
        <w:gridCol w:w="9979"/>
      </w:tblGrid>
      <w:tr>
        <w:trPr/>
        <w:tc>
          <w:tcPr>
            <w:tcW w:w="226" w:type="dxa"/>
            <w:tcBorders/>
            <w:vAlign w:val="center"/>
          </w:tcPr>
          <w:p>
            <w:pPr>
              <w:pStyle w:val="TableContents"/>
              <w:bidi w:val="0"/>
              <w:spacing w:before="0" w:after="283"/>
              <w:jc w:val="left"/>
              <w:rPr>
                <w:sz w:val="4"/>
                <w:szCs w:val="4"/>
              </w:rPr>
            </w:pPr>
            <w:r>
              <w:rPr>
                <w:sz w:val="4"/>
                <w:szCs w:val="4"/>
              </w:rPr>
            </w:r>
          </w:p>
        </w:tc>
        <w:tc>
          <w:tcPr>
            <w:tcW w:w="9979"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both"/>
              <w:rPr/>
            </w:pPr>
            <w:r>
              <w:rPr/>
              <w:t> </w:t>
            </w:r>
          </w:p>
        </w:tc>
        <w:tc>
          <w:tcPr>
            <w:tcW w:w="997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w:t>
            </w:r>
          </w:p>
        </w:tc>
        <w:tc>
          <w:tcPr>
            <w:tcW w:w="997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This certification is being furnished solely to accompany this quarterly report on Form 10-Q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tc>
      </w:tr>
    </w:tbl>
    <w:p>
      <w:pPr>
        <w:pStyle w:val="TextBody"/>
        <w:bidi w:val="0"/>
        <w:jc w:val="both"/>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both"/>
        <w:rPr/>
      </w:pPr>
      <w:r>
        <w:rPr/>
        <w:t> </w:t>
      </w:r>
    </w:p>
    <w:tbl>
      <w:tblPr>
        <w:tblW w:w="6439" w:type="dxa"/>
        <w:jc w:val="left"/>
        <w:tblInd w:w="0" w:type="dxa"/>
        <w:tblLayout w:type="fixed"/>
        <w:tblCellMar>
          <w:top w:w="28" w:type="dxa"/>
          <w:left w:w="28" w:type="dxa"/>
          <w:bottom w:w="28" w:type="dxa"/>
          <w:right w:w="28" w:type="dxa"/>
        </w:tblCellMar>
      </w:tblPr>
      <w:tblGrid>
        <w:gridCol w:w="556"/>
        <w:gridCol w:w="1606"/>
        <w:gridCol w:w="406"/>
        <w:gridCol w:w="3871"/>
      </w:tblGrid>
      <w:tr>
        <w:trP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606" w:type="dxa"/>
            <w:tcBorders/>
            <w:shd w:fill="FFFFFF" w:val="cle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IN8bio, Inc.</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60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3871" w:type="dxa"/>
            <w:tcBorders/>
            <w:shd w:fill="FFFFFF" w:val="cle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w:t>
            </w:r>
          </w:p>
        </w:tc>
        <w:tc>
          <w:tcPr>
            <w:tcW w:w="16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November 9, 2023</w:t>
            </w:r>
          </w:p>
        </w:tc>
        <w:tc>
          <w:tcPr>
            <w:tcW w:w="4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William Ho</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60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387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William Ho</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60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3871" w:type="dxa"/>
            <w:tcBorders/>
            <w:shd w:fill="FFFFFF" w:val="cle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(Principal Executive Officer)</w:t>
            </w:r>
          </w:p>
        </w:tc>
      </w:tr>
      <w:tr>
        <w:trPr/>
        <w:tc>
          <w:tcPr>
            <w:tcW w:w="55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3871" w:type="dxa"/>
            <w:tcBorders/>
            <w:shd w:fill="FFFFFF" w:val="clear"/>
            <w:vAlign w:val="center"/>
          </w:tcPr>
          <w:p>
            <w:pPr>
              <w:pStyle w:val="TableContents"/>
              <w:bidi w:val="0"/>
              <w:spacing w:before="0" w:after="283"/>
              <w:jc w:val="center"/>
              <w:rPr/>
            </w:pPr>
            <w:r>
              <w:rPr/>
              <w:t> </w:t>
            </w:r>
          </w:p>
        </w:tc>
      </w:tr>
      <w:tr>
        <w:trPr/>
        <w:tc>
          <w:tcPr>
            <w:tcW w:w="5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w:t>
            </w:r>
          </w:p>
        </w:tc>
        <w:tc>
          <w:tcPr>
            <w:tcW w:w="16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November 9, 2023</w:t>
            </w:r>
          </w:p>
        </w:tc>
        <w:tc>
          <w:tcPr>
            <w:tcW w:w="4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Patrick McCall</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60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pPr>
            <w:r>
              <w:rPr/>
              <w:t> </w:t>
            </w:r>
          </w:p>
        </w:tc>
        <w:tc>
          <w:tcPr>
            <w:tcW w:w="387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Patrick McCall</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60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3871" w:type="dxa"/>
            <w:tcBorders/>
            <w:shd w:fill="FFFFFF" w:val="cle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 and Secretary</w:t>
            </w:r>
          </w:p>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(Principal Financial and Accounting Officer)</w:t>
            </w:r>
          </w:p>
        </w:tc>
      </w:tr>
    </w:tbl>
    <w:p>
      <w:pPr>
        <w:pStyle w:val="TextBody"/>
        <w:bidi w:val="0"/>
        <w:jc w:val="both"/>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bookmarkStart w:id="21" w:name="inab-ex31_1.htm"/>
      <w:bookmarkStart w:id="22" w:name="ksinab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rFonts w:ascii="Arial" w:hAnsi="Arial"/>
          <w:b/>
          <w:color w:val="000000"/>
          <w:sz w:val="18"/>
        </w:rPr>
      </w:pPr>
      <w:r>
        <w:rPr>
          <w:rFonts w:ascii="Arial" w:hAnsi="Arial"/>
          <w:b/>
          <w:color w:val="000000"/>
          <w:sz w:val="18"/>
        </w:rPr>
        <w:t>CERTIFICATIONS</w:t>
      </w:r>
    </w:p>
    <w:p>
      <w:pPr>
        <w:pStyle w:val="TextBody"/>
        <w:bidi w:val="0"/>
        <w:spacing w:before="240" w:after="283"/>
        <w:jc w:val="left"/>
        <w:rPr>
          <w:rFonts w:ascii="Arial" w:hAnsi="Arial"/>
          <w:b w:val="false"/>
          <w:color w:val="000000"/>
          <w:sz w:val="18"/>
        </w:rPr>
      </w:pPr>
      <w:r>
        <w:rPr>
          <w:rFonts w:ascii="Arial" w:hAnsi="Arial"/>
          <w:b w:val="false"/>
          <w:color w:val="000000"/>
          <w:sz w:val="18"/>
        </w:rPr>
        <w:t>I, William Ho, certify that:</w:t>
      </w:r>
    </w:p>
    <w:p>
      <w:pPr>
        <w:pStyle w:val="TextBody"/>
        <w:bidi w:val="0"/>
        <w:jc w:val="left"/>
        <w:rPr/>
      </w:pPr>
      <w:r>
        <w:rPr/>
        <w:t> </w:t>
      </w:r>
    </w:p>
    <w:p>
      <w:pPr>
        <w:pStyle w:val="TextBody"/>
        <w:bidi w:val="0"/>
        <w:jc w:val="left"/>
        <w:rPr>
          <w:rFonts w:ascii="Arial" w:hAnsi="Arial"/>
          <w:b w:val="false"/>
          <w:color w:val="000000"/>
          <w:sz w:val="18"/>
        </w:rPr>
      </w:pPr>
      <w:r>
        <w:rPr>
          <w:rFonts w:ascii="Arial" w:hAnsi="Arial"/>
          <w:b w:val="false"/>
          <w:color w:val="000000"/>
          <w:sz w:val="18"/>
        </w:rPr>
        <w:t>1. I have reviewed this Quarterly Report on Form 10-Q of IN8bio, Inc.;</w:t>
      </w:r>
    </w:p>
    <w:p>
      <w:pPr>
        <w:pStyle w:val="TextBody"/>
        <w:bidi w:val="0"/>
        <w:jc w:val="left"/>
        <w:rPr/>
      </w:pPr>
      <w:r>
        <w:rPr/>
        <w:t> </w:t>
      </w:r>
    </w:p>
    <w:p>
      <w:pPr>
        <w:pStyle w:val="TextBody"/>
        <w:bidi w:val="0"/>
        <w:jc w:val="left"/>
        <w:rPr>
          <w:rFonts w:ascii="Arial" w:hAnsi="Arial"/>
          <w:b w:val="false"/>
          <w:color w:val="000000"/>
          <w:sz w:val="18"/>
        </w:rPr>
      </w:pPr>
      <w:r>
        <w:rPr>
          <w:rFonts w:ascii="Arial" w:hAnsi="Arial"/>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Arial" w:hAnsi="Arial"/>
          <w:b w:val="false"/>
          <w:color w:val="000000"/>
          <w:sz w:val="18"/>
        </w:rPr>
      </w:pPr>
      <w:r>
        <w:rPr>
          <w:rFonts w:ascii="Arial" w:hAnsi="Arial"/>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Arial" w:hAnsi="Arial"/>
          <w:b w:val="false"/>
          <w:color w:val="000000"/>
          <w:sz w:val="18"/>
        </w:rPr>
      </w:pPr>
      <w:r>
        <w:rPr>
          <w:rFonts w:ascii="Arial" w:hAnsi="Arial"/>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Arial" w:hAnsi="Arial"/>
          <w:b w:val="false"/>
          <w:color w:val="000000"/>
          <w:sz w:val="18"/>
        </w:rPr>
      </w:pPr>
      <w:r>
        <w:rPr>
          <w:rFonts w:ascii="Arial" w:hAnsi="Arial"/>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18"/>
        </w:rPr>
        <w:t>(b)</w:t>
      </w:r>
      <w:r>
        <w:rPr>
          <w:rFonts w:ascii="Times New Roman" w:hAnsi="Times New Roman"/>
          <w:color w:val="000000"/>
          <w:sz w:val="20"/>
        </w:rPr>
        <w:t xml:space="preserve"> </w:t>
      </w:r>
      <w:r>
        <w:rPr>
          <w:rFonts w:ascii="Arial" w:hAnsi="Arial"/>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18"/>
        </w:rPr>
        <w:t>(c)</w:t>
      </w:r>
      <w:r>
        <w:rPr>
          <w:rFonts w:ascii="Times New Roman" w:hAnsi="Times New Roman"/>
          <w:color w:val="000000"/>
          <w:sz w:val="20"/>
        </w:rPr>
        <w:t xml:space="preserve"> </w:t>
      </w:r>
      <w:r>
        <w:rPr>
          <w:rFonts w:ascii="Arial" w:hAnsi="Arial"/>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18"/>
        </w:rPr>
        <w:t>(d)</w:t>
      </w:r>
      <w:r>
        <w:rPr>
          <w:rFonts w:ascii="Times New Roman" w:hAnsi="Times New Roman"/>
          <w:color w:val="000000"/>
          <w:sz w:val="20"/>
        </w:rPr>
        <w:t xml:space="preserve"> </w:t>
      </w:r>
      <w:r>
        <w:rPr>
          <w:rFonts w:ascii="Arial" w:hAnsi="Arial"/>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18"/>
        </w:rPr>
        <w:t>5.</w:t>
      </w:r>
      <w:r>
        <w:rPr>
          <w:rFonts w:ascii="Times New Roman" w:hAnsi="Times New Roman"/>
          <w:color w:val="000000"/>
          <w:sz w:val="20"/>
        </w:rPr>
        <w:t xml:space="preserve"> </w:t>
      </w:r>
      <w:r>
        <w:rPr>
          <w:rFonts w:ascii="Arial" w:hAnsi="Arial"/>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18"/>
        </w:rPr>
        <w:t>(a)</w:t>
      </w:r>
      <w:r>
        <w:rPr>
          <w:rFonts w:ascii="Times New Roman" w:hAnsi="Times New Roman"/>
          <w:color w:val="000000"/>
          <w:sz w:val="20"/>
        </w:rPr>
        <w:t xml:space="preserve"> </w:t>
      </w:r>
      <w:r>
        <w:rPr>
          <w:rFonts w:ascii="Arial" w:hAnsi="Arial"/>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18"/>
        </w:rPr>
        <w:t>(b)</w:t>
      </w:r>
      <w:r>
        <w:rPr>
          <w:rFonts w:ascii="Times New Roman" w:hAnsi="Times New Roman"/>
          <w:color w:val="000000"/>
          <w:sz w:val="20"/>
        </w:rPr>
        <w:t xml:space="preserve"> </w:t>
      </w:r>
      <w:r>
        <w:rPr>
          <w:rFonts w:ascii="Arial" w:hAnsi="Arial"/>
          <w:b w:val="false"/>
          <w:color w:val="000000"/>
          <w:sz w:val="18"/>
        </w:rPr>
        <w:t>Any fraud, whether or not material, that involves management or other employees who have a significant role in the registrant’s internal control over financial reporting.</w:t>
      </w:r>
    </w:p>
    <w:tbl>
      <w:tblPr>
        <w:tblW w:w="5074" w:type="dxa"/>
        <w:jc w:val="left"/>
        <w:tblInd w:w="0" w:type="dxa"/>
        <w:tblLayout w:type="fixed"/>
        <w:tblCellMar>
          <w:top w:w="28" w:type="dxa"/>
          <w:left w:w="28" w:type="dxa"/>
          <w:bottom w:w="28" w:type="dxa"/>
          <w:right w:w="28" w:type="dxa"/>
        </w:tblCellMar>
      </w:tblPr>
      <w:tblGrid>
        <w:gridCol w:w="556"/>
        <w:gridCol w:w="1606"/>
        <w:gridCol w:w="406"/>
        <w:gridCol w:w="2506"/>
      </w:tblGrid>
      <w:tr>
        <w:trP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IN8bio,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November 9, 2023</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William Ho</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William Ho</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Chief Executive Officer</w:t>
              <w:br/>
            </w:r>
            <w:r>
              <w:rPr>
                <w:rFonts w:ascii="Times New Roman" w:hAnsi="Times New Roman"/>
                <w:b w:val="false"/>
                <w:i/>
                <w:color w:val="000000"/>
                <w:sz w:val="20"/>
              </w:rPr>
              <w:t>(Principal Executive Officer)</w:t>
            </w:r>
            <w:r>
              <w:rPr>
                <w:rFonts w:ascii="Times New Roman" w:hAnsi="Times New Roman"/>
                <w:b/>
                <w:color w:val="000000"/>
                <w:sz w:val="20"/>
              </w:rPr>
              <w:br/>
              <w:br/>
            </w:r>
            <w:r>
              <w:rPr>
                <w:rFonts w:ascii="Times New Roman" w:hAnsi="Times New Roman"/>
                <w:color w:val="000000"/>
                <w:sz w:val="20"/>
              </w:rPr>
              <w:t> </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inab-ex31_2.htm"/>
      <w:bookmarkStart w:id="24" w:name="ksinab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rFonts w:ascii="Arial" w:hAnsi="Arial"/>
          <w:b/>
          <w:color w:val="000000"/>
          <w:sz w:val="18"/>
        </w:rPr>
      </w:pPr>
      <w:r>
        <w:rPr>
          <w:rFonts w:ascii="Arial" w:hAnsi="Arial"/>
          <w:b/>
          <w:color w:val="000000"/>
          <w:sz w:val="18"/>
        </w:rPr>
        <w:t>CERTIFICATIONS</w:t>
      </w:r>
    </w:p>
    <w:p>
      <w:pPr>
        <w:pStyle w:val="TextBody"/>
        <w:bidi w:val="0"/>
        <w:spacing w:before="240" w:after="283"/>
        <w:jc w:val="left"/>
        <w:rPr>
          <w:rFonts w:ascii="Arial" w:hAnsi="Arial"/>
          <w:b w:val="false"/>
          <w:color w:val="000000"/>
          <w:sz w:val="18"/>
        </w:rPr>
      </w:pPr>
      <w:r>
        <w:rPr>
          <w:rFonts w:ascii="Arial" w:hAnsi="Arial"/>
          <w:b w:val="false"/>
          <w:color w:val="000000"/>
          <w:sz w:val="18"/>
        </w:rPr>
        <w:t>I, Patrick McCall, certify that:</w:t>
      </w:r>
    </w:p>
    <w:p>
      <w:pPr>
        <w:pStyle w:val="TextBody"/>
        <w:bidi w:val="0"/>
        <w:jc w:val="left"/>
        <w:rPr/>
      </w:pPr>
      <w:r>
        <w:rPr/>
        <w:t> </w:t>
      </w:r>
    </w:p>
    <w:p>
      <w:pPr>
        <w:pStyle w:val="TextBody"/>
        <w:bidi w:val="0"/>
        <w:jc w:val="left"/>
        <w:rPr>
          <w:rFonts w:ascii="Arial" w:hAnsi="Arial"/>
          <w:b w:val="false"/>
          <w:color w:val="000000"/>
          <w:sz w:val="18"/>
        </w:rPr>
      </w:pPr>
      <w:r>
        <w:rPr>
          <w:rFonts w:ascii="Arial" w:hAnsi="Arial"/>
          <w:b w:val="false"/>
          <w:color w:val="000000"/>
          <w:sz w:val="18"/>
        </w:rPr>
        <w:t>1. I have reviewed this Quarterly Report on Form 10-Q of IN8bio, Inc.;</w:t>
      </w:r>
    </w:p>
    <w:p>
      <w:pPr>
        <w:pStyle w:val="TextBody"/>
        <w:bidi w:val="0"/>
        <w:jc w:val="left"/>
        <w:rPr/>
      </w:pPr>
      <w:r>
        <w:rPr/>
        <w:t> </w:t>
      </w:r>
    </w:p>
    <w:p>
      <w:pPr>
        <w:pStyle w:val="TextBody"/>
        <w:bidi w:val="0"/>
        <w:jc w:val="left"/>
        <w:rPr>
          <w:rFonts w:ascii="Arial" w:hAnsi="Arial"/>
          <w:b w:val="false"/>
          <w:color w:val="000000"/>
          <w:sz w:val="18"/>
        </w:rPr>
      </w:pPr>
      <w:r>
        <w:rPr>
          <w:rFonts w:ascii="Arial" w:hAnsi="Arial"/>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Arial" w:hAnsi="Arial"/>
          <w:b w:val="false"/>
          <w:color w:val="000000"/>
          <w:sz w:val="18"/>
        </w:rPr>
      </w:pPr>
      <w:r>
        <w:rPr>
          <w:rFonts w:ascii="Arial" w:hAnsi="Arial"/>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Arial" w:hAnsi="Arial"/>
          <w:b w:val="false"/>
          <w:color w:val="000000"/>
          <w:sz w:val="18"/>
        </w:rPr>
      </w:pPr>
      <w:r>
        <w:rPr>
          <w:rFonts w:ascii="Arial" w:hAnsi="Arial"/>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Arial" w:hAnsi="Arial"/>
          <w:b w:val="false"/>
          <w:color w:val="000000"/>
          <w:sz w:val="18"/>
        </w:rPr>
      </w:pPr>
      <w:r>
        <w:rPr>
          <w:rFonts w:ascii="Arial" w:hAnsi="Arial"/>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Arial" w:hAnsi="Arial"/>
          <w:b w:val="false"/>
          <w:color w:val="000000"/>
          <w:sz w:val="18"/>
        </w:rPr>
      </w:pPr>
      <w:r>
        <w:rPr>
          <w:rFonts w:ascii="Arial" w:hAnsi="Arial"/>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Arial" w:hAnsi="Arial"/>
          <w:b w:val="false"/>
          <w:color w:val="000000"/>
          <w:sz w:val="18"/>
        </w:rPr>
      </w:pPr>
      <w:r>
        <w:rPr>
          <w:rFonts w:ascii="Arial" w:hAnsi="Arial"/>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18"/>
        </w:rPr>
        <w:t>(d)</w:t>
      </w:r>
      <w:r>
        <w:rPr>
          <w:rFonts w:ascii="Times New Roman" w:hAnsi="Times New Roman"/>
          <w:color w:val="000000"/>
          <w:sz w:val="20"/>
        </w:rPr>
        <w:t xml:space="preserve"> </w:t>
      </w:r>
      <w:r>
        <w:rPr>
          <w:rFonts w:ascii="Arial" w:hAnsi="Arial"/>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18"/>
        </w:rPr>
        <w:t>5.</w:t>
      </w:r>
      <w:r>
        <w:rPr>
          <w:rFonts w:ascii="Times New Roman" w:hAnsi="Times New Roman"/>
          <w:color w:val="000000"/>
          <w:sz w:val="20"/>
        </w:rPr>
        <w:t xml:space="preserve"> </w:t>
      </w:r>
      <w:r>
        <w:rPr>
          <w:rFonts w:ascii="Arial" w:hAnsi="Arial"/>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18"/>
        </w:rPr>
        <w:t>(a)</w:t>
      </w:r>
      <w:r>
        <w:rPr>
          <w:rFonts w:ascii="Times New Roman" w:hAnsi="Times New Roman"/>
          <w:color w:val="000000"/>
          <w:sz w:val="20"/>
        </w:rPr>
        <w:t xml:space="preserve"> </w:t>
      </w:r>
      <w:r>
        <w:rPr>
          <w:rFonts w:ascii="Arial" w:hAnsi="Arial"/>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18"/>
        </w:rPr>
        <w:t>(b)</w:t>
      </w:r>
      <w:r>
        <w:rPr>
          <w:rFonts w:ascii="Times New Roman" w:hAnsi="Times New Roman"/>
          <w:color w:val="000000"/>
          <w:sz w:val="20"/>
        </w:rPr>
        <w:t xml:space="preserve"> </w:t>
      </w:r>
      <w:r>
        <w:rPr>
          <w:rFonts w:ascii="Arial" w:hAnsi="Arial"/>
          <w:b w:val="false"/>
          <w:color w:val="000000"/>
          <w:sz w:val="18"/>
        </w:rPr>
        <w:t>Any fraud, whether or not material, that involves management or other employees who have a significant role in the registrant’s internal control over financial reporting.</w:t>
      </w:r>
    </w:p>
    <w:tbl>
      <w:tblPr>
        <w:tblW w:w="6439" w:type="dxa"/>
        <w:jc w:val="left"/>
        <w:tblInd w:w="0" w:type="dxa"/>
        <w:tblLayout w:type="fixed"/>
        <w:tblCellMar>
          <w:top w:w="28" w:type="dxa"/>
          <w:left w:w="28" w:type="dxa"/>
          <w:bottom w:w="28" w:type="dxa"/>
          <w:right w:w="28" w:type="dxa"/>
        </w:tblCellMar>
      </w:tblPr>
      <w:tblGrid>
        <w:gridCol w:w="556"/>
        <w:gridCol w:w="1606"/>
        <w:gridCol w:w="406"/>
        <w:gridCol w:w="3871"/>
      </w:tblGrid>
      <w:tr>
        <w:trP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IN8bio,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November 9, 2023</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Patrick McCall</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Patrick McCall</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Chief Financial Officer and Secretary</w:t>
            </w:r>
            <w:r>
              <w:rPr>
                <w:rFonts w:ascii="Times New Roman" w:hAnsi="Times New Roman"/>
                <w:b w:val="false"/>
                <w:i/>
                <w:color w:val="000000"/>
                <w:sz w:val="20"/>
              </w:rPr>
              <w:br/>
              <w:t>(Principal Financial and Accounting Officer)</w:t>
              <w:br/>
              <w:br/>
            </w:r>
            <w:r>
              <w:rPr>
                <w:rFonts w:ascii="Times New Roman" w:hAnsi="Times New Roman"/>
                <w:color w:val="000000"/>
                <w:sz w:val="20"/>
              </w:rPr>
              <w:t> </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inab-ex32_1.htm"/>
      <w:bookmarkStart w:id="26" w:name="ksinab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left"/>
        <w:rPr>
          <w:rFonts w:ascii="Arial" w:hAnsi="Arial"/>
          <w:b w:val="false"/>
          <w:color w:val="000000"/>
          <w:sz w:val="20"/>
        </w:rPr>
      </w:pPr>
      <w:r>
        <w:rPr>
          <w:rFonts w:ascii="Arial" w:hAnsi="Arial"/>
          <w:b w:val="false"/>
          <w:color w:val="000000"/>
          <w:sz w:val="20"/>
        </w:rPr>
        <w:t>In connection with the Quarterly Report on Form 10-Q of IN8bio, Inc. (the “Company”) for the period ended September 30, 2023 as filed with the Securities and Exchange Commission on the date hereof (the “Report”), I certify, pursuant to 18 U.S.C. §1350, as adopted pursuant to §906 of the Sarbanes-Oxley Act of 2002, that, to the best of my knowledge:</w:t>
      </w:r>
    </w:p>
    <w:p>
      <w:pPr>
        <w:pStyle w:val="TextBody"/>
        <w:bidi w:val="0"/>
        <w:spacing w:before="240" w:after="283"/>
        <w:jc w:val="left"/>
        <w:rPr/>
      </w:pPr>
      <w:r>
        <w:rPr/>
        <w:t> </w:t>
      </w:r>
    </w:p>
    <w:p>
      <w:pPr>
        <w:pStyle w:val="TextBody"/>
        <w:bidi w:val="0"/>
        <w:spacing w:before="0" w:after="0"/>
        <w:jc w:val="left"/>
        <w:rPr>
          <w:rFonts w:ascii="Arial" w:hAnsi="Arial"/>
          <w:b w:val="false"/>
          <w:color w:val="000000"/>
          <w:sz w:val="20"/>
        </w:rPr>
      </w:pPr>
      <w:r>
        <w:rPr>
          <w:rFonts w:ascii="Arial" w:hAnsi="Arial"/>
          <w:b w:val="false"/>
          <w:color w:val="000000"/>
          <w:sz w:val="20"/>
        </w:rPr>
        <w:t>(1)</w:t>
      </w:r>
    </w:p>
    <w:p>
      <w:pPr>
        <w:pStyle w:val="TextBody"/>
        <w:bidi w:val="0"/>
        <w:jc w:val="left"/>
        <w:rPr>
          <w:rFonts w:ascii="Arial" w:hAnsi="Arial"/>
          <w:b w:val="false"/>
          <w:color w:val="000000"/>
          <w:sz w:val="20"/>
        </w:rPr>
      </w:pPr>
      <w:r>
        <w:rPr>
          <w:rFonts w:ascii="Arial" w:hAnsi="Arial"/>
          <w:b w:val="false"/>
          <w:color w:val="000000"/>
          <w:sz w:val="20"/>
        </w:rPr>
        <w:t>The Report fully complies with the requirements of section 13(a) or 15(d) of the Securities Exchange Act of 1934, as amended; and</w:t>
      </w:r>
    </w:p>
    <w:p>
      <w:pPr>
        <w:pStyle w:val="TextBody"/>
        <w:bidi w:val="0"/>
        <w:jc w:val="left"/>
        <w:rPr/>
      </w:pPr>
      <w:r>
        <w:rPr/>
        <w:t> </w:t>
      </w:r>
    </w:p>
    <w:p>
      <w:pPr>
        <w:pStyle w:val="TextBody"/>
        <w:bidi w:val="0"/>
        <w:spacing w:before="0" w:after="0"/>
        <w:jc w:val="left"/>
        <w:rPr>
          <w:rFonts w:ascii="Arial" w:hAnsi="Arial"/>
          <w:b w:val="false"/>
          <w:color w:val="000000"/>
          <w:sz w:val="20"/>
        </w:rPr>
      </w:pPr>
      <w:r>
        <w:rPr>
          <w:rFonts w:ascii="Arial" w:hAnsi="Arial"/>
          <w:b w:val="false"/>
          <w:color w:val="000000"/>
          <w:sz w:val="20"/>
        </w:rPr>
        <w:t>(2)</w:t>
      </w:r>
    </w:p>
    <w:p>
      <w:pPr>
        <w:pStyle w:val="TextBody"/>
        <w:bidi w:val="0"/>
        <w:jc w:val="left"/>
        <w:rPr>
          <w:rFonts w:ascii="Arial" w:hAnsi="Arial"/>
          <w:b w:val="false"/>
          <w:color w:val="000000"/>
          <w:sz w:val="20"/>
        </w:rPr>
      </w:pPr>
      <w:r>
        <w:rPr>
          <w:rFonts w:ascii="Arial" w:hAnsi="Arial"/>
          <w:b w:val="false"/>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439" w:type="dxa"/>
        <w:jc w:val="left"/>
        <w:tblInd w:w="0" w:type="dxa"/>
        <w:tblLayout w:type="fixed"/>
        <w:tblCellMar>
          <w:top w:w="28" w:type="dxa"/>
          <w:left w:w="28" w:type="dxa"/>
          <w:bottom w:w="28" w:type="dxa"/>
          <w:right w:w="28" w:type="dxa"/>
        </w:tblCellMar>
      </w:tblPr>
      <w:tblGrid>
        <w:gridCol w:w="556"/>
        <w:gridCol w:w="1606"/>
        <w:gridCol w:w="406"/>
        <w:gridCol w:w="3871"/>
      </w:tblGrid>
      <w:tr>
        <w:trP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IN8bio, Inc.</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60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3871" w:type="dxa"/>
            <w:tcBorders/>
            <w:shd w:fill="FFFFFF" w:val="cle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w:t>
            </w:r>
          </w:p>
        </w:tc>
        <w:tc>
          <w:tcPr>
            <w:tcW w:w="16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November 9, 2023</w:t>
            </w:r>
          </w:p>
        </w:tc>
        <w:tc>
          <w:tcPr>
            <w:tcW w:w="4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William Ho</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60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387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William Ho</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60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387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Chief Executive Officer</w:t>
              <w:br/>
            </w:r>
            <w:r>
              <w:rPr>
                <w:rFonts w:ascii="Times New Roman" w:hAnsi="Times New Roman"/>
                <w:b w:val="false"/>
                <w:i/>
                <w:color w:val="000000"/>
                <w:sz w:val="20"/>
              </w:rPr>
              <w:t>(Principal Executive Officer)</w:t>
            </w:r>
            <w:r>
              <w:rPr>
                <w:rFonts w:ascii="Times New Roman" w:hAnsi="Times New Roman"/>
                <w:b/>
                <w:color w:val="000000"/>
                <w:sz w:val="20"/>
              </w:rPr>
              <w:br/>
            </w:r>
            <w:r>
              <w:rPr>
                <w:rFonts w:ascii="Times New Roman" w:hAnsi="Times New Roman"/>
                <w:color w:val="000000"/>
                <w:sz w:val="20"/>
              </w:rPr>
              <w:t> </w:t>
            </w:r>
          </w:p>
        </w:tc>
      </w:tr>
      <w:tr>
        <w:trPr/>
        <w:tc>
          <w:tcPr>
            <w:tcW w:w="55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3871" w:type="dxa"/>
            <w:tcBorders/>
            <w:shd w:fill="FFFFFF" w:val="clear"/>
            <w:vAlign w:val="center"/>
          </w:tcPr>
          <w:p>
            <w:pPr>
              <w:pStyle w:val="TableContents"/>
              <w:bidi w:val="0"/>
              <w:spacing w:before="0" w:after="283"/>
              <w:jc w:val="center"/>
              <w:rPr/>
            </w:pPr>
            <w:r>
              <w:rPr/>
              <w:t> </w:t>
            </w:r>
          </w:p>
        </w:tc>
      </w:tr>
      <w:tr>
        <w:trPr/>
        <w:tc>
          <w:tcPr>
            <w:tcW w:w="5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w:t>
            </w:r>
          </w:p>
        </w:tc>
        <w:tc>
          <w:tcPr>
            <w:tcW w:w="16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November 9, 2023</w:t>
            </w:r>
          </w:p>
        </w:tc>
        <w:tc>
          <w:tcPr>
            <w:tcW w:w="4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Patrick McCall</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60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387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Patrick McCall</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60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387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Chief Financial Officer and Secretary</w:t>
              <w:br/>
            </w:r>
            <w:r>
              <w:rPr>
                <w:rFonts w:ascii="Times New Roman" w:hAnsi="Times New Roman"/>
                <w:b w:val="false"/>
                <w:i/>
                <w:color w:val="000000"/>
                <w:sz w:val="20"/>
              </w:rPr>
              <w:t>(Principal Financial and Accounting Officer)</w:t>
              <w:br/>
            </w:r>
            <w:r>
              <w:rPr>
                <w:rFonts w:ascii="Times New Roman" w:hAnsi="Times New Roman"/>
                <w:color w:val="000000"/>
                <w:sz w:val="20"/>
              </w:rPr>
              <w:t> </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40279/000110465921099436/tm2030088d31_ex3-1.htm" TargetMode="External"/><Relationship Id="rId4" Type="http://schemas.openxmlformats.org/officeDocument/2006/relationships/hyperlink" Target="https://www.sec.gov/Archives/edgar/data/1740279/000110465921099436/tm2030088d31_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54684</Words>
  <Characters>306119</Characters>
  <CharactersWithSpaces>360618</CharactersWithSpaces>
  <Paragraphs>4175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