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Emily Fairbairn</w:t>
      </w:r>
    </w:p>
    <w:p>
      <w:pPr>
        <w:spacing w:after="0" w:line="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10 Orinda View Road,</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Orinda, CA, 94563</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925-284-7777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EMILY FAIRBAIRN</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724,637.00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8,656.00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724,637.00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733,293.00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Malcom Fairbairn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3,044.00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724,637.00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3,044.00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724,637.00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727,681.00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Malcom and Emily Fairbairn 2010 CRUT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724,637.00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724,637.00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724,637.00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right="55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918" w:orient="portrait"/>
          <w:cols w:equalWidth="0" w:num="1">
            <w:col w:w="11140"/>
          </w:cols>
          <w:pgMar w:left="360" w:top="612" w:right="3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IN8BIO,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340"/>
        <w:spacing w:after="0" w:line="294" w:lineRule="auto"/>
        <w:rPr>
          <w:sz w:val="20"/>
          <w:szCs w:val="20"/>
          <w:color w:val="auto"/>
        </w:rPr>
      </w:pPr>
      <w:r>
        <w:rPr>
          <w:rFonts w:ascii="Times New Roman" w:cs="Times New Roman" w:eastAsia="Times New Roman" w:hAnsi="Times New Roman"/>
          <w:sz w:val="22"/>
          <w:szCs w:val="22"/>
          <w:color w:val="auto"/>
        </w:rPr>
        <w:t>EMPIRE STATE BUILDING, 350 5TH AVENUE, SUITE 5330, NEW YORK, NEW YORK , 10118. Identity and Background</w:t>
      </w:r>
    </w:p>
    <w:p>
      <w:pPr>
        <w:spacing w:after="0" w:line="1"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This Schedule 13D is filed by Emily Fairbairn, ("Ms. Fairbairn") Malcom Fairbairn ("Mr. Fairbairn") and the Malcolm and Emily Fairbairn 2010 CRUT (the "CRUT" and together with Ms. Fairbairn and Mr. Fairbairn, the "Reporting Persons").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Reporting Persons is 10 Orinda View Road, Orinda, California 94563.</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Ms. Fairbairn is an investor and a director of the Issuer. Mr. Fairbairn is the managing member of Transcend Partners, LLC. The principal business address of Transcend Partners, LLC is 10 Orinda View Road, Orinda, California 94563. The CRUT is a charitable remainder unitrust organized under the laws of California.</w:t>
      </w:r>
    </w:p>
    <w:p>
      <w:pPr>
        <w:spacing w:after="0" w:line="1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During the last five years, none of the Reporting Persons has been convicted in any criminal proceeding (excluding traffic violations or similar misdemeanors).</w:t>
      </w:r>
    </w:p>
    <w:p>
      <w:pPr>
        <w:spacing w:after="0" w:line="239" w:lineRule="auto"/>
        <w:rPr>
          <w:sz w:val="20"/>
          <w:szCs w:val="20"/>
          <w:color w:val="auto"/>
        </w:rPr>
      </w:pPr>
      <w:r>
        <w:rPr>
          <w:rFonts w:ascii="Times New Roman" w:cs="Times New Roman" w:eastAsia="Times New Roman" w:hAnsi="Times New Roman"/>
          <w:sz w:val="22"/>
          <w:szCs w:val="22"/>
          <w:color w:val="auto"/>
        </w:rPr>
        <w:t>During the last five years, none of the Reporting Persons has been a party to a civil proceeding of a judicial or administrative body of competent jurisdiction and as a result of such proceeding was not or is not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Ms. Fairbairn and Mr. Fairbairn are each a citizen of the United States of America. The CRUT is a charitable remainder unitrust organized under the laws of California.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1"/>
          <w:szCs w:val="21"/>
          <w:color w:val="auto"/>
        </w:rPr>
        <w:t>As of the date hereof, the Reporting Persons may be deemed to beneficially own an aggregate of 736,337 shares of Common Stock, consisting of (a) 724,637 shares of Common Stock held directly by the CRUT, all of which were purchased in the Private Placement (as defined below), (b) Series C Warrants exercisable for up to 101,291 shares of Common Stock held directly by the CRUT, all of which were held prior to the Private Placement, (c) pre-funded warrants (the "Pre-Funded Warrants" and, together with the Series C Warrants, the "Warrants") exercisable for up to 101,291 shares of Common Stock directly held by the CRUT, all of which were held prior to the Private Placement,</w:t>
      </w:r>
    </w:p>
    <w:p>
      <w:pPr>
        <w:spacing w:after="0" w:line="3" w:lineRule="exact"/>
        <w:rPr>
          <w:sz w:val="20"/>
          <w:szCs w:val="20"/>
          <w:color w:val="auto"/>
        </w:rPr>
      </w:pPr>
    </w:p>
    <w:p>
      <w:pPr>
        <w:spacing w:after="0" w:line="232"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3,044 shares of Common Stock held by Valley High Limited Partnership ("Valley High"), all of which were held prior to the Private Placement, (e) 923 shares of Common Stock held by the Emily T. Fairbairn Roth IRA (the "Roth IRA"), all of which were held prior to the Private Placement, and (f) 7,733 shares of Common Stock underlying outstanding options held by Ms. Fairbairn that are immediately exercisable or will be immediately exercisable within 60 days of December 22, 2025. The Private Placement closed on December 22, 2025. Ms. Fairbairn and Mr. Fairbairn are the trustees of the CRUT and used personal funds to acquire the shares purchased by the CRUT in the Private Placement for an aggregate purchase price of $1 million.</w:t>
      </w:r>
    </w:p>
    <w:p>
      <w:pPr>
        <w:spacing w:after="0" w:line="1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918" w:orient="portrait"/>
          <w:cols w:equalWidth="0" w:num="2">
            <w:col w:w="620" w:space="320"/>
            <w:col w:w="10200"/>
          </w:cols>
          <w:pgMar w:left="360" w:top="612" w:right="399" w:bottom="0" w:gutter="0" w:footer="0" w:header="0"/>
          <w:type w:val="continuous"/>
        </w:sectPr>
      </w:pPr>
    </w:p>
    <w:p>
      <w:pPr>
        <w:ind w:left="940"/>
        <w:spacing w:after="0" w:line="246" w:lineRule="auto"/>
        <w:rPr>
          <w:sz w:val="20"/>
          <w:szCs w:val="20"/>
          <w:color w:val="auto"/>
        </w:rPr>
      </w:pPr>
      <w:r>
        <w:rPr>
          <w:rFonts w:ascii="Times New Roman" w:cs="Times New Roman" w:eastAsia="Times New Roman" w:hAnsi="Times New Roman"/>
          <w:sz w:val="21"/>
          <w:szCs w:val="21"/>
          <w:color w:val="auto"/>
        </w:rPr>
        <w:t>The Reporting Persons acquired the Common Stock for investment purposes. Except as set forth herein and except that the Reporting Persons may, from time to time or at any time, subject to market conditions and other factors, purchase additional Common Stock in the open market, in privately negotiated transactions or otherwise, or sell at any time all or a portion of the Common Stock now owned or hereafter acquired by them to one or more purchasers, as of the date of this Schedule 13D, the Reporting Persons do not have any present plans which relate to or would result in: (a) The acquisition by any person of additional securities of the Issuer, or the disposition of securities of the Issuer (including by means of Rule 10b5-1 programs);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w:t>
      </w:r>
    </w:p>
    <w:p>
      <w:pPr>
        <w:sectPr>
          <w:pgSz w:w="11900" w:h="16918" w:orient="portrait"/>
          <w:cols w:equalWidth="0" w:num="1">
            <w:col w:w="11140"/>
          </w:cols>
          <w:pgMar w:left="360" w:top="612" w:right="399" w:bottom="0" w:gutter="0" w:footer="0" w:header="0"/>
          <w:type w:val="continuous"/>
        </w:sectPr>
      </w:pPr>
    </w:p>
    <w:bookmarkStart w:id="4" w:name="page5"/>
    <w:bookmarkEnd w:id="4"/>
    <w:p>
      <w:pPr>
        <w:spacing w:after="0" w:line="13"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00"/>
        <w:spacing w:after="0" w:line="243" w:lineRule="auto"/>
        <w:rPr>
          <w:sz w:val="20"/>
          <w:szCs w:val="20"/>
          <w:color w:val="auto"/>
        </w:rPr>
      </w:pPr>
      <w:r>
        <w:rPr>
          <w:rFonts w:ascii="Times New Roman" w:cs="Times New Roman" w:eastAsia="Times New Roman" w:hAnsi="Times New Roman"/>
          <w:sz w:val="21"/>
          <w:szCs w:val="21"/>
          <w:color w:val="auto"/>
        </w:rPr>
        <w:t>As of the date hereof, Ms. Fairbairn beneficially owns an aggregate of 733,293 shares of Common Stock, consisting of (a) 724,637 shares of Common Stock held directly by the CRUT, (b) Series C Warrants exercisable for up to 101,291 shares of Common Stock held directly by the CRUT, (c) Pre-Funded Warrants exercisable for up to 101,291 shares of Common Stock directly held by the CRUT, (d) 923 shares of Common Stock held by the Roth IRA, and (e) 7,733 shares of Common Stock underlying outstanding options that are immediately exercisable or will be immediately exercisable within 60 days of December 22, 2025. Ms. Fairbairn is a trustee of the CRUT and shares voting and investment power over the securities held by the CRUT. As of the date hereof, Mr. Fairbairn beneficially owns an aggregate of 727,681 shares of Common Stock, consisting of (a) 724,637 shares of Common Stock held directly by the CRUT, (b) Series C Warrants exercisable for up to 101,291 shares of Common Stock held directly by the CRUT, (c) Pre-Funded Warrants exercisable for up to 101,291 shares of Common Stock directly held by the CRUT, and (d) 3,044 shares of Common Stock held by Valley High. Mr. Fairbairn is the sole managing partner of Valley High and has voting and investment power over the shares held by Valley High. Mr. Fairbairn is a trustee of</w:t>
      </w:r>
    </w:p>
    <w:p>
      <w:pPr>
        <w:spacing w:after="0" w:line="6" w:lineRule="exact"/>
        <w:rPr>
          <w:sz w:val="20"/>
          <w:szCs w:val="20"/>
          <w:color w:val="auto"/>
        </w:rPr>
      </w:pPr>
    </w:p>
    <w:p>
      <w:pPr>
        <w:ind w:left="940" w:right="60" w:hanging="932"/>
        <w:spacing w:after="0" w:line="231"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CRUT and shares voting and investment power over the securities held by the CRUT. Each of the Series C Warrants and the Pre-Funded Warrants contains a provision (the "Beneficial Ownership Limitation") which precludes exercise of the Warrants to the extent that, following exercise, the holder, together with any other persons whose beneficial ownership of Common Stock could be aggregated with the holder's for purposes of the Exchange Act, would own more than 4.99% of the Common Stock outstanding, which percentage may be increased or decreased at the holder's election upon notice to the Issuer up to 19.99%. The CRUT is currently prohibited from exercising the Pre-Funded Warrants and the Series C Warrants by virtue of the Beneficial Ownership Limitation. Each of Ms. Fairbairn and Mr. Fairbairn may be deemed to beneficially own 7.5% of the Issuer's outstanding Common Stock and the CRUT may be deemed to beneficially own 7.4% of the Issuer's outstanding Common Stock, which percentages are calculated based upon (a) 4,634,396 shares of Common Stock outstanding on November 3, 2025, as reported in the Issuer's Quarterly Report on Form 10-Q for the quarter ended September 30, 2025, and (b) 5,127,029 shares of Common Stock issued by the Issuer in the Private Placement, as reported in the Issuer's Current Report on Form 8-K filed on December 19, 2025.</w:t>
      </w:r>
    </w:p>
    <w:p>
      <w:pPr>
        <w:spacing w:after="0" w:line="2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Ms. Fairbairn has sole voting and dispositive power over 8,656 shares of the Issuer's Common Stock. Mr. Fairbairn</w:t>
      </w:r>
    </w:p>
    <w:p>
      <w:pPr>
        <w:spacing w:after="0" w:line="14" w:lineRule="exact"/>
        <w:rPr>
          <w:rFonts w:ascii="Times New Roman" w:cs="Times New Roman" w:eastAsia="Times New Roman" w:hAnsi="Times New Roman"/>
          <w:sz w:val="22"/>
          <w:szCs w:val="22"/>
          <w:color w:val="auto"/>
        </w:rPr>
      </w:pPr>
    </w:p>
    <w:p>
      <w:pPr>
        <w:ind w:left="940" w:right="1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sole voting and dispositive power over 3,044 shares of the Issuer's Common Stock. The Reporting Persons share voting and dispositive power over 724,637 shares of the Issuer's Common Stock.</w:t>
      </w:r>
    </w:p>
    <w:p>
      <w:pPr>
        <w:spacing w:after="0" w:line="16" w:lineRule="exact"/>
        <w:rPr>
          <w:rFonts w:ascii="Times New Roman" w:cs="Times New Roman" w:eastAsia="Times New Roman" w:hAnsi="Times New Roman"/>
          <w:sz w:val="22"/>
          <w:szCs w:val="22"/>
          <w:color w:val="auto"/>
        </w:rPr>
      </w:pPr>
    </w:p>
    <w:p>
      <w:pPr>
        <w:ind w:left="940" w:right="20" w:hanging="932"/>
        <w:spacing w:after="0" w:line="243"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herein, none of the Reporting Persons have purchased or sold any shares of Common Stock during the past 60 days. 2025 Securities Purchase Agreement On December 18, 2025, the Issuer entered into a Securities Purchase Agreement (the "Purchase Agreement") with the CRUT and other investors, pursuant to which the Issuer agreed to issue and sell shares (the "Shares") of the Issuer's Common Stock, and, in lieu of Common Stock, pre-funded warrants (the "2025 Pre-Funded Warrants" and, together with the Shares, the "Securities") to purchase shares of Common Stock (the "Warrant Shares"), in up to two closings in a private placement (the "Private Placement"). The initial closing (the "Initial Closing") of the Private Placement occurred on December 22, 2025. At the Initial Closing, the Issuer issued and sold to the CRUT and the other investors an aggregate of 5,127,029 Shares of Common Stock, at a purchase price of $1.38 per Share (the "Share Price"), and, in lieu of Common Stock, 2025 Pre-Funded Warrants to purchase up to 9,452,677 Warrant Shares, at a purchase price of $1.3799 per 2025 Pre-Funded Warrant (the "Pre-Funded Warrant Price") for aggregate gross proceeds of approximately $20.1 million, before deducting placement agent fees and other private placement expenses. Pursuant to the Purchase Agreement, subject to the occurrence of the Second Closing Trigger (as defined below), the Issuer also agreed to issue and sell to the CRUT and other investors in a second closing (the "Second Closing") up to an additional 14,579,706 Shares of Common Stock or 2025 Pre-Funded Warrants in lieu of Common Stock, at the Share Price and the Pre-Funded Warrant Price, respectively, for additional aggregate gross proceeds of approximately $20.1 million, before deducting placement agent fees and other private placement expenses. The Second Closing Trigger shall occur upon (i) the achievement, during the period commencing on the date of the Initial Closing and ending on December 31, 2026, of the presentation by the Issuer of animal model data for its INB-619 product candidate (the "INB-619 Milestone"), and (ii) either (A) the achievement of a volume weighted average price per share of equal to or greater than 200% of the Share Price (subject to appropriate, proportional adjustment for any stock splits or combinations of the Common Stock occurring after the date of the Purchase Agreement) measured during any five consecutive trading days during the 90 trading days following the date of the Issuer's first announcement via a press release or Current Report on Form 8-K of the occurrence of the INB-619 Milestone (such period the "Measurement Period" and such price threshold requirement, the "Price Threshold") or (b) the Issuer's receipt of a written notice signed by the investors holding a majority of the Securities outstanding from time to time and delivered to the Issuer during the Measurement Period that waives the Price Threshold for purposes of the Second Closing. Pursuant to the Purchase Agreement, the Issuer may, at its sole discretion, elect to reduce the investors' committed investment amounts for the Second Closing,</w:t>
      </w:r>
    </w:p>
    <w:p>
      <w:pPr>
        <w:sectPr>
          <w:pgSz w:w="11900" w:h="16852" w:orient="portrait"/>
          <w:cols w:equalWidth="0" w:num="1">
            <w:col w:w="11160"/>
          </w:cols>
          <w:pgMar w:left="360" w:top="112" w:right="379" w:bottom="0" w:gutter="0" w:footer="0" w:header="0"/>
        </w:sectPr>
      </w:pPr>
    </w:p>
    <w:bookmarkStart w:id="5" w:name="page6"/>
    <w:bookmarkEnd w:id="5"/>
    <w:p>
      <w:pPr>
        <w:ind w:left="940" w:right="20"/>
        <w:spacing w:after="0" w:line="235" w:lineRule="auto"/>
        <w:rPr>
          <w:sz w:val="20"/>
          <w:szCs w:val="20"/>
          <w:color w:val="auto"/>
        </w:rPr>
      </w:pPr>
      <w:r>
        <w:rPr>
          <w:rFonts w:ascii="Times New Roman" w:cs="Times New Roman" w:eastAsia="Times New Roman" w:hAnsi="Times New Roman"/>
          <w:sz w:val="22"/>
          <w:szCs w:val="22"/>
          <w:color w:val="auto"/>
        </w:rPr>
        <w:t>on a pro rata basis, by an amount equal to any cash proceeds received from any licensing, partnership or other collaboration agreements that are not attributable to the issuance of any equity or equity-linked securities. The Issuer also granted each investor the right until December 31, 2026 to participate in a subsequent equity financing of the Issuer up to 200% of the amount equal to such investor's investment amounts for the Initial Closing and Second Closing (as adjusted pursuant to the Issuer's reduction right described above). The summary of the Purchase Agreement contained herein is qualified in its entirety by reference to the full text of such agreement, a copy of which is filed as an exhibit hereto.</w:t>
      </w:r>
    </w:p>
    <w:p>
      <w:pPr>
        <w:spacing w:after="0" w:line="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 other person is known by the Reporting Persons to have the right to receive or the power to direct the receipt of</w:t>
      </w:r>
    </w:p>
    <w:p>
      <w:pPr>
        <w:spacing w:after="0" w:line="14" w:lineRule="exact"/>
        <w:rPr>
          <w:sz w:val="20"/>
          <w:szCs w:val="20"/>
          <w:color w:val="auto"/>
        </w:rPr>
      </w:pPr>
    </w:p>
    <w:p>
      <w:pPr>
        <w:ind w:left="940" w:right="24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the proceeds from the sale of, the shares of Common Stock beneficially owned by the Reporting Persons.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2024 Securities Purchase Agreement On September 30, 2024, the Issuer entered into a Securities Purchase Agreement (the "2024 Purchase Agreement") with the CRUT and other investors, pursuant to which the CRUT purchased Pre-Funded Warrants exercisable for up to 101,291 shares of Common Stock and Series C Warrants exercisable for up to 101,291 shares of Common Stock. The closing of the 2024 Purchase Agreement occurred on October 4, 2024. The Pre-Funded Warrants have an exercise price of $0.003 per share. Each Pre-Funded Warrant is exercisable immediately and is exercisable until such Pre-Funded Warrant is exercised in full. In lieu of a cash payment to the Issuer in payment of the aggregate exercise price upon exercise of a Pre-Funded Warrant, the holder may elect instead to receive upon such exercise (either in whole or in part) the net number of shares of Common Stock determined according to a formula set forth in the Pre-Funded Warrants. The Pre-Funded Warrants are subject to the Beneficial Ownership Limitation. The Series C Warrants have an exercise price of $8.10 per share. Each Series C Warrant is exercisable immediately and will expire three years from the date of issuance. The Series C Warrants are subject to the Beneficial Ownership Limitation. 2025 Securities Purchase Agreement The description of the Purchase Agreement contained in Item 5(c) above is incorporated herein by reference. Registration Rights Agreement On December 18, 2025, the Issuer entered into a registration rights agreement (the "Registration Rights Agreement") with the CRUT and the other investors in the Private Placement pursuant to which the Issuer agreed to register for resale the Shares and the Warrant Shares (collectively, the "Registrable Securities"). Under the Registration Rights Agreement, the Issuer agreed to file a registration statement covering the resale by the CRUT and the other investors of the Registrable Securities no later than 30 days following the Initial Closing or Second Closing, as applicable. The summary of the Registration Rights Agreement contained herein is qualified in its entirety by reference to the full text of such agreement, a copy of which is filed as an exhibit hereto.</w:t>
      </w:r>
    </w:p>
    <w:p>
      <w:pPr>
        <w:spacing w:after="0" w:line="26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4" w:lineRule="auto"/>
        <w:rPr>
          <w:sz w:val="20"/>
          <w:szCs w:val="20"/>
          <w:color w:val="auto"/>
        </w:rPr>
      </w:pPr>
      <w:r>
        <w:rPr>
          <w:rFonts w:ascii="Times New Roman" w:cs="Times New Roman" w:eastAsia="Times New Roman" w:hAnsi="Times New Roman"/>
          <w:sz w:val="22"/>
          <w:szCs w:val="22"/>
          <w:color w:val="auto"/>
        </w:rPr>
        <w:t>99.1 Joint Filing Statement 99.2 Form of Securities Purchase Agreement, dated as of September 30, 2024 (incorporated by reference to Exhibit 10.1 to the Issuer's Current Report on Form 8-K, filed by the Issuer on October 1, 2024). 99.3 Form of Pre-Funded Warrant (incorporated by reference to Exhibit 4.1 to the Issuer's Current Report on Form 8-K, filed by the Issuer on October 1, 2024). 99.4 Form of Series C Warrant (incorporated by reference to Exhibit 4.2 to the Issuer's Current Report on Form 8-K, filed by the Issuer on October 1, 2024). 99.5 Securities Purchase Agreement, dated as of December 18, 2025 (Incorporated by reference to Exhibit 10.1 to the Issuer's Current Report on Form 8-K, filed by the Issuer on December 19, 2025). 99.6 Registration Rights Agreement, dated as of December 18, 2025 (Incorporated by reference to Exhibit 10.2 to the Issuer's Current Report on Form 8-K, filed by the Issuer on December 19, 2025).</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EMILY FAIRBAIRN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Emily Fairbairn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Emily Fairbairn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Malcom Fairbairn</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Malcom Fairbairn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Malcom Fairbairn</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Malcom and Emily Fairbairn 2010 CRUT</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Malcom Fairbairn</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Malcom Fairbairn, Trustee</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p>
      <w:pPr>
        <w:sectPr>
          <w:pgSz w:w="11900" w:h="16838" w:orient="portrait"/>
          <w:cols w:equalWidth="0" w:num="1">
            <w:col w:w="11160"/>
          </w:cols>
          <w:pgMar w:left="360" w:top="111" w:right="379" w:bottom="10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Rule 13d-1(k)(1) promulgated pursuant to the Securities Exchange Act of 1934, as amended, the undersigned agree that the attached Schedule 13D is being filed on behalf of each of the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2, 2026</w:t>
      </w:r>
    </w:p>
    <w:p>
      <w:pPr>
        <w:spacing w:after="0" w:line="200" w:lineRule="exact"/>
        <w:rPr>
          <w:sz w:val="20"/>
          <w:szCs w:val="20"/>
          <w:color w:val="auto"/>
        </w:rPr>
      </w:pPr>
    </w:p>
    <w:p>
      <w:pPr>
        <w:spacing w:after="0" w:line="258"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17145</wp:posOffset>
            </wp:positionV>
            <wp:extent cx="148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Emily Fairbairn</w:t>
      </w:r>
    </w:p>
    <w:p>
      <w:pPr>
        <w:spacing w:after="0" w:line="22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Malcom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17145</wp:posOffset>
            </wp:positionV>
            <wp:extent cx="1482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Malcom Fairbairn</w:t>
      </w:r>
    </w:p>
    <w:p>
      <w:pPr>
        <w:spacing w:after="0" w:line="21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Malcom and Emily Fairbairn 2010 CRUT</w:t>
      </w:r>
    </w:p>
    <w:p>
      <w:pPr>
        <w:spacing w:after="0" w:line="229"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Malcom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17145</wp:posOffset>
            </wp:positionV>
            <wp:extent cx="148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Malcom Fairbairn</w:t>
      </w:r>
    </w:p>
    <w:p>
      <w:pPr>
        <w:spacing w:after="0" w:line="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Trustee</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2026-01-02T19:11:23Z</dcterms:created>
  <dcterms:modified xsi:type="dcterms:W3CDTF">2026-01-02T19:11:23Z</dcterms:modified>
</cp:coreProperties>
</file>